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bookmarkStart w:id="23" w:name="mauds-kinetic-model"/>
    <w:p>
      <w:pPr>
        <w:pStyle w:val="Heading1"/>
      </w:pPr>
      <w:r>
        <w:t xml:space="preserve">Maud’s kinetic model</w:t>
      </w:r>
    </w:p>
    <w:bookmarkStart w:id="21" w:name="parameters"/>
    <w:p>
      <w:pPr>
        <w:pStyle w:val="Heading2"/>
      </w:pPr>
      <w:r>
        <w:t xml:space="preserve">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0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0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1"/>
    <w:bookmarkStart w:id="22" w:name="rate-equations"/>
    <w:p>
      <w:pPr>
        <w:pStyle w:val="Heading2"/>
      </w:pPr>
      <w:r>
        <w:t xml:space="preserve">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2"/>
    <w:bookmarkEnd w:id="23"/>
    <w:bookmarkStart w:id="29" w:name="sec-methionine-case-study"/>
    <w:p>
      <w:pPr>
        <w:pStyle w:val="Heading1"/>
      </w:pPr>
      <w:r>
        <w:t xml:space="preserve">Methionine case study</w:t>
      </w:r>
    </w:p>
    <w:bookmarkStart w:id="24" w:name="dataset-generation"/>
    <w:p>
      <w:pPr>
        <w:pStyle w:val="Heading2"/>
      </w:pPr>
      <w:r>
        <w:t xml:space="preserve">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2.2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4"/>
    <w:bookmarkStart w:id="28" w:name="sec-methionine-priors"/>
    <w:p>
      <w:pPr>
        <w:pStyle w:val="Heading2"/>
      </w:pPr>
      <w:r>
        <w:t xml:space="preserve">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</w:t>
      </w:r>
    </w:p>
    <w:bookmarkStart w:id="25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5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6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7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End w:id="28"/>
    <w:bookmarkEnd w:id="29"/>
    <w:bookmarkStart w:id="45" w:name="references"/>
    <w:p>
      <w:pPr>
        <w:pStyle w:val="Heading1"/>
      </w:pPr>
      <w:r>
        <w:t xml:space="preserve">References</w:t>
      </w:r>
    </w:p>
    <w:bookmarkStart w:id="44" w:name="refs"/>
    <w:bookmarkStart w:id="31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0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1"/>
    <w:bookmarkStart w:id="33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2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3"/>
    <w:bookmarkStart w:id="35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34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35"/>
    <w:bookmarkStart w:id="37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36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37"/>
    <w:bookmarkStart w:id="39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38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39"/>
    <w:bookmarkStart w:id="41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0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1"/>
    <w:bookmarkStart w:id="43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42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arxiv.org/abs/2103.00621" TargetMode="External" /><Relationship Type="http://schemas.openxmlformats.org/officeDocument/2006/relationships/hyperlink" Id="rId38" Target="https://doi.org/10.1016/0014-5793(75)80034-2" TargetMode="External" /><Relationship Type="http://schemas.openxmlformats.org/officeDocument/2006/relationships/hyperlink" Id="rId36" Target="https://doi.org/10.1016/S0022-2836(65)80285-6" TargetMode="External" /><Relationship Type="http://schemas.openxmlformats.org/officeDocument/2006/relationships/hyperlink" Id="rId32" Target="https://doi.org/10.1038/nrm3695" TargetMode="External" /><Relationship Type="http://schemas.openxmlformats.org/officeDocument/2006/relationships/hyperlink" Id="rId42" Target="https://doi.org/10.1038/srep29635" TargetMode="External" /><Relationship Type="http://schemas.openxmlformats.org/officeDocument/2006/relationships/hyperlink" Id="rId34" Target="https://doi.org/10.1093/bioinformatics/btq141" TargetMode="External" /><Relationship Type="http://schemas.openxmlformats.org/officeDocument/2006/relationships/hyperlink" Id="rId26" Target="https://github.com/biosustain/Methionine_model/blob/main/data/methionine/priors.toml" TargetMode="External" /><Relationship Type="http://schemas.openxmlformats.org/officeDocument/2006/relationships/hyperlink" Id="rId27" Target="https://github.com/biosustain/Methionine_model/blob/main/results" TargetMode="External" /><Relationship Type="http://schemas.openxmlformats.org/officeDocument/2006/relationships/hyperlink" Id="rId40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arxiv.org/abs/2103.00621" TargetMode="External" /><Relationship Type="http://schemas.openxmlformats.org/officeDocument/2006/relationships/hyperlink" Id="rId38" Target="https://doi.org/10.1016/0014-5793(75)80034-2" TargetMode="External" /><Relationship Type="http://schemas.openxmlformats.org/officeDocument/2006/relationships/hyperlink" Id="rId36" Target="https://doi.org/10.1016/S0022-2836(65)80285-6" TargetMode="External" /><Relationship Type="http://schemas.openxmlformats.org/officeDocument/2006/relationships/hyperlink" Id="rId32" Target="https://doi.org/10.1038/nrm3695" TargetMode="External" /><Relationship Type="http://schemas.openxmlformats.org/officeDocument/2006/relationships/hyperlink" Id="rId42" Target="https://doi.org/10.1038/srep29635" TargetMode="External" /><Relationship Type="http://schemas.openxmlformats.org/officeDocument/2006/relationships/hyperlink" Id="rId34" Target="https://doi.org/10.1093/bioinformatics/btq141" TargetMode="External" /><Relationship Type="http://schemas.openxmlformats.org/officeDocument/2006/relationships/hyperlink" Id="rId26" Target="https://github.com/biosustain/Methionine_model/blob/main/data/methionine/priors.toml" TargetMode="External" /><Relationship Type="http://schemas.openxmlformats.org/officeDocument/2006/relationships/hyperlink" Id="rId27" Target="https://github.com/biosustain/Methionine_model/blob/main/results" TargetMode="External" /><Relationship Type="http://schemas.openxmlformats.org/officeDocument/2006/relationships/hyperlink" Id="rId40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2023-10-30T08:40:09Z</dcterms:created>
  <dcterms:modified xsi:type="dcterms:W3CDTF">2023-10-30T08:40:09Z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