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Supporting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t xml:space="preserve">The results of all reported Maud runs can be found at</w:t>
      </w:r>
      <w:r>
        <w:t xml:space="preserve"> </w:t>
      </w:r>
      <w:hyperlink r:id="rId20">
        <w:r>
          <w:rPr>
            <w:rStyle w:val="Hyperlink"/>
          </w:rPr>
          <w:t xml:space="preserve">https://github.com/biosustain/Methionine_model/blob/main/results</w:t>
        </w:r>
      </w:hyperlink>
      <w:r>
        <w:t xml:space="preserve">.</w:t>
      </w:r>
    </w:p>
    <w:bookmarkStart w:id="24" w:name="mauds-kinetic-model"/>
    <w:p>
      <w:pPr>
        <w:pStyle w:val="Heading1"/>
      </w:pPr>
      <w:r>
        <w:t xml:space="preserve">Maud’s kinetic model</w:t>
      </w:r>
    </w:p>
    <w:bookmarkStart w:id="22" w:name="parameters"/>
    <w:p>
      <w:pPr>
        <w:pStyle w:val="Heading2"/>
      </w:pPr>
      <w:r>
        <w:t xml:space="preserve">Parameters</w:t>
      </w:r>
    </w:p>
    <w:p>
      <w:pPr>
        <w:pStyle w:val="FirstParagraph"/>
      </w:pPr>
      <w:hyperlink w:anchor="tbl-params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shows all of Maud’s unknown parameters along with their dimensions</w:t>
      </w:r>
    </w:p>
    <w:p>
      <w:pPr>
        <w:pStyle w:val="BodyText"/>
      </w:pPr>
      <w:r>
        <w:t xml:space="preserve">Note that Maud’s metabolic model includes some quantities that are not treated</w:t>
      </w:r>
      <w:r>
        <w:t xml:space="preserve"> </w:t>
      </w:r>
      <w:r>
        <w:t xml:space="preserve">as parameters in its statistical model, including temperatures, compartment</w:t>
      </w:r>
      <w:r>
        <w:t xml:space="preserve"> </w:t>
      </w:r>
      <w:r>
        <w:t xml:space="preserve">volumes and the formation energy of water. Maud treats these quantities as</w:t>
      </w:r>
      <w:r>
        <w:t xml:space="preserve"> </w:t>
      </w:r>
      <w:r>
        <w:t xml:space="preserve">if they were known precisely: they can be configured by the user or default</w:t>
      </w:r>
      <w:r>
        <w:t xml:space="preserve"> </w:t>
      </w:r>
      <w:r>
        <w:t xml:space="preserve">values can be used. Although in practice there can be considerable uncertainty</w:t>
      </w:r>
      <w:r>
        <w:t xml:space="preserve"> </w:t>
      </w:r>
      <w:r>
        <w:t xml:space="preserve">regarding these quantities, we chose to disregard this uncertainty in the</w:t>
      </w:r>
      <w:r>
        <w:t xml:space="preserve"> </w:t>
      </w:r>
      <w:r>
        <w:t xml:space="preserve">interest of simplicity.</w:t>
      </w:r>
    </w:p>
    <w:bookmarkStart w:id="21" w:name="tbl-params"/>
    <w:p>
      <w:pPr>
        <w:pStyle w:val="TableCaption"/>
      </w:pPr>
      <w:r>
        <w:t xml:space="preserve">Table 1: Parameters of Maud’s statistical model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Parameters of Maud’s statistical model"/>
      </w:tblPr>
      <w:tblGrid>
        <w:gridCol w:w="1980"/>
        <w:gridCol w:w="3740"/>
        <w:gridCol w:w="22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Modelled quantity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Δ</m:t>
                  </m:r>
                </m:e>
                <m:sub>
                  <m:r>
                    <m:t>f</m:t>
                  </m:r>
                </m:sub>
              </m:sSub>
              <m:r>
                <m:t>G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Formation energy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metabolites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M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Michaelis Menten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Substrates of all enzyme/reactions and products of reversible 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Inhibiting metabolite/compartments of enzyme/reactions exhibiting competitive inhibition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Enzyme/reactions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Transfer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Allosteric interactions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inhibitions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e</m:t>
                  </m:r>
                </m:e>
                <m:sub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 dissociation constants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Modifying metabolites of allosteric activations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 </m:t>
                  </m:r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Rate constants of phosphorylation modifying enzymes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d</m:t>
                  </m:r>
                  <m:r>
                    <m:t>r</m:t>
                  </m:r>
                  <m:r>
                    <m:t>a</m:t>
                  </m:r>
                  <m:r>
                    <m:t>i</m:t>
                  </m:r>
                  <m:r>
                    <m:t>n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Drain fluxes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Drains,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E</m:t>
              </m:r>
              <m:r>
                <m:t>n</m:t>
              </m:r>
              <m:r>
                <m:t>z</m:t>
              </m:r>
              <m:r>
                <m:t>y</m:t>
              </m:r>
              <m:r>
                <m:t>m</m:t>
              </m:r>
              <m:r>
                <m:t>e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u</m:t>
                  </m:r>
                  <m:r>
                    <m:t>n</m:t>
                  </m:r>
                  <m:r>
                    <m:t>b</m:t>
                  </m:r>
                  <m:r>
                    <m:t>a</m:t>
                  </m:r>
                  <m:r>
                    <m:t>l</m:t>
                  </m:r>
                  <m:r>
                    <m:t>a</m:t>
                  </m:r>
                  <m:r>
                    <m:t>n</m:t>
                  </m:r>
                  <m:r>
                    <m:t>c</m:t>
                  </m:r>
                  <m:r>
                    <m:t>e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Unbalanced metabolite/compartments,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C</m:t>
                  </m:r>
                </m:e>
                <m:sub>
                  <m:r>
                    <m:t>p</m:t>
                  </m:r>
                  <m:r>
                    <m:t>m</m:t>
                  </m:r>
                  <m:r>
                    <m:t>e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 concentrations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Phosphorylation modifying enzymes, experiments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ψ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Membrane potentials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Experiments</w:t>
            </w:r>
          </w:p>
        </w:tc>
      </w:tr>
    </w:tbl>
    <w:bookmarkEnd w:id="21"/>
    <w:p>
      <w:pPr>
        <w:pStyle w:val="BodyText"/>
      </w:pPr>
      <w:r>
        <w:t xml:space="preserve">Solving the steady state problem for a given set of parameters in an experiment</w:t>
      </w:r>
      <w:r>
        <w:t xml:space="preserve"> </w:t>
      </w:r>
      <w:r>
        <w:t xml:space="preserve">yields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of balanced metabolite concentrations. These</w:t>
      </w:r>
      <w:r>
        <w:t xml:space="preserve"> </w:t>
      </w:r>
      <w:r>
        <w:t xml:space="preserve">are combined with the balanced metabolite concentrations</w:t>
      </w:r>
      <w:r>
        <w:t xml:space="preserve"> </w:t>
      </w:r>
      <m:oMath>
        <m:sSub>
          <m:e>
            <m:r>
              <m:t>C</m:t>
            </m:r>
          </m:e>
          <m:sub>
            <m:r>
              <m:t>u</m:t>
            </m:r>
            <m:r>
              <m:t>n</m:t>
            </m:r>
            <m:r>
              <m:t>b</m:t>
            </m:r>
            <m:r>
              <m:t>a</m:t>
            </m:r>
            <m:r>
              <m:t>l</m:t>
            </m:r>
            <m:r>
              <m:t>a</m:t>
            </m:r>
            <m:r>
              <m:t>n</m:t>
            </m:r>
            <m:r>
              <m:t>c</m:t>
            </m:r>
            <m:r>
              <m:t>e</m:t>
            </m:r>
            <m:r>
              <m:t>d</m:t>
            </m:r>
          </m:sub>
        </m:sSub>
      </m:oMath>
      <w:r>
        <w:t xml:space="preserve"> </w:t>
      </w:r>
      <w:r>
        <w:t xml:space="preserve">to</w:t>
      </w:r>
      <w:r>
        <w:t xml:space="preserve"> </w:t>
      </w:r>
      <w:r>
        <w:t xml:space="preserve">produce a vector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t>i</m:t>
            </m:r>
            <m:r>
              <m:t>c</m:t>
            </m:r>
          </m:sub>
        </m:sSub>
      </m:oMath>
      <w:r>
        <w:t xml:space="preserve"> </w:t>
      </w:r>
      <w:r>
        <w:t xml:space="preserve">with a concentration for each metabolite/compartment</w:t>
      </w:r>
      <w:r>
        <w:t xml:space="preserve"> </w:t>
      </w:r>
      <w:r>
        <w:t xml:space="preserve">combination.</w:t>
      </w:r>
    </w:p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can optionally be fixed; this can be useful for</w:t>
      </w:r>
      <w:r>
        <w:t xml:space="preserve"> </w:t>
      </w:r>
      <w:r>
        <w:t xml:space="preserve">computational purposes, as for example to avoid estimating the formation energy</w:t>
      </w:r>
      <w:r>
        <w:t xml:space="preserve"> </w:t>
      </w:r>
      <w:r>
        <w:t xml:space="preserve">of a metabolite about which there is no available information due to it only</w:t>
      </w:r>
      <w:r>
        <w:t xml:space="preserve"> </w:t>
      </w:r>
      <w:r>
        <w:t xml:space="preserve">participating in irreversible reactions.</w:t>
      </w:r>
    </w:p>
    <w:bookmarkEnd w:id="22"/>
    <w:bookmarkStart w:id="23" w:name="rate-equations"/>
    <w:p>
      <w:pPr>
        <w:pStyle w:val="Heading2"/>
      </w:pPr>
      <w:r>
        <w:t xml:space="preserve">Rate equations</w:t>
      </w:r>
    </w:p>
    <w:p>
      <w:pPr>
        <w:pStyle w:val="FirstParagraph"/>
      </w:pPr>
      <w:r>
        <w:t xml:space="preserve">As discussed in the main text, Maud’s kinetic model decomposes into factors</w:t>
      </w:r>
      <w:r>
        <w:t xml:space="preserve"> </w:t>
      </w:r>
      <w:r>
        <w:t xml:space="preserve">contributing to the flux in a metabolic network in an experiment as shown in</w:t>
      </w:r>
      <w:r>
        <w:t xml:space="preserve"> </w:t>
      </w:r>
      <w:r>
        <w:t xml:space="preserve">equation</w:t>
      </w:r>
      <w:r>
        <w:t xml:space="preserve"> </w:t>
      </w:r>
      <w:r>
        <w:t xml:space="preserve">. For succinctness, and since Maud’s model</w:t>
      </w:r>
      <w:r>
        <w:t xml:space="preserve"> </w:t>
      </w:r>
      <w:r>
        <w:t xml:space="preserve">assumes that there are no interactions between experiments, we omit any notation</w:t>
      </w:r>
      <w:r>
        <w:t xml:space="preserve"> </w:t>
      </w:r>
      <w:r>
        <w:t xml:space="preserve">referring to experiments below. We also omit any reference to the network’s</w:t>
      </w:r>
      <w:r>
        <w:t xml:space="preserve"> </w:t>
      </w:r>
      <w:r>
        <w:t xml:space="preserve">drain reactions: these are modelled as being exactly determined by the values of</w:t>
      </w:r>
      <w:r>
        <w:t xml:space="preserve"> </w:t>
      </w:r>
      <w:r>
        <w:t xml:space="preserve">the parameter vector</w:t>
      </w:r>
      <w:r>
        <w:t xml:space="preserve"> </w:t>
      </w:r>
      <m:oMath>
        <m:sSub>
          <m:e>
            <m:r>
              <m:t>v</m:t>
            </m:r>
          </m:e>
          <m:sub>
            <m:r>
              <m:t>d</m:t>
            </m:r>
            <m:r>
              <m:t>r</m:t>
            </m:r>
            <m:r>
              <m:t>a</m:t>
            </m:r>
            <m:r>
              <m:t>i</m:t>
            </m:r>
            <m:r>
              <m:t>n</m:t>
            </m:r>
          </m:sub>
        </m:sSub>
      </m:oMath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E</m:t>
        </m:r>
        <m:r>
          <m:t>n</m:t>
        </m:r>
        <m:r>
          <m:t>z</m:t>
        </m:r>
        <m:r>
          <m:t>y</m:t>
        </m:r>
        <m:r>
          <m:t>m</m:t>
        </m:r>
        <m:r>
          <m:t>e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concentration of the enzyme</w:t>
      </w:r>
      <w:r>
        <w:t xml:space="preserve"> </w:t>
      </w:r>
      <w:r>
        <w:t xml:space="preserve">catalysing each reaction.</w:t>
      </w:r>
    </w:p>
    <w:p>
      <w:pPr>
        <w:pStyle w:val="BodyText"/>
      </w:pPr>
      <w:r>
        <w:t xml:space="preserve">The term</w:t>
      </w:r>
      <w:r>
        <w:t xml:space="preserve"> </w:t>
      </w:r>
      <m:oMath>
        <m:sSub>
          <m:e>
            <m:r>
              <m:t>k</m:t>
            </m:r>
          </m:e>
          <m:sub>
            <m:r>
              <m:t>c</m:t>
            </m:r>
            <m:r>
              <m:t>a</m:t>
            </m:r>
            <m:r>
              <m:t>t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 the amount of flux carried per unit of</w:t>
      </w:r>
      <w:r>
        <w:t xml:space="preserve"> </w:t>
      </w:r>
      <w:r>
        <w:t xml:space="preserve">saturated enzyme.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R</m:t>
        </m:r>
        <m:r>
          <m:t>e</m:t>
        </m:r>
        <m:r>
          <m:t>v</m:t>
        </m:r>
        <m:r>
          <m:t>e</m:t>
        </m:r>
        <m:r>
          <m:t>r</m:t>
        </m:r>
        <m:r>
          <m:t>s</m:t>
        </m:r>
        <m:r>
          <m:t>i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real numbers capturing the impact of thermodynamic effects on the reaction’s</w:t>
      </w:r>
      <w:r>
        <w:t xml:space="preserve"> </w:t>
      </w:r>
      <w:r>
        <w:t xml:space="preserve">flux, as shown in equation</w:t>
      </w:r>
      <w:r>
        <w:t xml:space="preserve"> 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terms in</w:t>
      </w:r>
      <w:r>
        <w:t xml:space="preserve"> </w:t>
      </w:r>
      <w:r>
        <w:t xml:space="preserve"> </w:t>
      </w:r>
      <w:r>
        <w:t xml:space="preserve">have the following meanings:</w:t>
      </w:r>
    </w:p>
    <w:p>
      <w:pPr>
        <w:numPr>
          <w:ilvl w:val="0"/>
          <w:numId w:val="1001"/>
        </w:numPr>
        <w:pStyle w:val="Compact"/>
      </w:pPr>
      <m:oMath>
        <m:r>
          <m:t>T</m:t>
        </m:r>
      </m:oMath>
      <w:r>
        <w:t xml:space="preserve"> </w:t>
      </w:r>
      <w:r>
        <w:t xml:space="preserve">is the temperature in Kelvin (a number),</w:t>
      </w:r>
    </w:p>
    <w:p>
      <w:pPr>
        <w:numPr>
          <w:ilvl w:val="0"/>
          <w:numId w:val="1001"/>
        </w:numPr>
        <w:pStyle w:val="Compact"/>
      </w:pPr>
      <m:oMath>
        <m:r>
          <m:t>R</m:t>
        </m:r>
      </m:oMath>
      <w:r>
        <w:t xml:space="preserve"> </w:t>
      </w:r>
      <w:r>
        <w:t xml:space="preserve">is the gas constant (a number),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r</m:t>
            </m:r>
          </m:sub>
        </m:sSub>
        <m:r>
          <m:t>G</m:t>
        </m:r>
      </m:oMath>
      <w:r>
        <w:t xml:space="preserve"> </w:t>
      </w:r>
      <w:r>
        <w:t xml:space="preserve">is a vector representing the Gibbs free energy change of each reaction in standard conditions,</w:t>
      </w:r>
    </w:p>
    <w:p>
      <w:pPr>
        <w:numPr>
          <w:ilvl w:val="0"/>
          <w:numId w:val="1001"/>
        </w:numPr>
        <w:pStyle w:val="Compac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is a vector representing the standard condition Gibbs free energy change of each metabolite’s formation reaction, or in other words each metabolite’s</w:t>
      </w:r>
      <w:r>
        <w:t xml:space="preserve"> </w:t>
      </w:r>
      <w:r>
        <w:t xml:space="preserve">‘</w:t>
      </w:r>
      <w:r>
        <w:t xml:space="preserve">formation energy</w:t>
      </w:r>
      <w:r>
        <w:t xml:space="preserve">’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m:oMath>
        <m:r>
          <m:t>n</m:t>
        </m:r>
      </m:oMath>
      <w:r>
        <w:t xml:space="preserve"> </w:t>
      </w:r>
      <w:r>
        <w:t xml:space="preserve">is a vector representing the number of charges transported by each reaction.</w:t>
      </w:r>
    </w:p>
    <w:p>
      <w:pPr>
        <w:numPr>
          <w:ilvl w:val="0"/>
          <w:numId w:val="1001"/>
        </w:numPr>
        <w:pStyle w:val="Compact"/>
      </w:pPr>
      <m:oMath>
        <m:r>
          <m:t>F</m:t>
        </m:r>
      </m:oMath>
      <w:r>
        <w:t xml:space="preserve"> </w:t>
      </w:r>
      <w:r>
        <w:t xml:space="preserve">is the Faraday constant (a number)</w:t>
      </w:r>
    </w:p>
    <w:p>
      <w:pPr>
        <w:numPr>
          <w:ilvl w:val="0"/>
          <w:numId w:val="1001"/>
        </w:numPr>
        <w:pStyle w:val="Compact"/>
      </w:pPr>
      <m:oMath>
        <m:r>
          <m:t>ψ</m:t>
        </m:r>
      </m:oMath>
      <w:r>
        <w:t xml:space="preserve"> </w:t>
      </w:r>
      <w:r>
        <w:t xml:space="preserve">is a vector representing each reaction’s membrane potential (these numbers only matter for reactions that transport non-zero charge)</w:t>
      </w:r>
    </w:p>
    <w:p>
      <w:pPr>
        <w:pStyle w:val="FirstParagraph"/>
      </w:pPr>
      <w:r>
        <w:t xml:space="preserve">Note that, for reactions with zero transported charge, the thermodynamic effect</w:t>
      </w:r>
      <w:r>
        <w:t xml:space="preserve"> </w:t>
      </w:r>
      <w:r>
        <w:t xml:space="preserve">on each reaction is derived from metabolite formation energies. This formulation</w:t>
      </w:r>
      <w:r>
        <w:t xml:space="preserve"> </w:t>
      </w:r>
      <w:r>
        <w:t xml:space="preserve">is helpful because, provided that all reactions’ rates are calculated from the</w:t>
      </w:r>
      <w:r>
        <w:t xml:space="preserve"> </w:t>
      </w:r>
      <w:r>
        <w:t xml:space="preserve">same formation energies, they are guaranteed to be thermodynamically consistent.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accounts for both the charge and the directionality. For instance,</w:t>
      </w:r>
      <w:r>
        <w:t xml:space="preserve"> </w:t>
      </w:r>
      <w:r>
        <w:t xml:space="preserve">a reaction that exports 2 protons to the extracellular space in the forward</w:t>
      </w:r>
      <w:r>
        <w:t xml:space="preserve"> </w:t>
      </w:r>
      <w:r>
        <w:t xml:space="preserve">direction would have -2 charge. If a negatively charged molecule like acetate is</w:t>
      </w:r>
      <w:r>
        <w:t xml:space="preserve"> </w:t>
      </w:r>
      <w:r>
        <w:t xml:space="preserve">exported in the forward direction,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would be 1.</w:t>
      </w:r>
    </w:p>
    <w:p>
      <w:pPr>
        <w:pStyle w:val="BodyText"/>
      </w:pPr>
      <w:r>
        <w:t xml:space="preserve">Note that this way of modelling the effect of transported charge does not take</w:t>
      </w:r>
      <w:r>
        <w:t xml:space="preserve"> </w:t>
      </w:r>
      <w:r>
        <w:t xml:space="preserve">into account that the concentration gradient used by the transport is that of</w:t>
      </w:r>
      <w:r>
        <w:t xml:space="preserve"> </w:t>
      </w:r>
      <w:r>
        <w:t xml:space="preserve">the dissociated molecules. Thus, this expression is only correct for ions whose</w:t>
      </w:r>
      <w:r>
        <w:t xml:space="preserve"> </w:t>
      </w:r>
      <w:r>
        <w:t xml:space="preserve">concentration can be expressed in the model only in the charged form; e.g.,</w:t>
      </w:r>
      <w:r>
        <w:t xml:space="preserve"> </w:t>
      </w:r>
      <w:r>
        <w:t xml:space="preserve">protons,</w:t>
      </w:r>
      <w:r>
        <w:t xml:space="preserve"> </w:t>
      </w:r>
      <m:oMath>
        <m:sSup>
          <m:e>
            <m:r>
              <m:t>K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N</m:t>
        </m:r>
        <m:sSup>
          <m:e>
            <m:r>
              <m:t>a</m:t>
            </m:r>
          </m:e>
          <m:sup>
            <m:r>
              <m:rPr>
                <m:sty m:val="p"/>
              </m:rPr>
              <m:t>+</m:t>
            </m:r>
          </m:sup>
        </m:sSup>
      </m:oMath>
      <w:r>
        <w:t xml:space="preserve">,</w:t>
      </w:r>
      <w:r>
        <w:t xml:space="preserve"> </w:t>
      </w:r>
      <m:oMath>
        <m:r>
          <m:t>C</m:t>
        </m:r>
        <m:sSup>
          <m:e>
            <m:r>
              <m:t>l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, etc.</w:t>
      </w:r>
    </w:p>
    <w:p>
      <w:pPr>
        <w:pStyle w:val="BodyText"/>
      </w:pPr>
      <w:r>
        <w:t xml:space="preserve">The term</w:t>
      </w:r>
      <w:r>
        <w:t xml:space="preserve"> </w:t>
      </w:r>
      <m:oMath>
        <m:r>
          <m:t>S</m:t>
        </m:r>
        <m:r>
          <m:t>a</m:t>
        </m:r>
        <m:r>
          <m:t>t</m:t>
        </m:r>
        <m:r>
          <m:t>u</m:t>
        </m:r>
        <m:r>
          <m:t>r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real numbers representing, for each reaction, the fraction of</w:t>
      </w:r>
      <w:r>
        <w:t xml:space="preserve"> </w:t>
      </w:r>
      <w:r>
        <w:t xml:space="preserve">enzyme that is saturated, i.e. bound to one of the reaction’s substrates.</w:t>
      </w:r>
      <w:r>
        <w:t xml:space="preserve"> </w:t>
      </w:r>
      <w:r>
        <w:t xml:space="preserve">To describe saturation we use equation</w:t>
      </w:r>
      <w:r>
        <w:t xml:space="preserve"> </w:t>
      </w:r>
      <w:r>
        <w:t xml:space="preserve">, which is taken</w:t>
      </w:r>
      <w:r>
        <w:t xml:space="preserve"> </w:t>
      </w:r>
      <w:r>
        <w:t xml:space="preserve">from</w:t>
      </w:r>
      <w:r>
        <w:t xml:space="preserve"> </w:t>
      </w:r>
      <w:r>
        <w:t xml:space="preserve">Liebermeister, Uhlendorf, and Klipp (2010)</w:t>
      </w:r>
      <w:r>
        <w:t xml:space="preserve">. Additionally, this term captures competitive</w:t>
      </w:r>
      <w:r>
        <w:t xml:space="preserve"> </w:t>
      </w:r>
      <w:r>
        <w:t xml:space="preserve">inhibition: as competitive inhibitor concentration increases, the saturation</w:t>
      </w:r>
      <w:r>
        <w:t xml:space="preserve"> </w:t>
      </w:r>
      <w:r>
        <w:t xml:space="preserve">denominator increases, effectively decreasing the saturation of the substrate on</w:t>
      </w:r>
      <w:r>
        <w:t xml:space="preserve"> </w:t>
      </w:r>
      <w:r>
        <w:t xml:space="preserve">the total enzyme pool. Conversely, as the substrate concentration increases this</w:t>
      </w:r>
      <w:r>
        <w:t xml:space="preserve"> </w:t>
      </w:r>
      <w:r>
        <w:t xml:space="preserve">term approaches 1.</w:t>
      </w:r>
    </w:p>
    <w:p>
      <w:pPr>
        <w:pStyle w:val="BodyText"/>
      </w:pPr>
    </w:p>
    <w:p>
      <w:pPr>
        <w:pStyle w:val="BodyText"/>
      </w:pPr>
      <w:r>
        <w:t xml:space="preserve">The term</w:t>
      </w:r>
      <w:r>
        <w:t xml:space="preserve"> </w:t>
      </w:r>
      <m:oMath>
        <m:r>
          <m:t>A</m:t>
        </m:r>
        <m:r>
          <m:t>l</m:t>
        </m:r>
        <m:r>
          <m:t>l</m:t>
        </m:r>
        <m:r>
          <m:t>o</m:t>
        </m:r>
        <m:r>
          <m:t>s</m:t>
        </m:r>
        <m:r>
          <m:t>t</m:t>
        </m:r>
        <m:r>
          <m:t>e</m:t>
        </m:r>
        <m:r>
          <m:t>r</m:t>
        </m:r>
        <m:r>
          <m:t>y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a vector of</w:t>
      </w:r>
      <w:r>
        <w:t xml:space="preserve"> </w:t>
      </w:r>
      <w:r>
        <w:t xml:space="preserve">non-negative numbers describing the effect of allosteric regulation on each</w:t>
      </w:r>
      <w:r>
        <w:t xml:space="preserve"> </w:t>
      </w:r>
      <w:r>
        <w:t xml:space="preserve">reaction. Allosteric regulation happens when binding to a certain molecule</w:t>
      </w:r>
      <w:r>
        <w:t xml:space="preserve"> </w:t>
      </w:r>
      <w:r>
        <w:t xml:space="preserve">changes an enzyme’s shape in a way that changes its catalytic behaviour. We</w:t>
      </w:r>
      <w:r>
        <w:t xml:space="preserve"> </w:t>
      </w:r>
      <w:r>
        <w:t xml:space="preserve">use equation</w:t>
      </w:r>
      <w:r>
        <w:t xml:space="preserve"> </w:t>
      </w:r>
      <w:r>
        <w:t xml:space="preserve"> </w:t>
      </w:r>
      <w:r>
        <w:t xml:space="preserve">to describe this phenomenon, following the</w:t>
      </w:r>
      <w:r>
        <w:t xml:space="preserve"> </w:t>
      </w:r>
      <w:r>
        <w:t xml:space="preserve">generalised MWC approach described in</w:t>
      </w:r>
      <w:r>
        <w:t xml:space="preserve"> </w:t>
      </w:r>
      <w:r>
        <w:t xml:space="preserve">Monod, Wyman, and Changeux (1965)</w:t>
      </w:r>
      <w:r>
        <w:t xml:space="preserve">,</w:t>
      </w:r>
      <w:r>
        <w:t xml:space="preserve"> </w:t>
      </w:r>
      <w:r>
        <w:t xml:space="preserve">Changeux (2013)</w:t>
      </w:r>
      <w:r>
        <w:t xml:space="preserve">,</w:t>
      </w:r>
      <w:r>
        <w:t xml:space="preserve"> </w:t>
      </w:r>
      <w:r>
        <w:t xml:space="preserve">Popova and Sel’kov (1975)</w:t>
      </w:r>
      <w:r>
        <w:t xml:space="preserve"> </w:t>
      </w:r>
      <w:r>
        <w:t xml:space="preserve">and</w:t>
      </w:r>
      <w:r>
        <w:t xml:space="preserve"> </w:t>
      </w:r>
      <w:r>
        <w:t xml:space="preserve">Popova and Sel’kov (1979)</w:t>
      </w:r>
      <w:r>
        <w:t xml:space="preserve">.</w:t>
      </w:r>
    </w:p>
    <w:p>
      <w:pPr>
        <w:pStyle w:val="BodyText"/>
      </w:pPr>
    </w:p>
    <w:p>
      <w:pPr>
        <w:pStyle w:val="BodyText"/>
      </w:pPr>
      <w:r>
        <w:t xml:space="preserve">The parameter</w:t>
      </w:r>
      <w:r>
        <w:t xml:space="preserve"> </w:t>
      </w:r>
      <m:oMath>
        <m:sSub>
          <m:e>
            <m:r>
              <m:t>L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is called the transfer</w:t>
      </w:r>
      <w:r>
        <w:t xml:space="preserve"> </w:t>
      </w:r>
      <w:r>
        <w:t xml:space="preserve">constant, and the parameter vectors</w:t>
      </w:r>
      <w:r>
        <w:t xml:space="preserve"> </w:t>
      </w:r>
      <m:oMath>
        <m:sSub>
          <m:e>
            <m:r>
              <m:t>e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e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are called tense and relaxed</w:t>
      </w:r>
      <w:r>
        <w:t xml:space="preserve"> </w:t>
      </w:r>
      <w:r>
        <w:t xml:space="preserve">dissociation constants respectively.</w:t>
      </w:r>
    </w:p>
    <w:p>
      <w:pPr>
        <w:pStyle w:val="BodyText"/>
      </w:pPr>
      <w:r>
        <w:t xml:space="preserve">Finally, the term</w:t>
      </w:r>
      <w:r>
        <w:t xml:space="preserve"> </w:t>
      </w:r>
      <m:oMath>
        <m:r>
          <m:t>P</m:t>
        </m:r>
        <m:r>
          <m:t>h</m:t>
        </m:r>
        <m:r>
          <m:t>o</m:t>
        </m:r>
        <m:r>
          <m:t>s</m:t>
        </m:r>
        <m:r>
          <m:t>p</m:t>
        </m:r>
        <m:r>
          <m:t>h</m:t>
        </m:r>
        <m:r>
          <m:t>o</m:t>
        </m:r>
        <m:r>
          <m:t>r</m:t>
        </m:r>
        <m:r>
          <m:t>y</m:t>
        </m:r>
        <m:r>
          <m:t>l</m:t>
        </m:r>
        <m:r>
          <m:t>a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in equation</w:t>
      </w:r>
      <w:r>
        <w:t xml:space="preserve"> </w:t>
      </w:r>
      <w:r>
        <w:t xml:space="preserve"> </w:t>
      </w:r>
      <w:r>
        <w:t xml:space="preserve">captures the important effect whereby enzyme activity is altered due to a</w:t>
      </w:r>
      <w:r>
        <w:t xml:space="preserve"> </w:t>
      </w:r>
      <w:r>
        <w:t xml:space="preserve">coupled process of phosphorylation and dephosphorylation. This description</w:t>
      </w:r>
      <w:r>
        <w:t xml:space="preserve"> </w:t>
      </w:r>
      <w:r>
        <w:t xml:space="preserve">achieves a similar behaviour to the MWC formalism for describing allosteric</w:t>
      </w:r>
      <w:r>
        <w:t xml:space="preserve"> </w:t>
      </w:r>
      <w:r>
        <w:t xml:space="preserve">regulation, but using the rates of phosphorylation and dephosphorylation rather</w:t>
      </w:r>
      <w:r>
        <w:t xml:space="preserve"> </w:t>
      </w:r>
      <w:r>
        <w:t xml:space="preserve">than concentrations of metabolites.</w:t>
      </w:r>
    </w:p>
    <w:p>
      <w:pPr>
        <w:pStyle w:val="BodyText"/>
      </w:pPr>
    </w:p>
    <w:bookmarkEnd w:id="23"/>
    <w:bookmarkEnd w:id="24"/>
    <w:bookmarkStart w:id="30" w:name="sec-methionine-case-study"/>
    <w:p>
      <w:pPr>
        <w:pStyle w:val="Heading1"/>
      </w:pPr>
      <w:r>
        <w:t xml:space="preserve">Methionine case study</w:t>
      </w:r>
    </w:p>
    <w:bookmarkStart w:id="25" w:name="dataset-generation"/>
    <w:p>
      <w:pPr>
        <w:pStyle w:val="Heading2"/>
      </w:pPr>
      <w:r>
        <w:t xml:space="preserve">Dataset generation</w:t>
      </w:r>
    </w:p>
    <w:p>
      <w:pPr>
        <w:pStyle w:val="FirstParagraph"/>
      </w:pPr>
      <w:r>
        <w:t xml:space="preserve">Starting with the model in</w:t>
      </w:r>
      <w:r>
        <w:t xml:space="preserve"> </w:t>
      </w:r>
      <w:r>
        <w:t xml:space="preserve">Saa and Nielsen (2016)</w:t>
      </w:r>
      <w:r>
        <w:t xml:space="preserve">, we extracted values for</w:t>
      </w:r>
      <w:r>
        <w:t xml:space="preserve"> </w:t>
      </w:r>
      <w:r>
        <w:t xml:space="preserve">enzyme concentrations, boundary conditions and fluxes. We used these values</w:t>
      </w:r>
      <w:r>
        <w:t xml:space="preserve"> </w:t>
      </w:r>
      <w:r>
        <w:t xml:space="preserve">to generate MCMC samples using Maud using the priors specified in section</w:t>
      </w:r>
      <w:r>
        <w:t xml:space="preserve"> </w:t>
      </w:r>
      <w:hyperlink w:anchor="sec-methionine-priors">
        <w:r>
          <w:rPr>
            <w:rStyle w:val="Hyperlink"/>
          </w:rPr>
          <w:t xml:space="preserve">Section 2.2</w:t>
        </w:r>
      </w:hyperlink>
      <w:r>
        <w:t xml:space="preserve">. When this was finished, we selected one sample with</w:t>
      </w:r>
      <w:r>
        <w:t xml:space="preserve"> </w:t>
      </w:r>
      <w:r>
        <w:t xml:space="preserve">relatively high log probability to use as a ground truth in our case study.</w:t>
      </w:r>
      <w:r>
        <w:t xml:space="preserve"> </w:t>
      </w:r>
      <w:r>
        <w:t xml:space="preserve">These parameter values are shown below in table</w:t>
      </w:r>
      <w:r>
        <w:t xml:space="preserve"> </w:t>
      </w: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. We</w:t>
      </w:r>
      <w:r>
        <w:t xml:space="preserve"> </w:t>
      </w:r>
      <w:r>
        <w:t xml:space="preserve">manually inspected the parameter values to screen for any obviously implausible</w:t>
      </w:r>
      <w:r>
        <w:t xml:space="preserve"> </w:t>
      </w:r>
      <w:r>
        <w:t xml:space="preserve">values; we did not find any of these.</w:t>
      </w:r>
    </w:p>
    <w:bookmarkEnd w:id="25"/>
    <w:bookmarkStart w:id="28" w:name="sec-methionine-priors"/>
    <w:p>
      <w:pPr>
        <w:pStyle w:val="Heading2"/>
      </w:pPr>
      <w:r>
        <w:t xml:space="preserve">Prior distributions compared with true parameter values</w:t>
      </w:r>
    </w:p>
    <w:p>
      <w:pPr>
        <w:pStyle w:val="FirstParagraph"/>
      </w:pPr>
      <w:hyperlink w:anchor="tbl-case-study-params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shows the prior distributions we used for independent</w:t>
      </w:r>
      <w:r>
        <w:t xml:space="preserve"> </w:t>
      </w:r>
      <w:r>
        <w:t xml:space="preserve">parameters.</w:t>
      </w:r>
    </w:p>
    <w:bookmarkStart w:id="26" w:name="tbl-case-study-params"/>
    <w:p>
      <w:pPr>
        <w:pStyle w:val="TableCaption"/>
      </w:pPr>
      <w:r>
        <w:t xml:space="preserve">Table 2: Parameter specification, marginal prior distributions and true parameter values used in our case study.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Parameter specification, marginal prior distributions and true parameter values used in our case study."/>
      </w:tblPr>
      <w:tblGrid>
        <w:gridCol w:w="2543"/>
        <w:gridCol w:w="1235"/>
        <w:gridCol w:w="1307"/>
        <w:gridCol w:w="871"/>
        <w:gridCol w:w="196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99% prior quantile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 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 Z-score of true value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3.430e-06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0.002480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-2.787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𝑅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2.290e-04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e</m:t>
                  </m:r>
                </m:e>
                <m:sub>
                  <m:r>
                    <m:t>𝑇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0.549306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2.340e+02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0.179861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6.000e+00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7.020e+00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-2.887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1.050e+01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0.352083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8.200e-02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59.100000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7.900e+00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5.890e-01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424.000000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1.990e+01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0.080556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4.840e-01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349.000000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1.160e+00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t>k</m:t>
                  </m:r>
                  <m:r>
                    <m:t>c</m:t>
                  </m:r>
                  <m:r>
                    <m:t>a</m:t>
                  </m:r>
                  <m:r>
                    <m:t>t</m:t>
                  </m:r>
                  <m:r>
                    <m:t>M</m:t>
                  </m:r>
                  <m:r>
                    <m:t>S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3.170e+00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0.183333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𝑐</m:t>
                  </m:r>
                  <m:r>
                    <m:t>𝑎</m:t>
                  </m:r>
                  <m:r>
                    <m:t>𝑡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0.222000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2.650e-01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3.000e-04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𝐼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0.037600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-2.050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𝑑</m:t>
                  </m:r>
                  <m:r>
                    <m:t>𝑛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1.670e-07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5.660e-06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0.081944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𝐴</m:t>
                  </m:r>
                  <m:r>
                    <m:t>𝐻</m:t>
                  </m:r>
                  <m:r>
                    <m:t>𝐶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1.580e-07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0.318056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𝐵</m:t>
                  </m:r>
                  <m:r>
                    <m:t>𝐻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𝑏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4.720e-05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8.460e-03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0.659028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3.090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𝑒</m:t>
                  </m:r>
                  <m:r>
                    <m:t>𝑟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2.830e-06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1.300e-05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5.200e-04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4.100e-07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0.000295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𝑔</m:t>
                  </m:r>
                  <m:r>
                    <m:t>𝑙</m:t>
                  </m:r>
                  <m:r>
                    <m:t>𝑦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5.480e-05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2.540e-03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0.189583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𝑠</m:t>
                  </m:r>
                  <m:r>
                    <m:t>𝑎</m:t>
                  </m:r>
                  <m:r>
                    <m:t>𝑟</m:t>
                  </m:r>
                  <m:r>
                    <m:t>𝑐</m:t>
                  </m:r>
                  <m:r>
                    <m:t>𝑠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1.000e-07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1.400e-05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0.000720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1.070e-04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0.125694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4.470e-05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𝑡</m:t>
                  </m:r>
                  <m:r>
                    <m:t>𝑝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5.270e-05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2.370e-03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0.179167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𝐸</m:t>
                  </m:r>
                  <m:r>
                    <m:t>𝑇</m:t>
                  </m:r>
                  <m:r>
                    <m:t>𝐻</m:t>
                  </m:r>
                  <m:r>
                    <m:rPr>
                      <m:sty m:val="p"/>
                    </m:rPr>
                    <m:t>−</m:t>
                  </m:r>
                  <m:r>
                    <m:t>𝐺</m:t>
                  </m:r>
                  <m:r>
                    <m:t>𝑒</m:t>
                  </m:r>
                  <m:r>
                    <m:t>𝑛</m:t>
                  </m:r>
                  <m:r>
                    <m:rPr>
                      <m:sty m:val="p"/>
                    </m:rPr>
                    <m:t>,</m:t>
                  </m:r>
                  <m:r>
                    <m:t>𝑎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9.370e-06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5</m:t>
                  </m:r>
                  <m:r>
                    <m:t>𝑚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3.320e-06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6.940e-05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-0.124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𝑆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ℎ</m:t>
                  </m:r>
                  <m:r>
                    <m:t>𝑐</m:t>
                  </m:r>
                  <m:r>
                    <m:t>𝑦</m:t>
                  </m:r>
                  <m:r>
                    <m:t>𝑠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1.000e-06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1.710e-06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-0.054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𝑙</m:t>
                  </m:r>
                  <m:r>
                    <m:t>𝑡</m:t>
                  </m:r>
                  <m:r>
                    <m:t>ℎ</m:t>
                  </m:r>
                  <m:r>
                    <m:t>𝑓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8.080e-05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-0.158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𝑛</m:t>
                  </m:r>
                  <m:r>
                    <m:t>𝑎</m:t>
                  </m:r>
                  <m:r>
                    <m:t>𝑑</m:t>
                  </m:r>
                  <m:r>
                    <m:t>𝑝</m:t>
                  </m:r>
                  <m:r>
                    <m:t>ℎ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𝑀</m:t>
                  </m:r>
                </m:sub>
                <m:sup>
                  <m:r>
                    <m:t>𝑃</m:t>
                  </m:r>
                  <m:r>
                    <m:t>𝑅</m:t>
                  </m:r>
                  <m:r>
                    <m:t>𝑂</m:t>
                  </m:r>
                  <m:r>
                    <m:t>𝑇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𝑚</m:t>
                  </m:r>
                  <m:r>
                    <m:t>𝑒</m:t>
                  </m:r>
                  <m:r>
                    <m:t>𝑡</m:t>
                  </m:r>
                  <m:r>
                    <m:rPr>
                      <m:sty m:val="p"/>
                    </m:rPr>
                    <m:t>−</m:t>
                  </m:r>
                  <m:r>
                    <m:t>𝐿</m:t>
                  </m:r>
                  <m:r>
                    <m:t>𝑐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4.500e-05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4.390e-05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-2.507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𝐶</m:t>
                  </m:r>
                  <m:r>
                    <m:t>𝐵</m:t>
                  </m:r>
                  <m:r>
                    <m:t>𝑆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1.030e+00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𝐺</m:t>
                  </m:r>
                  <m:r>
                    <m:t>𝑁</m:t>
                  </m:r>
                  <m:r>
                    <m:t>𝑀</m:t>
                  </m:r>
                  <m:r>
                    <m:t>𝑇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26.800000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1.310e+02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0.3875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𝐴</m:t>
                  </m:r>
                  <m:r>
                    <m:t>𝑇</m:t>
                  </m:r>
                  <m:r>
                    <m:t>3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3.730e-03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0.037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𝐿</m:t>
                  </m:r>
                </m:e>
                <m:sub>
                  <m:r>
                    <m:t>0</m:t>
                  </m:r>
                </m:sub>
                <m:sup>
                  <m:r>
                    <m:t>𝑀</m:t>
                  </m:r>
                  <m:r>
                    <m:t>𝑇</m:t>
                  </m:r>
                  <m:r>
                    <m:t>𝐻</m:t>
                  </m:r>
                  <m:r>
                    <m:t>𝐹</m:t>
                  </m:r>
                  <m:r>
                    <m:t>𝑅</m:t>
                  </m:r>
                  <m:r>
                    <m:t>1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1.120e-01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80.500000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3.920e-01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-1.018</w:t>
            </w:r>
          </w:p>
        </w:tc>
      </w:tr>
    </w:tbl>
    <w:bookmarkEnd w:id="26"/>
    <w:p>
      <w:pPr>
        <w:pStyle w:val="BodyText"/>
      </w:pP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 for most metabolites were fixed; those that were</w:t>
      </w:r>
      <w:r>
        <w:t xml:space="preserve"> </w:t>
      </w:r>
      <w:r>
        <w:t xml:space="preserve">modelled as unknown had a multivariate normal prior distribution derived from</w:t>
      </w:r>
      <w:r>
        <w:t xml:space="preserve"> </w:t>
      </w:r>
      <w:r>
        <w:t xml:space="preserve">eQuilibrator</w:t>
      </w:r>
      <w:r>
        <w:t xml:space="preserve"> </w:t>
      </w:r>
      <w:r>
        <w:t xml:space="preserve">(Beber et al. 2021)</w:t>
      </w:r>
      <w:r>
        <w:t xml:space="preserve">.</w:t>
      </w:r>
    </w:p>
    <w:p>
      <w:pPr>
        <w:pStyle w:val="BodyText"/>
      </w:pPr>
      <w:r>
        <w:t xml:space="preserve">The values for</w:t>
      </w:r>
      <w:r>
        <w:t xml:space="preserve"> </w:t>
      </w:r>
      <m:oMath>
        <m:sSub>
          <m:e>
            <m:r>
              <m:t>Δ</m:t>
            </m:r>
          </m:e>
          <m:sub>
            <m:r>
              <m:t>f</m:t>
            </m:r>
          </m:sub>
        </m:sSub>
        <m:r>
          <m:t>G</m:t>
        </m:r>
      </m:oMath>
      <w:r>
        <w:t xml:space="preserve"> </w:t>
      </w:r>
      <w:r>
        <w:t xml:space="preserve">parameters, as well as all other model parameters,</w:t>
      </w:r>
      <w:r>
        <w:t xml:space="preserve"> </w:t>
      </w:r>
      <w:r>
        <w:t xml:space="preserve">can be found by inspecting the file</w:t>
      </w:r>
      <w:r>
        <w:t xml:space="preserve"> </w:t>
      </w:r>
      <w:r>
        <w:rPr>
          <w:rStyle w:val="VerbatimChar"/>
        </w:rPr>
        <w:t xml:space="preserve">priors.toml</w:t>
      </w:r>
      <w:r>
        <w:t xml:space="preserve"> </w:t>
      </w:r>
      <w:r>
        <w:t xml:space="preserve">which is online at</w:t>
      </w:r>
      <w:r>
        <w:t xml:space="preserve"> </w:t>
      </w:r>
      <w:hyperlink r:id="rId27">
        <w:r>
          <w:rPr>
            <w:rStyle w:val="Hyperlink"/>
          </w:rPr>
          <w:t xml:space="preserve">https://github.com/biosustain/Methionine_model/blob/main/data/methionine/priors.toml</w:t>
        </w:r>
      </w:hyperlink>
      <w:r>
        <w:t xml:space="preserve">.</w:t>
      </w:r>
    </w:p>
    <w:bookmarkEnd w:id="28"/>
    <w:bookmarkStart w:id="29" w:name="computation"/>
    <w:p>
      <w:pPr>
        <w:pStyle w:val="Heading2"/>
      </w:pPr>
      <w:r>
        <w:t xml:space="preserve">Computation</w:t>
      </w:r>
    </w:p>
    <w:p>
      <w:pPr>
        <w:pStyle w:val="FirstParagraph"/>
      </w:pPr>
      <w:r>
        <w:t xml:space="preserve">We conducted adaptive Hamiltonian Monte Carlo sampling for the full and missing-</w:t>
      </w:r>
      <w:r>
        <w:t xml:space="preserve"> </w:t>
      </w:r>
      <w:r>
        <w:t xml:space="preserve">-data datasets. For the full dataset we obtained 1000 post-warmup samples each</w:t>
      </w:r>
      <w:r>
        <w:t xml:space="preserve"> </w:t>
      </w:r>
      <w:r>
        <w:t xml:space="preserve">from 4 independent Markov chains after 1000 warm-up samples and</w:t>
      </w:r>
      <w:r>
        <w:t xml:space="preserve"> </w:t>
      </w:r>
      <w:r>
        <w:t xml:space="preserve">“</w:t>
      </w:r>
      <w:r>
        <w:t xml:space="preserve">hot-starting</w:t>
      </w:r>
      <w:r>
        <w:t xml:space="preserve">”</w:t>
      </w:r>
      <w:r>
        <w:t xml:space="preserve"> </w:t>
      </w:r>
      <w:r>
        <w:t xml:space="preserve">with a mass metric output by a previous model run.</w:t>
      </w:r>
    </w:p>
    <w:p>
      <w:pPr>
        <w:pStyle w:val="BodyText"/>
      </w:pPr>
      <w:r>
        <w:t xml:space="preserve">For the missing-data dataset XXX.</w:t>
      </w:r>
    </w:p>
    <w:bookmarkEnd w:id="29"/>
    <w:bookmarkEnd w:id="30"/>
    <w:bookmarkStart w:id="33" w:name="laplace-approximation-case-study"/>
    <w:p>
      <w:pPr>
        <w:pStyle w:val="Heading1"/>
      </w:pPr>
      <w:r>
        <w:t xml:space="preserve">Laplace approximation case study</w:t>
      </w:r>
    </w:p>
    <w:p>
      <w:pPr>
        <w:pStyle w:val="FirstParagraph"/>
      </w:pPr>
      <w:r>
        <w:t xml:space="preserve">To compare MCMC sampling with Laplace approximation we used a different model.</w:t>
      </w:r>
      <w:r>
        <w:t xml:space="preserve"> </w:t>
      </w:r>
      <w:r>
        <w:t xml:space="preserve">The full Maud input folders can be found at</w:t>
      </w:r>
      <w:r>
        <w:t xml:space="preserve"> </w:t>
      </w:r>
      <w:hyperlink r:id="rId31">
        <w:r>
          <w:rPr>
            <w:rStyle w:val="Hyperlink"/>
          </w:rPr>
          <w:t xml:space="preserve">https://github.com/biosustain/Methionine_model/tree/main/data/example_ode</w:t>
        </w:r>
      </w:hyperlink>
      <w:r>
        <w:t xml:space="preserve"> </w:t>
      </w:r>
      <w:r>
        <w:t xml:space="preserve">and</w:t>
      </w:r>
      <w:r>
        <w:t xml:space="preserve"> </w:t>
      </w:r>
      <w:hyperlink r:id="rId32">
        <w:r>
          <w:rPr>
            <w:rStyle w:val="Hyperlink"/>
          </w:rPr>
          <w:t xml:space="preserve">https://github.com/biosustain/Methionine_model/tree/main/data/example_ode_laplace</w:t>
        </w:r>
      </w:hyperlink>
    </w:p>
    <w:p>
      <w:pPr>
        <w:pStyle w:val="BodyText"/>
      </w:pPr>
      <w:r>
        <w:t xml:space="preserve">To generate Laplace samples we used Maud’s Laplace mode.</w:t>
      </w:r>
    </w:p>
    <w:bookmarkEnd w:id="33"/>
    <w:bookmarkStart w:id="49" w:name="references"/>
    <w:p>
      <w:pPr>
        <w:pStyle w:val="Heading1"/>
      </w:pPr>
      <w:r>
        <w:t xml:space="preserve">References</w:t>
      </w:r>
    </w:p>
    <w:bookmarkStart w:id="48" w:name="refs"/>
    <w:bookmarkStart w:id="35" w:name="X57a0143b9221ff936412697d60c41040d9589bf"/>
    <w:p>
      <w:pPr>
        <w:pStyle w:val="Bibliography"/>
      </w:pPr>
      <w:r>
        <w:t xml:space="preserve">Beber, Moritz E., Mattia G. Gollub, Dana Mozaffari, Kevin M. Shebek, and Elad Noor. 2021.</w:t>
      </w:r>
      <w:r>
        <w:t xml:space="preserve"> </w:t>
      </w:r>
      <w:r>
        <w:t xml:space="preserve">“</w:t>
      </w:r>
      <w:r>
        <w:t xml:space="preserve">eQuilibrator</w:t>
      </w:r>
      <w:r>
        <w:t xml:space="preserve"> </w:t>
      </w:r>
      <w:r>
        <w:t xml:space="preserve">3.0 – a Platform for the Estimation of Thermodynamic Constants.”</w:t>
      </w:r>
      <w:r>
        <w:t xml:space="preserve"> </w:t>
      </w:r>
      <w:r>
        <w:rPr>
          <w:iCs/>
          <w:i/>
        </w:rPr>
        <w:t xml:space="preserve">arXiv:2103.00621 [q-Bio]</w:t>
      </w:r>
      <w:r>
        <w:t xml:space="preserve">, February.</w:t>
      </w:r>
      <w:r>
        <w:t xml:space="preserve"> </w:t>
      </w:r>
      <w:hyperlink r:id="rId34">
        <w:r>
          <w:rPr>
            <w:rStyle w:val="Hyperlink"/>
          </w:rPr>
          <w:t xml:space="preserve">http://arxiv.org/abs/2103.00621</w:t>
        </w:r>
      </w:hyperlink>
      <w:r>
        <w:t xml:space="preserve">.</w:t>
      </w:r>
    </w:p>
    <w:bookmarkEnd w:id="35"/>
    <w:bookmarkStart w:id="37" w:name="ref-changeux_2013"/>
    <w:p>
      <w:pPr>
        <w:pStyle w:val="Bibliography"/>
      </w:pPr>
      <w:r>
        <w:t xml:space="preserve">Changeux, Jean-Pierre. 2013.</w:t>
      </w:r>
      <w:r>
        <w:t xml:space="preserve"> </w:t>
      </w:r>
      <w:r>
        <w:t xml:space="preserve">“50 Years of Allosteric Interactions: The Twists and Turns of the Models.”</w:t>
      </w:r>
      <w:r>
        <w:t xml:space="preserve"> </w:t>
      </w:r>
      <w:r>
        <w:rPr>
          <w:iCs/>
          <w:i/>
        </w:rPr>
        <w:t xml:space="preserve">Nature Reviews. Molecular Cell Biology</w:t>
      </w:r>
      <w:r>
        <w:t xml:space="preserve"> </w:t>
      </w:r>
      <w:r>
        <w:t xml:space="preserve">14 (12): 819–29.</w:t>
      </w:r>
      <w:r>
        <w:t xml:space="preserve"> </w:t>
      </w:r>
      <w:hyperlink r:id="rId36">
        <w:r>
          <w:rPr>
            <w:rStyle w:val="Hyperlink"/>
          </w:rPr>
          <w:t xml:space="preserve">https://doi.org/10.1038/nrm3695</w:t>
        </w:r>
      </w:hyperlink>
      <w:r>
        <w:t xml:space="preserve">.</w:t>
      </w:r>
    </w:p>
    <w:bookmarkEnd w:id="37"/>
    <w:bookmarkStart w:id="39" w:name="ref-liebermeister_modular_2010"/>
    <w:p>
      <w:pPr>
        <w:pStyle w:val="Bibliography"/>
      </w:pPr>
      <w:r>
        <w:t xml:space="preserve">Liebermeister, Wolfram, Jannis Uhlendorf, and Edda Klipp. 2010.</w:t>
      </w:r>
      <w:r>
        <w:t xml:space="preserve"> </w:t>
      </w:r>
      <w:r>
        <w:t xml:space="preserve">“Modular Rate Laws for Enzymatic Reactions: Thermodynamics, Elasticities and Implementation.”</w:t>
      </w:r>
      <w:r>
        <w:t xml:space="preserve"> </w:t>
      </w:r>
      <w:r>
        <w:rPr>
          <w:iCs/>
          <w:i/>
        </w:rPr>
        <w:t xml:space="preserve">Bioinformatics</w:t>
      </w:r>
      <w:r>
        <w:t xml:space="preserve"> </w:t>
      </w:r>
      <w:r>
        <w:t xml:space="preserve">26 (12): 1528–34.</w:t>
      </w:r>
      <w:r>
        <w:t xml:space="preserve"> </w:t>
      </w:r>
      <w:hyperlink r:id="rId38">
        <w:r>
          <w:rPr>
            <w:rStyle w:val="Hyperlink"/>
          </w:rPr>
          <w:t xml:space="preserve">https://doi.org/10.1093/bioinformatics/btq141</w:t>
        </w:r>
      </w:hyperlink>
      <w:r>
        <w:t xml:space="preserve">.</w:t>
      </w:r>
    </w:p>
    <w:bookmarkEnd w:id="39"/>
    <w:bookmarkStart w:id="41" w:name="ref-monod_nature_1965"/>
    <w:p>
      <w:pPr>
        <w:pStyle w:val="Bibliography"/>
      </w:pPr>
      <w:r>
        <w:t xml:space="preserve">Monod, J, J Wyman, and J P Changeux. 1965.</w:t>
      </w:r>
      <w:r>
        <w:t xml:space="preserve"> </w:t>
      </w:r>
      <w:r>
        <w:t xml:space="preserve">“On the Nature of Allosteric Transitions: A Plausible Model.”</w:t>
      </w:r>
      <w:r>
        <w:t xml:space="preserve"> </w:t>
      </w:r>
      <w:r>
        <w:rPr>
          <w:iCs/>
          <w:i/>
        </w:rPr>
        <w:t xml:space="preserve">Journal of Molecular Biology</w:t>
      </w:r>
      <w:r>
        <w:t xml:space="preserve"> </w:t>
      </w:r>
      <w:r>
        <w:t xml:space="preserve">12 (May): 88–118.</w:t>
      </w:r>
      <w:r>
        <w:t xml:space="preserve"> </w:t>
      </w:r>
      <w:hyperlink r:id="rId40">
        <w:r>
          <w:rPr>
            <w:rStyle w:val="Hyperlink"/>
          </w:rPr>
          <w:t xml:space="preserve">https://doi.org/10.1016/S0022-2836(65)80285-6</w:t>
        </w:r>
      </w:hyperlink>
      <w:r>
        <w:t xml:space="preserve">.</w:t>
      </w:r>
    </w:p>
    <w:bookmarkEnd w:id="41"/>
    <w:bookmarkStart w:id="43" w:name="ref-popova_generalization_1975"/>
    <w:p>
      <w:pPr>
        <w:pStyle w:val="Bibliography"/>
      </w:pPr>
      <w:r>
        <w:t xml:space="preserve">Popova, S V, and E E Sel’kov. 1975.</w:t>
      </w:r>
      <w:r>
        <w:t xml:space="preserve"> </w:t>
      </w:r>
      <w:r>
        <w:t xml:space="preserve">“Generalization of the Model by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 </w:t>
      </w:r>
      <w:r>
        <w:t xml:space="preserve">and</w:t>
      </w:r>
      <w:r>
        <w:t xml:space="preserve"> </w:t>
      </w:r>
      <w:r>
        <w:t xml:space="preserve">Changeux</w:t>
      </w:r>
      <w:r>
        <w:t xml:space="preserve"> </w:t>
      </w:r>
      <w:r>
        <w:t xml:space="preserve">for the Case of a Reversible Monosubtrate Reaction</w:t>
      </w:r>
      <w:r>
        <w:t xml:space="preserve"> </w:t>
      </w:r>
      <w:r>
        <w:t xml:space="preserve">SR</w:t>
      </w:r>
      <w:r>
        <w:t xml:space="preserve">,</w:t>
      </w:r>
      <w:r>
        <w:t xml:space="preserve">TP</w:t>
      </w:r>
      <w:r>
        <w:t xml:space="preserve">.”</w:t>
      </w:r>
      <w:r>
        <w:t xml:space="preserve"> </w:t>
      </w:r>
      <w:r>
        <w:rPr>
          <w:iCs/>
          <w:i/>
        </w:rPr>
        <w:t xml:space="preserve">FEBS Letters</w:t>
      </w:r>
      <w:r>
        <w:t xml:space="preserve"> </w:t>
      </w:r>
      <w:r>
        <w:t xml:space="preserve">53 (3): 269–73.</w:t>
      </w:r>
      <w:r>
        <w:t xml:space="preserve"> </w:t>
      </w:r>
      <w:hyperlink r:id="rId42">
        <w:r>
          <w:rPr>
            <w:rStyle w:val="Hyperlink"/>
          </w:rPr>
          <w:t xml:space="preserve">https://doi.org/10.1016/0014-5793(75)80034-2</w:t>
        </w:r>
      </w:hyperlink>
      <w:r>
        <w:t xml:space="preserve">.</w:t>
      </w:r>
    </w:p>
    <w:bookmarkEnd w:id="43"/>
    <w:bookmarkStart w:id="45" w:name="ref-popova_description_1979"/>
    <w:p>
      <w:pPr>
        <w:pStyle w:val="Bibliography"/>
      </w:pPr>
      <w:r>
        <w:t xml:space="preserve">———. 1979.</w:t>
      </w:r>
      <w:r>
        <w:t xml:space="preserve"> </w:t>
      </w:r>
      <w:r>
        <w:t xml:space="preserve">“[</w:t>
      </w:r>
      <w:r>
        <w:t xml:space="preserve">Description</w:t>
      </w:r>
      <w:r>
        <w:t xml:space="preserve"> </w:t>
      </w:r>
      <w:r>
        <w:t xml:space="preserve">of the Kinetics of the Two Substrate Reactions</w:t>
      </w:r>
      <w:r>
        <w:t xml:space="preserve"> </w:t>
      </w:r>
      <w:r>
        <w:t xml:space="preserve">S1</w:t>
      </w:r>
      <w:r>
        <w:t xml:space="preserve">+</w:t>
      </w:r>
      <w:r>
        <w:t xml:space="preserve">S2</w:t>
      </w:r>
      <w:r>
        <w:t xml:space="preserve"> </w:t>
      </w:r>
      <w:r>
        <w:t xml:space="preserve">Goes to and Comes from</w:t>
      </w:r>
      <w:r>
        <w:t xml:space="preserve"> </w:t>
      </w:r>
      <w:r>
        <w:t xml:space="preserve">S3</w:t>
      </w:r>
      <w:r>
        <w:t xml:space="preserve">+</w:t>
      </w:r>
      <w:r>
        <w:t xml:space="preserve">S4</w:t>
      </w:r>
      <w:r>
        <w:t xml:space="preserve"> </w:t>
      </w:r>
      <w:r>
        <w:t xml:space="preserve">by a Generalized</w:t>
      </w:r>
      <w:r>
        <w:t xml:space="preserve"> </w:t>
      </w:r>
      <w:r>
        <w:t xml:space="preserve">Monod</w:t>
      </w:r>
      <w:r>
        <w:t xml:space="preserve">,</w:t>
      </w:r>
      <w:r>
        <w:t xml:space="preserve"> </w:t>
      </w:r>
      <w:r>
        <w:t xml:space="preserve">Wyman</w:t>
      </w:r>
      <w:r>
        <w:t xml:space="preserve">,</w:t>
      </w:r>
      <w:r>
        <w:t xml:space="preserve"> </w:t>
      </w:r>
      <w:r>
        <w:t xml:space="preserve">Changeux</w:t>
      </w:r>
      <w:r>
        <w:t xml:space="preserve"> </w:t>
      </w:r>
      <w:r>
        <w:t xml:space="preserve">Model].”</w:t>
      </w:r>
      <w:r>
        <w:t xml:space="preserve"> </w:t>
      </w:r>
      <w:r>
        <w:rPr>
          <w:iCs/>
          <w:i/>
        </w:rPr>
        <w:t xml:space="preserve">Molekuliarnaia Biologiia</w:t>
      </w:r>
      <w:r>
        <w:t xml:space="preserve"> </w:t>
      </w:r>
      <w:r>
        <w:t xml:space="preserve">13 (1): 129–39.</w:t>
      </w:r>
      <w:r>
        <w:t xml:space="preserve"> </w:t>
      </w:r>
      <w:hyperlink r:id="rId44">
        <w:r>
          <w:rPr>
            <w:rStyle w:val="Hyperlink"/>
          </w:rPr>
          <w:t xml:space="preserve">https://www.ncbi.nlm.nih.gov/pubmed/156878</w:t>
        </w:r>
      </w:hyperlink>
      <w:r>
        <w:t xml:space="preserve">.</w:t>
      </w:r>
    </w:p>
    <w:bookmarkEnd w:id="45"/>
    <w:bookmarkStart w:id="47" w:name="ref-saa_construction_2016"/>
    <w:p>
      <w:pPr>
        <w:pStyle w:val="Bibliography"/>
      </w:pPr>
      <w:r>
        <w:t xml:space="preserve">Saa, Pedro A, and Lars K Nielsen. 2016.</w:t>
      </w:r>
      <w:r>
        <w:t xml:space="preserve"> </w:t>
      </w:r>
      <w:r>
        <w:t xml:space="preserve">“Construction of Feasible and Accurate Kinetic Models of Metabolism:</w:t>
      </w:r>
      <w:r>
        <w:t xml:space="preserve"> </w:t>
      </w:r>
      <w:r>
        <w:t xml:space="preserve">A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Approach.”</w:t>
      </w:r>
      <w:r>
        <w:t xml:space="preserve"> </w:t>
      </w:r>
      <w:r>
        <w:rPr>
          <w:iCs/>
          <w:i/>
        </w:rPr>
        <w:t xml:space="preserve">Scientific Reports</w:t>
      </w:r>
      <w:r>
        <w:t xml:space="preserve"> </w:t>
      </w:r>
      <w:r>
        <w:t xml:space="preserve">6 (July): 29635.</w:t>
      </w:r>
      <w:r>
        <w:t xml:space="preserve"> </w:t>
      </w:r>
      <w:hyperlink r:id="rId46">
        <w:r>
          <w:rPr>
            <w:rStyle w:val="Hyperlink"/>
          </w:rPr>
          <w:t xml:space="preserve">https://doi.org/10.1038/srep29635</w:t>
        </w:r>
      </w:hyperlink>
      <w:r>
        <w:t xml:space="preserve">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://arxiv.org/abs/2103.00621" TargetMode="External" /><Relationship Type="http://schemas.openxmlformats.org/officeDocument/2006/relationships/hyperlink" Id="rId42" Target="https://doi.org/10.1016/0014-5793(75)80034-2" TargetMode="External" /><Relationship Type="http://schemas.openxmlformats.org/officeDocument/2006/relationships/hyperlink" Id="rId40" Target="https://doi.org/10.1016/S0022-2836(65)80285-6" TargetMode="External" /><Relationship Type="http://schemas.openxmlformats.org/officeDocument/2006/relationships/hyperlink" Id="rId36" Target="https://doi.org/10.1038/nrm3695" TargetMode="External" /><Relationship Type="http://schemas.openxmlformats.org/officeDocument/2006/relationships/hyperlink" Id="rId46" Target="https://doi.org/10.1038/srep29635" TargetMode="External" /><Relationship Type="http://schemas.openxmlformats.org/officeDocument/2006/relationships/hyperlink" Id="rId38" Target="https://doi.org/10.1093/bioinformatics/btq141" TargetMode="External" /><Relationship Type="http://schemas.openxmlformats.org/officeDocument/2006/relationships/hyperlink" Id="rId27" Target="https://github.com/biosustain/Methionine_model/blob/main/data/methionine/priors.toml" TargetMode="External" /><Relationship Type="http://schemas.openxmlformats.org/officeDocument/2006/relationships/hyperlink" Id="rId20" Target="https://github.com/biosustain/Methionine_model/blob/main/results" TargetMode="External" /><Relationship Type="http://schemas.openxmlformats.org/officeDocument/2006/relationships/hyperlink" Id="rId31" Target="https://github.com/biosustain/Methionine_model/tree/main/data/example_ode" TargetMode="External" /><Relationship Type="http://schemas.openxmlformats.org/officeDocument/2006/relationships/hyperlink" Id="rId32" Target="https://github.com/biosustain/Methionine_model/tree/main/data/example_ode_laplace" TargetMode="External" /><Relationship Type="http://schemas.openxmlformats.org/officeDocument/2006/relationships/hyperlink" Id="rId44" Target="https://www.ncbi.nlm.nih.gov/pubmed/1568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information</dc:title>
  <dc:creator/>
  <cp:keywords/>
  <dcterms:created xsi:type="dcterms:W3CDTF">2023-10-30T14:06:36Z</dcterms:created>
  <dcterms:modified xsi:type="dcterms:W3CDTF">2023-10-30T14:06:36Z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