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  <w:r>
        <w:t xml:space="preserve"> </w:t>
      </w:r>
      <w:r>
        <w:t xml:space="preserve">-</w:t>
      </w:r>
      <w:r>
        <w:t xml:space="preserve"> </w:t>
      </w:r>
      <w:r>
        <w:t xml:space="preserve">Bayesian</w:t>
      </w:r>
      <w:r>
        <w:t xml:space="preserve"> </w:t>
      </w:r>
      <w:r>
        <w:t xml:space="preserve">regression</w:t>
      </w:r>
      <w:r>
        <w:t xml:space="preserve"> </w:t>
      </w:r>
      <w:r>
        <w:t xml:space="preserve">facilitates</w:t>
      </w:r>
      <w:r>
        <w:t xml:space="preserve"> </w:t>
      </w:r>
      <w:r>
        <w:t xml:space="preserve">quantitative</w:t>
      </w:r>
      <w:r>
        <w:t xml:space="preserve"> </w:t>
      </w:r>
      <w:r>
        <w:t xml:space="preserve">modelling</w:t>
      </w:r>
      <w:r>
        <w:t xml:space="preserve"> </w:t>
      </w:r>
      <w:r>
        <w:t xml:space="preserve">of</w:t>
      </w:r>
      <w:r>
        <w:t xml:space="preserve"> </w:t>
      </w:r>
      <w:r>
        <w:t xml:space="preserve">cell</w:t>
      </w:r>
      <w:r>
        <w:t xml:space="preserve"> </w:t>
      </w:r>
      <w:r>
        <w:t xml:space="preserve">metabolism</w:t>
      </w:r>
    </w:p>
    <w:p>
      <w:pPr>
        <w:pStyle w:val="Author"/>
      </w:pPr>
      <w:r>
        <w:t xml:space="preserve">Teddy</w:t>
      </w:r>
      <w:r>
        <w:t xml:space="preserve"> </w:t>
      </w:r>
      <w:r>
        <w:t xml:space="preserve">Groves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Luke</w:t>
      </w:r>
      <w:r>
        <w:t xml:space="preserve"> </w:t>
      </w:r>
      <w:r>
        <w:t xml:space="preserve">Cowie</w:t>
      </w:r>
    </w:p>
    <w:p>
      <w:pPr>
        <w:pStyle w:val="Author"/>
      </w:pPr>
      <w:r>
        <w:t xml:space="preserve">Lars</w:t>
      </w:r>
      <w:r>
        <w:t xml:space="preserve"> </w:t>
      </w:r>
      <w:r>
        <w:t xml:space="preserve">Keld</w:t>
      </w:r>
      <w:r>
        <w:t xml:space="preserve"> </w:t>
      </w:r>
      <w:r>
        <w:t xml:space="preserve">Nielsen</w:t>
      </w:r>
    </w:p>
    <w:p>
      <w:r>
        <w:br w:type="page"/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tbl-param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S1 – Parameters of Maud’s statistical model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1980"/>
              <w:gridCol w:w="3740"/>
              <w:gridCol w:w="220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Modelled quantity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Dimensions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r>
                      <m:t>G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Formation energy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metabolites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Michaelis Menten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Substrates of all enzyme/reactions and products of reversible enzyme/reactions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Inhibition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Inhibiting metabolite/compartments of enzyme/reactions exhibiting competitive inhibition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Rate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Enzyme/reactions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L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Transfer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Allosteric interactions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e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 dissociation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Modifying metabolites of allosteric inhibitions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e</m:t>
                        </m:r>
                      </m:e>
                      <m:sub>
                        <m:r>
                          <m:t>R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 dissociation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Modifying metabolites of allosteric activations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 </m:t>
                        </m:r>
                        <m:r>
                          <m:t>p</m:t>
                        </m:r>
                        <m:r>
                          <m:t>m</m:t>
                        </m:r>
                        <m:r>
                          <m:t>e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Rate constants of phosphorylation modifying enzymes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Phosphorylation modifying enzymes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v</m:t>
                        </m:r>
                      </m:e>
                      <m:sub>
                        <m:r>
                          <m:t>d</m:t>
                        </m:r>
                        <m:r>
                          <m:t>r</m:t>
                        </m:r>
                        <m:r>
                          <m:t>a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Drain fluxes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Drains,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E</m:t>
                    </m:r>
                    <m:r>
                      <m:t>n</m:t>
                    </m:r>
                    <m:r>
                      <m:t>z</m:t>
                    </m:r>
                    <m:r>
                      <m:t>y</m:t>
                    </m:r>
                    <m:r>
                      <m:t>m</m:t>
                    </m:r>
                    <m:r>
                      <m:t>e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Enzyme concentrations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Enzymes,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u</m:t>
                        </m:r>
                        <m:r>
                          <m:t>n</m:t>
                        </m:r>
                        <m:r>
                          <m:t>b</m:t>
                        </m:r>
                        <m:r>
                          <m:t>a</m:t>
                        </m:r>
                        <m:r>
                          <m:t>l</m:t>
                        </m:r>
                        <m:r>
                          <m:t>a</m:t>
                        </m:r>
                        <m:r>
                          <m:t>n</m:t>
                        </m:r>
                        <m:r>
                          <m:t>c</m:t>
                        </m:r>
                        <m:r>
                          <m:t>e</m:t>
                        </m:r>
                        <m:r>
                          <m:t>d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Unbalanced metabolite/compartment concentrations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Unbalanced metabolite/compartments,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p</m:t>
                        </m:r>
                        <m:r>
                          <m:t>m</m:t>
                        </m:r>
                        <m:r>
                          <m:t>e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Phosphorylation modifying enzyme concentrations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Phosphorylation modifying enzymes,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ψ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Membrane potentials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Experiments</w:t>
                  </w:r>
                </w:p>
              </w:tc>
            </w:tr>
          </w:tbl>
          <w:bookmarkEnd w:id="23"/>
          <w:p/>
        </w:tc>
      </w:tr>
    </w:tbl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 </w:t>
      </w:r>
      <w:r>
        <w:t xml:space="preserve">and</w:t>
      </w:r>
      <w:r>
        <w:t xml:space="preserve"> </w:t>
      </w:r>
      <w:r>
        <w:t xml:space="preserve">Noor et al. (2013)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tbl-case-study-param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Table S2 – Parameter specification, marginal prior distributions and true parameter values used in our case study.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2543"/>
              <w:gridCol w:w="1235"/>
              <w:gridCol w:w="1307"/>
              <w:gridCol w:w="871"/>
              <w:gridCol w:w="1961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 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1% prior quantile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99% prior quantile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true value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prior Z-score of true value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3.430e-06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0.002480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9.3e-05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0.002000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-2.787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0.001000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3.170e-04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4.500e-04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0.000800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𝑇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𝑙</m:t>
                        </m:r>
                        <m:r>
                          <m:t>𝑡</m:t>
                        </m:r>
                        <m:r>
                          <m:t>ℎ</m:t>
                        </m:r>
                        <m:r>
                          <m:t>𝑓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0.008050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2.290e-04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𝑇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1.500e-05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0.549306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1.200e+02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400.000000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2.340e+02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0.179861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𝐵</m:t>
                        </m:r>
                        <m:r>
                          <m:t>𝐻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35.000000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1.380e+01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188.000000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7.020e+00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-2.887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7.000e-01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60.000000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1.050e+01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0.352083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8.200e-02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59.100000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7.900e+00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0.44375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5.890e-01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424.000000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1.990e+01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0.080556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𝐸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𝐺</m:t>
                        </m:r>
                        <m:r>
                          <m:t>𝑒</m:t>
                        </m:r>
                        <m:r>
                          <m:t>𝑛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4.840e-01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349.000000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1.160e+00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-1.209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t>k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3.300000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1.770e+00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-0.091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4.200000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3.170e+00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0.183333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𝑃</m:t>
                        </m:r>
                        <m:r>
                          <m:t>𝑅</m:t>
                        </m:r>
                        <m:r>
                          <m:t>𝑂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1.590e-01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0.222000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2.650e-01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0.41875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𝐼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0.001400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5.300e-05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0.010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𝐼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0.000400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3.470e-04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𝐼</m:t>
                        </m:r>
                      </m:sub>
                      <m:sup>
                        <m:r>
                          <m:t>𝑀</m:t>
                        </m:r>
                        <m:r>
                          <m:t>𝐸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𝐺</m:t>
                        </m:r>
                        <m:r>
                          <m:t>𝑒</m:t>
                        </m:r>
                        <m:r>
                          <m:t>𝑛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0.000030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0.037600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-2.050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𝑑</m:t>
                        </m:r>
                        <m:r>
                          <m:t>𝑛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1.670e-07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0.000120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5.660e-06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0.081944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1.580e-07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0.000114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1.060e-05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0.318056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𝐵</m:t>
                        </m:r>
                        <m:r>
                          <m:t>𝐻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1.200e-05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1.980e-05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𝐵</m:t>
                        </m:r>
                        <m:r>
                          <m:t>𝐻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𝑔</m:t>
                        </m:r>
                        <m:r>
                          <m:t>𝑙</m:t>
                        </m:r>
                        <m:r>
                          <m:t>𝑦</m:t>
                        </m:r>
                        <m:r>
                          <m:t>𝑏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4.720e-05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0.034000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8.460e-03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0.659028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4.240e-05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3.090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𝑠</m:t>
                        </m:r>
                        <m:r>
                          <m:t>𝑒</m:t>
                        </m:r>
                        <m:r>
                          <m:t>𝑟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2.830e-06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0.009400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0.1375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4.100e-07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0.000295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𝑔</m:t>
                        </m:r>
                        <m:r>
                          <m:t>𝑙</m:t>
                        </m:r>
                        <m:r>
                          <m:t>𝑦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5.480e-05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0.039500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2.540e-03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0.189583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𝑠</m:t>
                        </m:r>
                        <m:r>
                          <m:t>𝑎</m:t>
                        </m:r>
                        <m:r>
                          <m:t>𝑟</m:t>
                        </m:r>
                        <m:r>
                          <m:t>𝑐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1.400e-05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0.000720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1.070e-04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0.074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𝑡</m:t>
                        </m:r>
                        <m:r>
                          <m:t>𝑝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5.270e-05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0.038000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2.030e-03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0.125694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4.470e-05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0.032200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1.130e-03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-0.029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𝑡</m:t>
                        </m:r>
                        <m:r>
                          <m:t>𝑝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5.270e-05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0.038000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2.370e-03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0.179167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𝐸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𝐺</m:t>
                        </m:r>
                        <m:r>
                          <m:t>𝑒</m:t>
                        </m:r>
                        <m:r>
                          <m:t>𝑛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9.370e-06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5</m:t>
                        </m:r>
                        <m:r>
                          <m:t>𝑚</m:t>
                        </m:r>
                        <m:r>
                          <m:t>𝑡</m:t>
                        </m:r>
                        <m:r>
                          <m:t>ℎ</m:t>
                        </m:r>
                        <m:r>
                          <m:t>𝑓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3.320e-06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0.002390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6.940e-05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-0.124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1.710e-06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-0.054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𝑙</m:t>
                        </m:r>
                        <m:r>
                          <m:t>𝑡</m:t>
                        </m:r>
                        <m:r>
                          <m:t>ℎ</m:t>
                        </m:r>
                        <m:r>
                          <m:t>𝑓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7.500e-05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8.080e-05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-0.158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𝑛</m:t>
                        </m:r>
                        <m:r>
                          <m:t>𝑎</m:t>
                        </m:r>
                        <m:r>
                          <m:t>𝑑</m:t>
                        </m:r>
                        <m:r>
                          <m:t>𝑝</m:t>
                        </m:r>
                        <m:r>
                          <m:t>ℎ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1.600e-05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0.000028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2.090e-05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𝑃</m:t>
                        </m:r>
                        <m:r>
                          <m:t>𝑅</m:t>
                        </m:r>
                        <m:r>
                          <m:t>𝑂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4.500e-05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4.390e-05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-2.507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26.800000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1.030e+00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26.800000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1.310e+02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0.3875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2.680000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1.080e-01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80.500000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3.920e-01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-1.018</w:t>
                  </w:r>
                </w:p>
              </w:tc>
            </w:tr>
          </w:tbl>
          <w:bookmarkEnd w:id="28"/>
          <w:p/>
        </w:tc>
      </w:tr>
    </w:tbl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250 post-warmup samples were taken from 4</w:t>
      </w:r>
      <w:r>
        <w:t xml:space="preserve"> </w:t>
      </w:r>
      <w:r>
        <w:t xml:space="preserve">indpendent Markov chains after 100 warmup samples. The sampling was initialised</w:t>
      </w:r>
      <w:r>
        <w:t xml:space="preserve"> </w:t>
      </w:r>
      <w:r>
        <w:t xml:space="preserve">using the mass matric from the complete measurement dataset and the warmup</w:t>
      </w:r>
      <w:r>
        <w:t xml:space="preserve"> </w:t>
      </w:r>
      <w:r>
        <w:t xml:space="preserve">consisted of step size adaption for 100 samples. The resulting posterior distribution</w:t>
      </w:r>
      <w:r>
        <w:t xml:space="preserve"> </w:t>
      </w:r>
      <w:r>
        <w:t xml:space="preserve">had an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  <m:r>
          <m:rPr>
            <m:sty m:val="p"/>
          </m:rPr>
          <m:t>=</m:t>
        </m:r>
        <m:r>
          <m:t>1.01</m:t>
        </m:r>
      </m:oMath>
      <w:r>
        <w:t xml:space="preserve"> </w:t>
      </w:r>
      <w:r>
        <w:t xml:space="preserve">for the log-probability and did not exhibit post-warmup</w:t>
      </w:r>
      <w:r>
        <w:t xml:space="preserve"> </w:t>
      </w:r>
      <w:r>
        <w:t xml:space="preserve">divergences that were not a result of differential equation errors.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36" w:name="multimodal-posterior-distributions"/>
    <w:p>
      <w:pPr>
        <w:pStyle w:val="Heading1"/>
      </w:pPr>
      <w:r>
        <w:t xml:space="preserve">5. Multimodal posterior distributions</w:t>
      </w:r>
    </w:p>
    <w:p>
      <w:pPr>
        <w:pStyle w:val="FirstParagraph"/>
      </w:pPr>
      <w:r>
        <w:t xml:space="preserve">While we have not yet observed this in practice, we expect that Maud is capable</w:t>
      </w:r>
      <w:r>
        <w:t xml:space="preserve"> </w:t>
      </w:r>
      <w:r>
        <w:t xml:space="preserve">of accurately sampling mildly multi-modal posterior distributions, i.e. those</w:t>
      </w:r>
      <w:r>
        <w:t xml:space="preserve"> </w:t>
      </w:r>
      <w:r>
        <w:t xml:space="preserve">for which regions of parameter space with high probability density are not</w:t>
      </w:r>
      <w:r>
        <w:t xml:space="preserve"> </w:t>
      </w:r>
      <w:r>
        <w:t xml:space="preserve">very sharply separated. This is because this ability depends primarily on the</w:t>
      </w:r>
      <w:r>
        <w:t xml:space="preserve"> </w:t>
      </w:r>
      <w:r>
        <w:t xml:space="preserve">underlying inference algorithm, and adaptive Hamiltonian Monte Carlo is known</w:t>
      </w:r>
      <w:r>
        <w:t xml:space="preserve"> </w:t>
      </w:r>
      <w:r>
        <w:t xml:space="preserve">to be able to sample many such posterior distributions. See, for example,</w:t>
      </w:r>
      <w:r>
        <w:t xml:space="preserve"> </w:t>
      </w:r>
      <w:r>
        <w:t xml:space="preserve">Mangiola et al. (2023)</w:t>
      </w:r>
      <w:r>
        <w:t xml:space="preserve">, which reports the successful use of</w:t>
      </w:r>
      <w:r>
        <w:t xml:space="preserve"> </w:t>
      </w:r>
      <w:r>
        <w:t xml:space="preserve">adaptive Hamiltonian Monte Carlo to sample posterior distributions involving</w:t>
      </w:r>
      <w:r>
        <w:t xml:space="preserve"> </w:t>
      </w:r>
      <w:r>
        <w:t xml:space="preserve">mixtures of Gaussian distributions, which are typically multi-modal.</w:t>
      </w:r>
    </w:p>
    <w:p>
      <w:pPr>
        <w:pStyle w:val="BodyText"/>
      </w:pPr>
      <w:r>
        <w:t xml:space="preserve">Moreover, in cases where it fails to sample a multi-modal posterior distribution</w:t>
      </w:r>
      <w:r>
        <w:t xml:space="preserve"> </w:t>
      </w:r>
      <w:r>
        <w:t xml:space="preserve">adaptive Hamiltonian Monte Carlo typically exhibits poor mixing and divergent</w:t>
      </w:r>
      <w:r>
        <w:t xml:space="preserve"> </w:t>
      </w:r>
      <w:r>
        <w:t xml:space="preserve">transitions, which Maud is set up to detect automatically, making this case easy</w:t>
      </w:r>
      <w:r>
        <w:t xml:space="preserve"> </w:t>
      </w:r>
      <w:r>
        <w:t xml:space="preserve">for users to diagnose.</w:t>
      </w:r>
    </w:p>
    <w:p>
      <w:pPr>
        <w:pStyle w:val="BodyText"/>
      </w:pPr>
      <w:r>
        <w:t xml:space="preserve">Nonetheless, it is also well known that strongly multi-modal posterior</w:t>
      </w:r>
      <w:r>
        <w:t xml:space="preserve"> </w:t>
      </w:r>
      <w:r>
        <w:t xml:space="preserve">distributions pose a problem for adaptive Hamiltonian Monte Carlo, as well as</w:t>
      </w:r>
      <w:r>
        <w:t xml:space="preserve"> </w:t>
      </w:r>
      <w:r>
        <w:t xml:space="preserve">other MCMC algorithms. See</w:t>
      </w:r>
      <w:r>
        <w:t xml:space="preserve"> </w:t>
      </w:r>
      <w:r>
        <w:t xml:space="preserve">(Betancourt, Michael 2020, sec. 3.2)</w:t>
      </w:r>
      <w:r>
        <w:t xml:space="preserve"> </w:t>
      </w:r>
      <w:r>
        <w:t xml:space="preserve">for</w:t>
      </w:r>
      <w:r>
        <w:t xml:space="preserve"> </w:t>
      </w:r>
      <w:r>
        <w:t xml:space="preserve">a general discussion of this issue.</w:t>
      </w:r>
      <w:r>
        <w:t xml:space="preserve"> </w:t>
      </w:r>
      <w:r>
        <w:t xml:space="preserve">Mangoubi, Pillai, and Smith (2018)</w:t>
      </w:r>
      <w:r>
        <w:t xml:space="preserve"> </w:t>
      </w:r>
      <w:r>
        <w:t xml:space="preserve">explores</w:t>
      </w:r>
      <w:r>
        <w:t xml:space="preserve"> </w:t>
      </w:r>
      <w:r>
        <w:t xml:space="preserve">the related question of the relative performance of Hamiltonian Monte Carlo vs</w:t>
      </w:r>
      <w:r>
        <w:t xml:space="preserve"> </w:t>
      </w:r>
      <w:r>
        <w:t xml:space="preserve">random walk Metropolis Hastings, finding that, for certain cases where the target</w:t>
      </w:r>
      <w:r>
        <w:t xml:space="preserve"> </w:t>
      </w:r>
      <w:r>
        <w:t xml:space="preserve">distribution exhibits highly disconnected and similarly shaped modes, the two</w:t>
      </w:r>
      <w:r>
        <w:t xml:space="preserve"> </w:t>
      </w:r>
      <w:r>
        <w:t xml:space="preserve">algorithms have similar performance.</w:t>
      </w:r>
    </w:p>
    <w:p>
      <w:pPr>
        <w:pStyle w:val="BodyText"/>
      </w:pPr>
      <w:r>
        <w:t xml:space="preserve">It is therefore important to pay careful attention to MCMC diagnostics and</w:t>
      </w:r>
      <w:r>
        <w:t xml:space="preserve"> </w:t>
      </w:r>
      <w:r>
        <w:t xml:space="preserve">monitor developments in computational statistics that might expand the range of</w:t>
      </w:r>
      <w:r>
        <w:t xml:space="preserve"> </w:t>
      </w:r>
      <w:r>
        <w:t xml:space="preserve">posterior distributions that can practically be sampled.</w:t>
      </w:r>
    </w:p>
    <w:p>
      <w:pPr>
        <w:pStyle w:val="BodyText"/>
      </w:pPr>
      <w:r>
        <w:t xml:space="preserve">Zamora-Sillero et al. (2011)</w:t>
      </w:r>
      <w:r>
        <w:t xml:space="preserve"> </w:t>
      </w:r>
      <w:r>
        <w:t xml:space="preserve">introduces</w:t>
      </w:r>
      <w:r>
        <w:t xml:space="preserve"> </w:t>
      </w:r>
      <w:r>
        <w:t xml:space="preserve">the method HYPERSPACE, which is designed to identify disconnected regions</w:t>
      </w:r>
      <w:r>
        <w:t xml:space="preserve"> </w:t>
      </w:r>
      <w:r>
        <w:t xml:space="preserve">of a biochemical parameter space and characterise them by estimating</w:t>
      </w:r>
      <w:r>
        <w:t xml:space="preserve"> </w:t>
      </w:r>
      <w:r>
        <w:t xml:space="preserve">their dimensions. HYPERSPACE does not perform parameter inference and is</w:t>
      </w:r>
      <w:r>
        <w:t xml:space="preserve"> </w:t>
      </w:r>
      <w:r>
        <w:t xml:space="preserve">therefore not directly comparable with algorithms like adaptive Hamiltonian</w:t>
      </w:r>
      <w:r>
        <w:t xml:space="preserve"> </w:t>
      </w:r>
      <w:r>
        <w:t xml:space="preserve">Monte Carlo as used in Maud, but could plausibly be adapted into such an</w:t>
      </w:r>
      <w:r>
        <w:t xml:space="preserve"> </w:t>
      </w:r>
      <w:r>
        <w:t xml:space="preserve">algorithm, for example by supplementation with importance sampling (see</w:t>
      </w:r>
      <w:r>
        <w:t xml:space="preserve"> </w:t>
      </w:r>
      <w:r>
        <w:t xml:space="preserve">Vehtari et al. (2022)</w:t>
      </w:r>
      <w:r>
        <w:t xml:space="preserve">). However, any such algorithm would</w:t>
      </w:r>
      <w:r>
        <w:t xml:space="preserve"> </w:t>
      </w:r>
      <w:r>
        <w:t xml:space="preserve">be limited by HYPERSPACE’s dependency on a random walk Metropolis Hastings</w:t>
      </w:r>
      <w:r>
        <w:t xml:space="preserve"> </w:t>
      </w:r>
      <w:r>
        <w:t xml:space="preserve">algorithm. This kind of algorithm’s performance is known to scale poorly</w:t>
      </w:r>
      <w:r>
        <w:t xml:space="preserve"> </w:t>
      </w:r>
      <w:r>
        <w:t xml:space="preserve">compared with Hamiltonian Monte Carlo algorithms as the number of parameters</w:t>
      </w:r>
      <w:r>
        <w:t xml:space="preserve"> </w:t>
      </w:r>
      <w:r>
        <w:t xml:space="preserve">increases: see</w:t>
      </w:r>
      <w:r>
        <w:t xml:space="preserve"> </w:t>
      </w:r>
      <w:r>
        <w:t xml:space="preserve">Mangoubi, Pillai, and Smith (2018)</w:t>
      </w:r>
      <w:r>
        <w:t xml:space="preserve">. Since Maud aims to fit models</w:t>
      </w:r>
      <w:r>
        <w:t xml:space="preserve"> </w:t>
      </w:r>
      <w:r>
        <w:t xml:space="preserve">with hundreds of parameters, this means that it is unlikely that HYPERSPACE can</w:t>
      </w:r>
      <w:r>
        <w:t xml:space="preserve"> </w:t>
      </w:r>
      <w:r>
        <w:t xml:space="preserve">directly be used to improve Maud’s efficiency.</w:t>
      </w:r>
    </w:p>
    <w:bookmarkEnd w:id="36"/>
    <w:bookmarkStart w:id="72" w:name="references"/>
    <w:p>
      <w:pPr>
        <w:pStyle w:val="Heading1"/>
      </w:pPr>
      <w:r>
        <w:t xml:space="preserve">6. References</w:t>
      </w:r>
    </w:p>
    <w:bookmarkStart w:id="71" w:name="refs"/>
    <w:bookmarkStart w:id="38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7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8"/>
    <w:bookmarkStart w:id="40" w:name="X49f5fb9e028587e72c72e7de178d8dc2ed60e8a"/>
    <w:p>
      <w:pPr>
        <w:pStyle w:val="Bibliography"/>
      </w:pPr>
      <w:r>
        <w:t xml:space="preserve">Betancourt, Michael. 2020.</w:t>
      </w:r>
      <w:r>
        <w:t xml:space="preserve"> </w:t>
      </w:r>
      <w:r>
        <w:t xml:space="preserve">“Markov</w:t>
      </w:r>
      <w:r>
        <w:t xml:space="preserve"> </w:t>
      </w:r>
      <w:r>
        <w:t xml:space="preserve">Chain Monte Carlo</w:t>
      </w:r>
      <w:r>
        <w:t xml:space="preserve">.”</w:t>
      </w:r>
      <w:r>
        <w:t xml:space="preserve"> </w:t>
      </w:r>
      <w:hyperlink r:id="rId39">
        <w:r>
          <w:rPr>
            <w:rStyle w:val="Hyperlink"/>
          </w:rPr>
          <w:t xml:space="preserve">https://github.com/betanalpha/knitr_case_studies/tree/master/markov_chain_monte_carlo, commit b474ec1a5a79347f7c9634376c866fe3294d657a</w:t>
        </w:r>
      </w:hyperlink>
      <w:r>
        <w:t xml:space="preserve">.</w:t>
      </w:r>
    </w:p>
    <w:bookmarkEnd w:id="40"/>
    <w:bookmarkStart w:id="42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41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42"/>
    <w:bookmarkStart w:id="44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3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4"/>
    <w:bookmarkStart w:id="46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5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6"/>
    <w:bookmarkStart w:id="48" w:name="ref-mangiolaSccompRobustDifferential2023"/>
    <w:p>
      <w:pPr>
        <w:pStyle w:val="Bibliography"/>
      </w:pPr>
      <w:r>
        <w:t xml:space="preserve">Mangiola, Stefano, Alexandra J. Roth-Schulze, Marie Trussart, Enrique Zozaya-Valdés, Mengyao Ma, Zijie Gao, Alan F. Rubin, Terence P. Speed, Heejung Shim, and Anthony T. Papenfuss. 2023.</w:t>
      </w:r>
      <w:r>
        <w:t xml:space="preserve"> </w:t>
      </w:r>
      <w:r>
        <w:t xml:space="preserve">“Sccomp:</w:t>
      </w:r>
      <w:r>
        <w:t xml:space="preserve"> </w:t>
      </w:r>
      <w:r>
        <w:t xml:space="preserve">Robust</w:t>
      </w:r>
      <w:r>
        <w:t xml:space="preserve"> </w:t>
      </w:r>
      <w:r>
        <w:t xml:space="preserve">Differential Composition and Variability Analysis for Single-Cell Data.”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120 (33): e2203828120.</w:t>
      </w:r>
      <w:r>
        <w:t xml:space="preserve"> </w:t>
      </w:r>
      <w:hyperlink r:id="rId47">
        <w:r>
          <w:rPr>
            <w:rStyle w:val="Hyperlink"/>
          </w:rPr>
          <w:t xml:space="preserve">https://doi.org/10.1073/pnas.2203828120</w:t>
        </w:r>
      </w:hyperlink>
      <w:r>
        <w:t xml:space="preserve">.</w:t>
      </w:r>
    </w:p>
    <w:bookmarkEnd w:id="48"/>
    <w:bookmarkStart w:id="50" w:name="ref-mangoubiDoesHamiltonianMonte2018"/>
    <w:p>
      <w:pPr>
        <w:pStyle w:val="Bibliography"/>
      </w:pPr>
      <w:r>
        <w:t xml:space="preserve">Mangoubi, Oren, Natesh S. Pillai, and Aaron Smith. 2018.</w:t>
      </w:r>
      <w:r>
        <w:t xml:space="preserve"> </w:t>
      </w:r>
      <w:r>
        <w:t xml:space="preserve">“Does</w:t>
      </w:r>
      <w:r>
        <w:t xml:space="preserve"> </w:t>
      </w:r>
      <w:r>
        <w:t xml:space="preserve">Hamiltonian Monte Carlo</w:t>
      </w:r>
      <w:r>
        <w:t xml:space="preserve"> </w:t>
      </w:r>
      <w:r>
        <w:t xml:space="preserve">Mix Faster Than a Random Walk on Multimodal Densities?”</w:t>
      </w:r>
      <w:r>
        <w:t xml:space="preserve"> </w:t>
      </w:r>
      <w:r>
        <w:t xml:space="preserve">arXiv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http://arxiv.org/abs/1808.03230</w:t>
        </w:r>
      </w:hyperlink>
      <w:r>
        <w:t xml:space="preserve">.</w:t>
      </w:r>
    </w:p>
    <w:bookmarkEnd w:id="50"/>
    <w:bookmarkStart w:id="52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51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52"/>
    <w:bookmarkStart w:id="54" w:name="ref-noor_note_2013"/>
    <w:p>
      <w:pPr>
        <w:pStyle w:val="Bibliography"/>
      </w:pPr>
      <w:r>
        <w:t xml:space="preserve">Noor, Elad, Avi Flamholz, Wolfram Liebermeister, Arren Bar-Even, and Ron Milo. 2013.</w:t>
      </w:r>
      <w:r>
        <w:t xml:space="preserve"> </w:t>
      </w:r>
      <w:r>
        <w:t xml:space="preserve">“A Note on the Kinetics of Enzyme Action:</w:t>
      </w:r>
      <w:r>
        <w:t xml:space="preserve"> </w:t>
      </w:r>
      <w:r>
        <w:t xml:space="preserve">A</w:t>
      </w:r>
      <w:r>
        <w:t xml:space="preserve"> </w:t>
      </w:r>
      <w:r>
        <w:t xml:space="preserve">Decomposition That Highlights Thermodynamic Effects.”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, A century of</w:t>
      </w:r>
      <w:r>
        <w:t xml:space="preserve"> </w:t>
      </w:r>
      <w:r>
        <w:t xml:space="preserve">Michaelis</w:t>
      </w:r>
      <w:r>
        <w:t xml:space="preserve"> </w:t>
      </w:r>
      <w:r>
        <w:t xml:space="preserve">-</w:t>
      </w:r>
      <w:r>
        <w:t xml:space="preserve"> </w:t>
      </w:r>
      <w:r>
        <w:t xml:space="preserve">Menten</w:t>
      </w:r>
      <w:r>
        <w:t xml:space="preserve"> </w:t>
      </w:r>
      <w:r>
        <w:t xml:space="preserve">kinetics, 587 (17): 2772–77.</w:t>
      </w:r>
      <w:r>
        <w:t xml:space="preserve"> </w:t>
      </w:r>
      <w:hyperlink r:id="rId53">
        <w:r>
          <w:rPr>
            <w:rStyle w:val="Hyperlink"/>
          </w:rPr>
          <w:t xml:space="preserve">https://doi.org/10.1016/j.febslet.2013.07.028</w:t>
        </w:r>
      </w:hyperlink>
      <w:r>
        <w:t xml:space="preserve">.</w:t>
      </w:r>
    </w:p>
    <w:bookmarkEnd w:id="54"/>
    <w:bookmarkStart w:id="56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m:oMath>
        <m:r>
          <m:t>S</m:t>
        </m:r>
        <m:acc>
          <m:accPr>
            <m:chr m:val="⃡"/>
          </m:acc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e>
            </m:d>
          </m:e>
        </m:acc>
        <m:r>
          <m:t>P</m:t>
        </m:r>
      </m:oMath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55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56"/>
    <w:bookmarkStart w:id="58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57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58"/>
    <w:bookmarkStart w:id="60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9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60"/>
    <w:bookmarkStart w:id="62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61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62"/>
    <w:bookmarkStart w:id="64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63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64"/>
    <w:bookmarkStart w:id="66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65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66"/>
    <w:bookmarkStart w:id="68" w:name="ref-vehtariParetoSmoothedImportance2022"/>
    <w:p>
      <w:pPr>
        <w:pStyle w:val="Bibliography"/>
      </w:pPr>
      <w:r>
        <w:t xml:space="preserve">Vehtari, Aki, Daniel Simpson, Andrew Gelman, Yuling Yao, and Jonah Gabry. 2022.</w:t>
      </w:r>
      <w:r>
        <w:t xml:space="preserve"> </w:t>
      </w:r>
      <w:r>
        <w:t xml:space="preserve">“Pareto</w:t>
      </w:r>
      <w:r>
        <w:t xml:space="preserve"> </w:t>
      </w:r>
      <w:r>
        <w:t xml:space="preserve">Smoothed Importance Sampling</w:t>
      </w:r>
      <w:r>
        <w:t xml:space="preserve">.”</w:t>
      </w:r>
      <w:r>
        <w:t xml:space="preserve"> </w:t>
      </w:r>
      <w:r>
        <w:t xml:space="preserve">arXiv</w:t>
      </w:r>
      <w:r>
        <w:t xml:space="preserve">.</w:t>
      </w:r>
      <w:r>
        <w:t xml:space="preserve"> </w:t>
      </w:r>
      <w:hyperlink r:id="rId67">
        <w:r>
          <w:rPr>
            <w:rStyle w:val="Hyperlink"/>
          </w:rPr>
          <w:t xml:space="preserve">http://arxiv.org/abs/1507.02646</w:t>
        </w:r>
      </w:hyperlink>
      <w:r>
        <w:t xml:space="preserve">.</w:t>
      </w:r>
    </w:p>
    <w:bookmarkEnd w:id="68"/>
    <w:bookmarkStart w:id="70" w:name="Xbbaa3419cbdd1f5dab233c23fcf033f07ae05ce"/>
    <w:p>
      <w:pPr>
        <w:pStyle w:val="Bibliography"/>
      </w:pPr>
      <w:r>
        <w:t xml:space="preserve">Zamora-Sillero, Elías, Marc Hafner, Ariane Ibig, Joerg Stelling, and Andreas Wagner. 2011.</w:t>
      </w:r>
      <w:r>
        <w:t xml:space="preserve"> </w:t>
      </w:r>
      <w:r>
        <w:t xml:space="preserve">“Efficient Characterization of High-Dimensional Parameter Spaces for Systems Biology.”</w:t>
      </w:r>
      <w:r>
        <w:t xml:space="preserve"> </w:t>
      </w:r>
      <w:r>
        <w:rPr>
          <w:iCs/>
          <w:i/>
        </w:rPr>
        <w:t xml:space="preserve">BMC Systems Biology</w:t>
      </w:r>
      <w:r>
        <w:t xml:space="preserve"> </w:t>
      </w:r>
      <w:r>
        <w:t xml:space="preserve">5 (1): 142.</w:t>
      </w:r>
      <w:r>
        <w:t xml:space="preserve"> </w:t>
      </w:r>
      <w:hyperlink r:id="rId69">
        <w:r>
          <w:rPr>
            <w:rStyle w:val="Hyperlink"/>
          </w:rPr>
          <w:t xml:space="preserve">https://doi.org/10.1186/1752-0509-5-142</w:t>
        </w:r>
      </w:hyperlink>
      <w:r>
        <w:t xml:space="preserve">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arxiv.org/abs/1507.02646" TargetMode="External" /><Relationship Type="http://schemas.openxmlformats.org/officeDocument/2006/relationships/hyperlink" Id="rId49" Target="http://arxiv.org/abs/1808.03230" TargetMode="External" /><Relationship Type="http://schemas.openxmlformats.org/officeDocument/2006/relationships/hyperlink" Id="rId37" Target="http://arxiv.org/abs/2103.00621" TargetMode="External" /><Relationship Type="http://schemas.openxmlformats.org/officeDocument/2006/relationships/hyperlink" Id="rId55" Target="https://doi.org/10.1016/0014-5793(75)80034-2" TargetMode="External" /><Relationship Type="http://schemas.openxmlformats.org/officeDocument/2006/relationships/hyperlink" Id="rId51" Target="https://doi.org/10.1016/S0022-2836(65)80285-6" TargetMode="External" /><Relationship Type="http://schemas.openxmlformats.org/officeDocument/2006/relationships/hyperlink" Id="rId53" Target="https://doi.org/10.1016/j.febslet.2013.07.028" TargetMode="External" /><Relationship Type="http://schemas.openxmlformats.org/officeDocument/2006/relationships/hyperlink" Id="rId41" Target="https://doi.org/10.1038/nrm3695" TargetMode="External" /><Relationship Type="http://schemas.openxmlformats.org/officeDocument/2006/relationships/hyperlink" Id="rId63" Target="https://doi.org/10.1038/srep29635" TargetMode="External" /><Relationship Type="http://schemas.openxmlformats.org/officeDocument/2006/relationships/hyperlink" Id="rId47" Target="https://doi.org/10.1073/pnas.2203828120" TargetMode="External" /><Relationship Type="http://schemas.openxmlformats.org/officeDocument/2006/relationships/hyperlink" Id="rId45" Target="https://doi.org/10.1093/bioinformatics/btq141" TargetMode="External" /><Relationship Type="http://schemas.openxmlformats.org/officeDocument/2006/relationships/hyperlink" Id="rId69" Target="https://doi.org/10.1186/1752-0509-5-142" TargetMode="External" /><Relationship Type="http://schemas.openxmlformats.org/officeDocument/2006/relationships/hyperlink" Id="rId65" Target="https://doi.org/10.1371/journal.pcbi.1008646" TargetMode="External" /><Relationship Type="http://schemas.openxmlformats.org/officeDocument/2006/relationships/hyperlink" Id="rId43" Target="https://doi.org/10.15252/msb.20199110" TargetMode="External" /><Relationship Type="http://schemas.openxmlformats.org/officeDocument/2006/relationships/hyperlink" Id="rId39" Target="https://github.com/betanalpha/knitr_case_studies/tree/master/markov_chain_monte_carlo, commit b474ec1a5a79347f7c9634376c866fe3294d657a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61" Target="https://pypi.org/project/pydantic/" TargetMode="External" /><Relationship Type="http://schemas.openxmlformats.org/officeDocument/2006/relationships/hyperlink" Id="rId59" Target="https://toml.io/en/v1.0.0-rc.1/" TargetMode="External" /><Relationship Type="http://schemas.openxmlformats.org/officeDocument/2006/relationships/hyperlink" Id="rId57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://arxiv.org/abs/1507.02646" TargetMode="External" /><Relationship Type="http://schemas.openxmlformats.org/officeDocument/2006/relationships/hyperlink" Id="rId49" Target="http://arxiv.org/abs/1808.03230" TargetMode="External" /><Relationship Type="http://schemas.openxmlformats.org/officeDocument/2006/relationships/hyperlink" Id="rId37" Target="http://arxiv.org/abs/2103.00621" TargetMode="External" /><Relationship Type="http://schemas.openxmlformats.org/officeDocument/2006/relationships/hyperlink" Id="rId55" Target="https://doi.org/10.1016/0014-5793(75)80034-2" TargetMode="External" /><Relationship Type="http://schemas.openxmlformats.org/officeDocument/2006/relationships/hyperlink" Id="rId51" Target="https://doi.org/10.1016/S0022-2836(65)80285-6" TargetMode="External" /><Relationship Type="http://schemas.openxmlformats.org/officeDocument/2006/relationships/hyperlink" Id="rId53" Target="https://doi.org/10.1016/j.febslet.2013.07.028" TargetMode="External" /><Relationship Type="http://schemas.openxmlformats.org/officeDocument/2006/relationships/hyperlink" Id="rId41" Target="https://doi.org/10.1038/nrm3695" TargetMode="External" /><Relationship Type="http://schemas.openxmlformats.org/officeDocument/2006/relationships/hyperlink" Id="rId63" Target="https://doi.org/10.1038/srep29635" TargetMode="External" /><Relationship Type="http://schemas.openxmlformats.org/officeDocument/2006/relationships/hyperlink" Id="rId47" Target="https://doi.org/10.1073/pnas.2203828120" TargetMode="External" /><Relationship Type="http://schemas.openxmlformats.org/officeDocument/2006/relationships/hyperlink" Id="rId45" Target="https://doi.org/10.1093/bioinformatics/btq141" TargetMode="External" /><Relationship Type="http://schemas.openxmlformats.org/officeDocument/2006/relationships/hyperlink" Id="rId69" Target="https://doi.org/10.1186/1752-0509-5-142" TargetMode="External" /><Relationship Type="http://schemas.openxmlformats.org/officeDocument/2006/relationships/hyperlink" Id="rId65" Target="https://doi.org/10.1371/journal.pcbi.1008646" TargetMode="External" /><Relationship Type="http://schemas.openxmlformats.org/officeDocument/2006/relationships/hyperlink" Id="rId43" Target="https://doi.org/10.15252/msb.20199110" TargetMode="External" /><Relationship Type="http://schemas.openxmlformats.org/officeDocument/2006/relationships/hyperlink" Id="rId39" Target="https://github.com/betanalpha/knitr_case_studies/tree/master/markov_chain_monte_carlo, commit b474ec1a5a79347f7c9634376c866fe3294d657a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61" Target="https://pypi.org/project/pydantic/" TargetMode="External" /><Relationship Type="http://schemas.openxmlformats.org/officeDocument/2006/relationships/hyperlink" Id="rId59" Target="https://toml.io/en/v1.0.0-rc.1/" TargetMode="External" /><Relationship Type="http://schemas.openxmlformats.org/officeDocument/2006/relationships/hyperlink" Id="rId57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 - Bayesian regression facilitates quantitative modelling of cell metabolism</dc:title>
  <dc:creator>Teddy Groves; Nicholas Luke Cowie; Lars Keld Nielsen</dc:creator>
  <cp:keywords/>
  <dcterms:created xsi:type="dcterms:W3CDTF">2024-02-08T14:07:37Z</dcterms:created>
  <dcterms:modified xsi:type="dcterms:W3CDTF">2024-02-08T14:07:37Z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bibliography.bib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