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aebd9dfa8ae18c3e762163f319e3b7791e8663"/>
      <w:r>
        <w:t xml:space="preserve">Statistical analysis of kinetic parameter data from the BRENDA database</w:t>
      </w:r>
      <w:bookmarkEnd w:id="20"/>
    </w:p>
    <w:p>
      <w:pPr>
        <w:pStyle w:val="FirstParagraph"/>
      </w:pPr>
      <w:r>
        <w:t xml:space="preserve">This paper presents a range of multilevel Bayesian linear models describing</w:t>
      </w:r>
      <w:r>
        <w:t xml:space="preserve"> </w:t>
      </w:r>
      <w:r>
        <w:t xml:space="preserve">kinetic parameter data from the online database BRENDA. We assess the models’</w:t>
      </w:r>
      <w:r>
        <w:t xml:space="preserve"> </w:t>
      </w:r>
      <w:r>
        <w:t xml:space="preserve">qualitative fit to the available data and quantitatively compare their</w:t>
      </w:r>
      <w:r>
        <w:t xml:space="preserve"> </w:t>
      </w:r>
      <w:r>
        <w:t xml:space="preserve">out-of-sample predictive performance. The best model is shown to compare</w:t>
      </w:r>
      <w:r>
        <w:t xml:space="preserve"> </w:t>
      </w:r>
      <w:r>
        <w:t xml:space="preserve">favourably with the current state of the art while covering a wide range of</w:t>
      </w:r>
      <w:r>
        <w:t xml:space="preserve"> </w:t>
      </w:r>
      <w:r>
        <w:t xml:space="preserve">enzymes, substrates and organisms of interest to the biological community.</w:t>
      </w:r>
    </w:p>
    <w:p>
      <w:pPr>
        <w:pStyle w:val="BodyText"/>
      </w:pPr>
      <w:r>
        <w:t xml:space="preserve">We discuss how the results of our analysis can be integrated into a kinetic</w:t>
      </w:r>
      <w:r>
        <w:t xml:space="preserve"> </w:t>
      </w:r>
      <w:r>
        <w:t xml:space="preserve">modelling framework.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oftware"/>
      <w:r>
        <w:t xml:space="preserve">Software</w:t>
      </w:r>
      <w:bookmarkEnd w:id="22"/>
    </w:p>
    <w:p>
      <w:pPr>
        <w:pStyle w:val="FirstParagraph"/>
      </w:pPr>
      <w:r>
        <w:t xml:space="preserve">All the software that we used to produce the results in this paper, as well as</w:t>
      </w:r>
      <w:r>
        <w:t xml:space="preserve"> </w:t>
      </w:r>
      <w:r>
        <w:t xml:space="preserve">instructions for reproducing our analysis, can be found at</w:t>
      </w:r>
      <w:r>
        <w:t xml:space="preserve"> </w:t>
      </w:r>
      <w:hyperlink r:id="rId23">
        <w:r>
          <w:rPr>
            <w:rStyle w:val="Hyperlink"/>
          </w:rPr>
          <w:t xml:space="preserve">https://github.com/biosustain/brenda_km</w:t>
        </w:r>
      </w:hyperlink>
      <w:r>
        <w:t xml:space="preserve">.</w:t>
      </w:r>
    </w:p>
    <w:p>
      <w:pPr>
        <w:pStyle w:val="Heading3"/>
      </w:pPr>
      <w:bookmarkStart w:id="24" w:name="data-acquisition-and-filtering"/>
      <w:r>
        <w:t xml:space="preserve">Data Acquisition and filtering</w:t>
      </w:r>
      <w:bookmarkEnd w:id="24"/>
    </w:p>
    <w:p>
      <w:pPr>
        <w:pStyle w:val="FirstParagraph"/>
      </w:pPr>
      <w:r>
        <w:t xml:space="preserve">We used the SOAP API provided by BRENDA to fetch a table of all available Km</w:t>
      </w:r>
      <w:r>
        <w:t xml:space="preserve"> </w:t>
      </w:r>
      <w:r>
        <w:t xml:space="preserve">parameter measurements, as well as a table with information about natural</w:t>
      </w:r>
      <w:r>
        <w:t xml:space="preserve"> </w:t>
      </w:r>
      <w:r>
        <w:t xml:space="preserve">substrates. We then discarded rows where the organism, EC4 number, substrate</w:t>
      </w:r>
      <w:r>
        <w:t xml:space="preserve"> </w:t>
      </w:r>
      <w:r>
        <w:t xml:space="preserve">were not recorded. We then excluded organisms other than</w:t>
      </w:r>
      <w:r>
        <w:t xml:space="preserve"> </w:t>
      </w:r>
      <w:r>
        <w:rPr>
          <w:i/>
        </w:rPr>
        <w:t xml:space="preserve">Homo Sapiens</w:t>
      </w:r>
      <w:r>
        <w:t xml:space="preserve">,</w:t>
      </w:r>
      <w:r>
        <w:t xml:space="preserve"> </w:t>
      </w:r>
      <w:r>
        <w:rPr>
          <w:i/>
        </w:rPr>
        <w:t xml:space="preserve">Escherichia 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Saccharamyces Cerevisiae</w:t>
      </w:r>
      <w:r>
        <w:t xml:space="preserve">. The final dataset comprised</w:t>
      </w:r>
      <w:r>
        <w:t xml:space="preserve"> </w:t>
      </w:r>
      <w:r>
        <w:t xml:space="preserve">34283 measurements.</w:t>
      </w:r>
    </w:p>
    <w:p>
      <w:pPr>
        <w:pStyle w:val="Heading3"/>
      </w:pPr>
      <w:bookmarkStart w:id="25" w:name="statistical-model"/>
      <w:r>
        <w:t xml:space="preserve">Statistical model</w:t>
      </w:r>
      <w:bookmarkEnd w:id="25"/>
    </w:p>
    <w:p>
      <w:pPr>
        <w:pStyle w:val="FirstParagraph"/>
      </w:pPr>
      <w:r>
        <w:t xml:space="preserve">In order to aggregate the information about km parameters in the BRENDA</w:t>
      </w:r>
      <w:r>
        <w:t xml:space="preserve"> </w:t>
      </w:r>
      <w:r>
        <w:t xml:space="preserve">database we use a multilevel Bayesian regression model with a nested</w:t>
      </w:r>
      <w:r>
        <w:t xml:space="preserve"> </w:t>
      </w:r>
      <w:r>
        <w:t xml:space="preserve">structure. In this model the response variables are km values, which we assume</w:t>
      </w:r>
      <w:r>
        <w:t xml:space="preserve"> </w:t>
      </w:r>
      <w:r>
        <w:t xml:space="preserve">are measured such that for enzyme</w:t>
      </w:r>
      <w:r>
        <w:t xml:space="preserve"> </w:t>
      </w:r>
      <m:oMath>
        <m:r>
          <m:t>j</m:t>
        </m:r>
      </m:oMath>
      <w:r>
        <w:t xml:space="preserve">, substrate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organism</w:t>
      </w:r>
      <w:r>
        <w:t xml:space="preserve"> </w:t>
      </w:r>
      <m:oMath>
        <m:r>
          <m:t>l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r>
            <m:t>k</m:t>
          </m:r>
          <m:sSub>
            <m:e>
              <m:r>
                <m:t>m</m:t>
              </m:r>
            </m:e>
            <m:sub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t>∼</m:t>
          </m:r>
          <m:r>
            <m:t>T</m:t>
          </m:r>
          <m:r>
            <m:t>4</m:t>
          </m:r>
          <m:r>
            <m:t>(</m:t>
          </m:r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acc>
          <m:r>
            <m:t>,</m:t>
          </m:r>
          <m:r>
            <m:t>σ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acc>
      </m:oMath>
      <w:r>
        <w:t xml:space="preserve"> </w:t>
      </w:r>
      <w:r>
        <w:t xml:space="preserve">is the estemated true km value on natural logarithmic</w:t>
      </w:r>
      <w:r>
        <w:t xml:space="preserve"> </w:t>
      </w:r>
      <w:r>
        <w:t xml:space="preserve">scale 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an unknown positive number.</w:t>
      </w:r>
      <w:r>
        <w:t xml:space="preserve"> </w:t>
      </w:r>
      <m:oMath>
        <m:r>
          <m:t>T</m:t>
        </m:r>
        <m:r>
          <m:t>4</m:t>
        </m:r>
      </m:oMath>
      <w:r>
        <w:t xml:space="preserve"> </w:t>
      </w:r>
      <w:r>
        <w:t xml:space="preserve">represents the student t</w:t>
      </w:r>
      <w:r>
        <w:t xml:space="preserve"> </w:t>
      </w:r>
      <w:r>
        <w:t xml:space="preserve">distribution with four degrees of freedom.</w:t>
      </w:r>
    </w:p>
    <w:p>
      <w:pPr>
        <w:pStyle w:val="BodyText"/>
      </w:pPr>
      <w:r>
        <w:t xml:space="preserve">We assume that the true log km has the following structural dependency on</w:t>
      </w:r>
      <w:r>
        <w:t xml:space="preserve"> </w:t>
      </w:r>
      <w:r>
        <w:t xml:space="preserve">latent variables: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t>=</m:t>
          </m:r>
          <m:r>
            <m:t>μ</m:t>
          </m:r>
          <m:r>
            <m:t>+</m:t>
          </m:r>
          <m:sSubSup>
            <m:e>
              <m:r>
                <m:t>α</m:t>
              </m:r>
            </m:e>
            <m:sub>
              <m:r>
                <m:t>j</m:t>
              </m:r>
            </m:sub>
            <m:sup>
              <m:r>
                <m:t>E</m:t>
              </m:r>
              <m:r>
                <m:t>C</m:t>
              </m:r>
              <m:r>
                <m:t>3</m:t>
              </m:r>
            </m:sup>
          </m:sSubSup>
          <m:r>
            <m:t>+</m:t>
          </m:r>
          <m:sSubSup>
            <m:e>
              <m:r>
                <m:t>α</m:t>
              </m:r>
            </m:e>
            <m:sub>
              <m:r>
                <m:t>j</m:t>
              </m:r>
            </m:sub>
            <m:sup>
              <m:r>
                <m:t>E</m:t>
              </m:r>
              <m:r>
                <m:t>C</m:t>
              </m:r>
              <m:r>
                <m:t>4</m:t>
              </m:r>
            </m:sup>
          </m:sSubSup>
          <m:r>
            <m:t>+</m:t>
          </m:r>
          <m:sSup>
            <m:e>
              <m:r>
                <m:t>β</m:t>
              </m:r>
            </m:e>
            <m:sup>
              <m:r>
                <m:t>n</m:t>
              </m:r>
              <m:r>
                <m:t>a</m:t>
              </m:r>
              <m:r>
                <m:t>t</m:t>
              </m:r>
            </m:sup>
          </m:sSup>
          <m:r>
            <m:t>*</m:t>
          </m:r>
          <m:r>
            <m:t>n</m:t>
          </m:r>
          <m:r>
            <m:t>a</m:t>
          </m:r>
          <m:r>
            <m:t>t</m:t>
          </m:r>
          <m:r>
            <m:t>(</m:t>
          </m:r>
          <m:r>
            <m:t>j</m:t>
          </m:r>
          <m:r>
            <m:t>,</m:t>
          </m:r>
          <m:r>
            <m:t>k</m:t>
          </m:r>
          <m:r>
            <m:t>,</m:t>
          </m:r>
          <m:r>
            <m:t>l</m:t>
          </m:r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In this equation:</w:t>
      </w:r>
      <w:r>
        <w:t xml:space="preserve"> </w:t>
      </w:r>
      <w:r>
        <w:t xml:space="preserve">-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a single number representing the global average</w:t>
      </w:r>
      <w:r>
        <w:t xml:space="preserve"> </w:t>
      </w:r>
      <w:r>
        <w:t xml:space="preserve">-</w:t>
      </w:r>
      <w:r>
        <w:t xml:space="preserve"> </w:t>
      </w:r>
      <m:oMath>
        <m:sSup>
          <m:e>
            <m:r>
              <m:t>α</m:t>
            </m:r>
          </m:e>
          <m:sup>
            <m:r>
              <m:t>E</m:t>
            </m:r>
            <m:r>
              <m:t>C</m:t>
            </m:r>
            <m:r>
              <m:t>3</m:t>
            </m:r>
          </m:sup>
        </m:sSup>
      </m:oMath>
      <w:r>
        <w:t xml:space="preserve"> </w:t>
      </w:r>
      <w:r>
        <w:t xml:space="preserve">is an EC3-specific effect</w:t>
      </w:r>
      <w:r>
        <w:t xml:space="preserve"> </w:t>
      </w:r>
      <w:r>
        <w:t xml:space="preserve">-</w:t>
      </w:r>
      <w:r>
        <w:t xml:space="preserve"> </w:t>
      </w:r>
      <m:oMath>
        <m:sSup>
          <m:e>
            <m:r>
              <m:t>α</m:t>
            </m:r>
          </m:e>
          <m:sup>
            <m:r>
              <m:t>E</m:t>
            </m:r>
            <m:r>
              <m:t>C</m:t>
            </m:r>
            <m:r>
              <m:t>4</m:t>
            </m:r>
          </m:sup>
        </m:sSup>
      </m:oMath>
      <w:r>
        <w:t xml:space="preserve"> </w:t>
      </w:r>
      <w:r>
        <w:t xml:space="preserve">is an EC4-specific effect</w:t>
      </w:r>
      <w:r>
        <w:t xml:space="preserve"> </w:t>
      </w:r>
      <w:r>
        <w:t xml:space="preserve">-</w:t>
      </w:r>
      <w:r>
        <w:t xml:space="preserve"> </w:t>
      </w:r>
      <m:oMath>
        <m:sSup>
          <m:e>
            <m:r>
              <m:t>β</m:t>
            </m:r>
          </m:e>
          <m:sup>
            <m:r>
              <m:t>n</m:t>
            </m:r>
            <m:r>
              <m:t>a</m:t>
            </m:r>
            <m:r>
              <m:t>t</m:t>
            </m:r>
          </m:sup>
        </m:sSup>
      </m:oMath>
      <w:r>
        <w:t xml:space="preserve"> </w:t>
      </w:r>
      <w:r>
        <w:t xml:space="preserve">is a single number representing the effect of a</w:t>
      </w:r>
      <w:r>
        <w:t xml:space="preserve"> </w:t>
      </w:r>
      <w:r>
        <w:t xml:space="preserve">substrate/organism/enzyme combination being natural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  <m:r>
          <m:t>a</m:t>
        </m:r>
        <m:r>
          <m:t>t</m:t>
        </m:r>
      </m:oMath>
      <w:r>
        <w:t xml:space="preserve"> </w:t>
      </w:r>
      <w:r>
        <w:t xml:space="preserve">is a function indicating whether and substrate/organism/enzyme</w:t>
      </w:r>
      <w:r>
        <w:t xml:space="preserve"> </w:t>
      </w:r>
      <w:r>
        <w:t xml:space="preserve">combination is natural</w:t>
      </w:r>
      <w:r>
        <w:t xml:space="preserve"> </w:t>
      </w:r>
      <w:r>
        <w:t xml:space="preserve">-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a substrate/organism/enzyme-specific effect</w:t>
      </w:r>
    </w:p>
    <w:p>
      <w:pPr>
        <w:pStyle w:val="BodyText"/>
      </w:pPr>
      <w:r>
        <w:t xml:space="preserve">The prior distributions for the latent parameters</w:t>
      </w:r>
      <w:r>
        <w:t xml:space="preserve"> </w:t>
      </w:r>
      <m:oMath>
        <m:sSup>
          <m:e>
            <m:r>
              <m:t>α</m:t>
            </m:r>
          </m:e>
          <m:sup>
            <m:r>
              <m:t>E</m:t>
            </m:r>
            <m:r>
              <m:t>C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α</m:t>
            </m:r>
          </m:e>
          <m:sup>
            <m:r>
              <m:t>E</m:t>
            </m:r>
            <m:r>
              <m:t>C</m:t>
            </m:r>
            <m:r>
              <m:t>4</m:t>
            </m:r>
          </m:sup>
        </m:sSup>
      </m:oMath>
      <w:r>
        <w:t xml:space="preserve"> </w:t>
      </w:r>
      <w:r>
        <w:t xml:space="preserve">have the following nested hierarchical structure: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α</m:t>
                    </m:r>
                  </m:e>
                  <m:sup>
                    <m:r>
                      <m:t>E</m:t>
                    </m:r>
                    <m:r>
                      <m:t>C</m:t>
                    </m:r>
                    <m:r>
                      <m:t>3</m:t>
                    </m:r>
                  </m:sup>
                </m:sSup>
              </m:e>
              <m:e>
                <m:r>
                  <m:t>∼</m:t>
                </m:r>
                <m:r>
                  <m:t>T</m:t>
                </m:r>
                <m:r>
                  <m:t>4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τ</m:t>
                </m:r>
                <m:r>
                  <m:t>)</m:t>
                </m:r>
              </m:e>
            </m:mr>
            <m:mr>
              <m:e>
                <m:sSubSup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  <m:sup>
                    <m:r>
                      <m:t>E</m:t>
                    </m:r>
                    <m:r>
                      <m:t>C</m:t>
                    </m:r>
                    <m:r>
                      <m:t>4</m:t>
                    </m:r>
                  </m:sup>
                </m:sSubSup>
              </m:e>
              <m:e>
                <m:r>
                  <m:t>∼</m:t>
                </m:r>
                <m:r>
                  <m:t>T</m:t>
                </m:r>
                <m:r>
                  <m:t>4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τ</m:t>
                    </m:r>
                  </m:e>
                  <m:sub>
                    <m:r>
                      <m:t>E</m:t>
                    </m:r>
                    <m:r>
                      <m:t>C</m:t>
                    </m:r>
                    <m:r>
                      <m:t>3</m:t>
                    </m:r>
                    <m:r>
                      <m:t>(</m:t>
                    </m:r>
                    <m:r>
                      <m:t>j</m:t>
                    </m:r>
                    <m:r>
                      <m:t>)</m:t>
                    </m:r>
                  </m:sub>
                  <m:sup>
                    <m:r>
                      <m:t>E</m:t>
                    </m:r>
                    <m:r>
                      <m:t>C</m:t>
                    </m:r>
                    <m:r>
                      <m:t>3</m:t>
                    </m:r>
                  </m:sup>
                </m:sSubSup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is a single number representing the variation of EC3 effects and</w:t>
      </w:r>
      <w:r>
        <w:t xml:space="preserve"> </w:t>
      </w:r>
      <m:oMath>
        <m:sSup>
          <m:e>
            <m:r>
              <m:t>τ</m:t>
            </m:r>
          </m:e>
          <m:sup>
            <m:r>
              <m:t>E</m:t>
            </m:r>
            <m:r>
              <m:t>C</m:t>
            </m:r>
            <m:r>
              <m:t>3</m:t>
            </m:r>
          </m:sup>
        </m:sSup>
      </m:oMath>
      <w:r>
        <w:t xml:space="preserve"> </w:t>
      </w:r>
      <w:r>
        <w:t xml:space="preserve">is an EC3-specific number representing the variation of EC4</w:t>
      </w:r>
      <w:r>
        <w:t xml:space="preserve"> </w:t>
      </w:r>
      <w:r>
        <w:t xml:space="preserve">effects within each EC3 group.</w:t>
      </w:r>
    </w:p>
    <w:p>
      <w:pPr>
        <w:pStyle w:val="BodyText"/>
      </w:pPr>
      <w:r>
        <w:t xml:space="preserve">The parameters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have hierarchical priors at the organism level: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t>∼</m:t>
          </m:r>
          <m:r>
            <m:t>T</m:t>
          </m:r>
          <m:r>
            <m:t>4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τ</m:t>
              </m:r>
            </m:e>
            <m:sub>
              <m:r>
                <m:t>l</m:t>
              </m:r>
            </m:sub>
            <m:sup>
              <m:r>
                <m:t>ϵ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To complete our model we use informative priors for the remaining unknown model</w:t>
      </w:r>
      <w:r>
        <w:t xml:space="preserve"> </w:t>
      </w:r>
      <w:r>
        <w:t xml:space="preserve">parameters: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 prior quantile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σ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Log normal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μ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Log normal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τ</m:t>
                  </m:r>
                </m:e>
                <m:sup>
                  <m:r>
                    <m:t>E</m:t>
                  </m:r>
                  <m:r>
                    <m:t>C</m:t>
                  </m:r>
                  <m:r>
                    <m:t>3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Log normal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β</m:t>
                  </m:r>
                </m:e>
                <m:sup>
                  <m:r>
                    <m:t>n</m:t>
                  </m:r>
                  <m:r>
                    <m:t>a</m:t>
                  </m:r>
                  <m:r>
                    <m:t>t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τ</m:t>
                  </m:r>
                </m:e>
                <m:sup>
                  <m:r>
                    <m:t>ϵ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Log normal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</w:tbl>
    <w:p>
      <w:pPr>
        <w:pStyle w:val="Heading3"/>
      </w:pPr>
      <w:bookmarkStart w:id="26" w:name="reasoning-behind-modelling-choices"/>
      <w:r>
        <w:t xml:space="preserve">Reasoning behind modelling choices</w:t>
      </w:r>
      <w:bookmarkEnd w:id="26"/>
    </w:p>
    <w:p>
      <w:pPr>
        <w:pStyle w:val="FirstParagraph"/>
      </w:pPr>
      <w:r>
        <w:t xml:space="preserve">The nested model design is motivated by our assessment of the available</w:t>
      </w:r>
      <w:r>
        <w:t xml:space="preserve"> </w:t>
      </w:r>
      <w:r>
        <w:t xml:space="preserve">information. We judged that differences from the baseline in the km</w:t>
      </w:r>
      <w:r>
        <w:t xml:space="preserve"> </w:t>
      </w:r>
      <w:r>
        <w:t xml:space="preserve">measurements are conditionally exchangeable given the same ec4 number, and that</w:t>
      </w:r>
      <w:r>
        <w:t xml:space="preserve"> </w:t>
      </w:r>
      <w:r>
        <w:t xml:space="preserve">ec4 effects with the same ec3 number would be similar.</w:t>
      </w:r>
    </w:p>
    <w:p>
      <w:pPr>
        <w:pStyle w:val="BodyText"/>
      </w:pPr>
      <w:r>
        <w:t xml:space="preserve">We used the student-t distribution with four degrees of freedom to model</w:t>
      </w:r>
      <w:r>
        <w:t xml:space="preserve"> </w:t>
      </w:r>
      <w:r>
        <w:t xml:space="preserve">measurement errors and for our group-level regression models because the BRENDA</w:t>
      </w:r>
      <w:r>
        <w:t xml:space="preserve"> </w:t>
      </w:r>
      <w:r>
        <w:t xml:space="preserve">data is known to contain many outliers. Since the t4 distribution has heavy</w:t>
      </w:r>
      <w:r>
        <w:t xml:space="preserve"> </w:t>
      </w:r>
      <w:r>
        <w:t xml:space="preserve">tails compared to the normal distribution, we expected that this distribution</w:t>
      </w:r>
      <w:r>
        <w:t xml:space="preserve"> </w:t>
      </w:r>
      <w:r>
        <w:t xml:space="preserve">would make the model less sensitive to outliers, resulting in better predictive</w:t>
      </w:r>
      <w:r>
        <w:t xml:space="preserve"> </w:t>
      </w:r>
      <w:r>
        <w:t xml:space="preserve">performance. Testing confirmed this: models that used the t4 distribution</w:t>
      </w:r>
      <w:r>
        <w:t xml:space="preserve"> </w:t>
      </w:r>
      <w:r>
        <w:t xml:space="preserve">resulted in better out-of-sample predictive accuracy than an equivalent models</w:t>
      </w:r>
      <w:r>
        <w:t xml:space="preserve"> </w:t>
      </w:r>
      <w:r>
        <w:t xml:space="preserve">with normal-distirbuted errors [refer to appendix].</w:t>
      </w:r>
    </w:p>
    <w:p>
      <w:pPr>
        <w:pStyle w:val="BodyText"/>
      </w:pPr>
      <w:r>
        <w:t xml:space="preserve">The parameter</w:t>
      </w:r>
      <w:r>
        <w:t xml:space="preserve"> </w:t>
      </w:r>
      <m:oMath>
        <m:sSup>
          <m:e>
            <m:r>
              <m:t>β</m:t>
            </m:r>
          </m:e>
          <m:sup>
            <m:r>
              <m:t>n</m:t>
            </m:r>
            <m:r>
              <m:t>a</m:t>
            </m:r>
            <m:r>
              <m:t>t</m:t>
            </m:r>
          </m:sup>
        </m:sSup>
      </m:oMath>
      <w:r>
        <w:t xml:space="preserve"> </w:t>
      </w:r>
      <w:r>
        <w:t xml:space="preserve">was introduced to account for substrate-specific</w:t>
      </w:r>
      <w:r>
        <w:t xml:space="preserve"> </w:t>
      </w:r>
      <w:r>
        <w:t xml:space="preserve">variation. It would have been preferable to include more information about each</w:t>
      </w:r>
      <w:r>
        <w:t xml:space="preserve"> </w:t>
      </w:r>
      <w:r>
        <w:t xml:space="preserve">enzyme/substrate combination - for example based on the match between the two</w:t>
      </w:r>
      <w:r>
        <w:t xml:space="preserve"> </w:t>
      </w:r>
      <w:r>
        <w:t xml:space="preserve">molecules’ shape. However, it is not currently straightforward to match</w:t>
      </w:r>
      <w:r>
        <w:t xml:space="preserve"> </w:t>
      </w:r>
      <w:r>
        <w:t xml:space="preserve">substrate identifiers from BRENDA with other identifiers for which detailed</w:t>
      </w:r>
      <w:r>
        <w:t xml:space="preserve"> </w:t>
      </w:r>
      <w:r>
        <w:t xml:space="preserve">chemical information is available.</w:t>
      </w:r>
    </w:p>
    <w:p>
      <w:pPr>
        <w:pStyle w:val="BodyText"/>
      </w:pPr>
      <w:r>
        <w:t xml:space="preserve">The parameter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intended to account for organism-specific</w:t>
      </w:r>
      <w:r>
        <w:t xml:space="preserve"> </w:t>
      </w:r>
      <w:r>
        <w:t xml:space="preserve">variation. We judged that there are unlikely to be noticeable systematic</w:t>
      </w:r>
      <w:r>
        <w:t xml:space="preserve"> </w:t>
      </w:r>
      <w:r>
        <w:t xml:space="preserve">organism-level effects (for example the Km parameters for one organism tending</w:t>
      </w:r>
      <w:r>
        <w:t xml:space="preserve"> </w:t>
      </w:r>
      <w:r>
        <w:t xml:space="preserve">to be higher or lower than for another), but that these are nonetheless likely</w:t>
      </w:r>
      <w:r>
        <w:t xml:space="preserve"> </w:t>
      </w:r>
      <w:r>
        <w:t xml:space="preserve">to be differences between the kinetic parameters of enzyme/substrate</w:t>
      </w:r>
      <w:r>
        <w:t xml:space="preserve"> </w:t>
      </w:r>
      <w:r>
        <w:t xml:space="preserve">combinations depending on organism. We assume that there is little correlation</w:t>
      </w:r>
      <w:r>
        <w:t xml:space="preserve"> </w:t>
      </w:r>
      <w:r>
        <w:t xml:space="preserve">between these deviations and the other parameters in our model. For example, if</w:t>
      </w:r>
      <w:r>
        <w:t xml:space="preserve"> </w:t>
      </w:r>
      <w:r>
        <w:t xml:space="preserve">a certain EC3 number is associated with high Km values, we do not expect that</w:t>
      </w:r>
      <w:r>
        <w:t xml:space="preserve"> </w:t>
      </w:r>
      <w:r>
        <w:t xml:space="preserve">this EC3 number will also tend to have higher or lower organism-specific</w:t>
      </w:r>
      <w:r>
        <w:t xml:space="preserve"> </w:t>
      </w:r>
      <w:r>
        <w:t xml:space="preserve">variation.</w:t>
      </w:r>
    </w:p>
    <w:p>
      <w:pPr>
        <w:pStyle w:val="Heading2"/>
      </w:pPr>
      <w:bookmarkStart w:id="27" w:name="results"/>
      <w:r>
        <w:t xml:space="preserve">Results</w:t>
      </w:r>
      <w:bookmarkEnd w:id="27"/>
    </w:p>
    <w:p>
      <w:pPr>
        <w:pStyle w:val="Heading2"/>
      </w:pPr>
      <w:bookmarkStart w:id="28" w:name="discussion"/>
      <w:r>
        <w:t xml:space="preserve">Discussion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biosustain/brenda_k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biosustain/brenda_k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2021-06-22T15:10:22Z</dcterms:created>
  <dcterms:modified xsi:type="dcterms:W3CDTF">2021-06-22T15:10:22Z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</Properties>
</file>