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svgz" ContentType="image/svg+xml"/>
  <Override PartName="/word/media/rId32.png" ContentType="image/png"/>
  <Override PartName="/word/media/rId50.png" ContentType="image/png"/>
  <Override PartName="/word/media/rId55.png" ContentType="image/png"/>
  <Override PartName="/word/media/rId61.png" ContentType="image/png"/>
  <Override PartName="/word/media/rId67.png" ContentType="image/png"/>
  <Override PartName="/word/media/rId72.png" ContentType="image/png"/>
  <Override PartName="/word/media/rId82.png" ContentType="image/png"/>
  <Override PartName="/word/media/rId87.png" ContentType="image/png"/>
  <Override PartName="/word/media/rId64.svgz" ContentType="image/svg+xml"/>
  <Override PartName="/word/media/rId47.svgz" ContentType="image/svg+xml"/>
  <Override PartName="/word/media/rId69.svgz" ContentType="image/svg+xml"/>
  <Override PartName="/word/media/rId84.svgz" ContentType="image/svg+xml"/>
  <Override PartName="/word/media/rId79.svgz" ContentType="image/svg+xml"/>
  <Override PartName="/word/media/rId74.png" ContentType="image/png"/>
  <Override PartName="/word/media/rId58.svgz" ContentType="image/svg+xml"/>
  <Override PartName="/word/media/rId52.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Hierarchical</w:t>
      </w:r>
      <w:r>
        <w:t xml:space="preserve"> </w:t>
      </w:r>
      <w:r>
        <w:t xml:space="preserve">Bayesian</w:t>
      </w:r>
      <w:r>
        <w:t xml:space="preserve"> </w:t>
      </w:r>
      <w:r>
        <w:t xml:space="preserve">regression</w:t>
      </w:r>
      <w:r>
        <w:t xml:space="preserve"> </w:t>
      </w:r>
      <w:r>
        <w:t xml:space="preserve">modelling</w:t>
      </w:r>
      <w:r>
        <w:t xml:space="preserve"> </w:t>
      </w:r>
      <w:r>
        <w:t xml:space="preserve">predicts</w:t>
      </w:r>
      <w:r>
        <w:t xml:space="preserve"> </w:t>
      </w:r>
      <w:r>
        <w:t xml:space="preserve">biochemical</w:t>
      </w:r>
      <w:r>
        <w:t xml:space="preserve"> </w:t>
      </w:r>
      <w:r>
        <w:t xml:space="preserve">rection</w:t>
      </w:r>
      <w:r>
        <w:t xml:space="preserve"> </w:t>
      </w:r>
      <w:r>
        <w:t xml:space="preserve">energies</w:t>
      </w:r>
      <w:r>
        <w:t xml:space="preserve"> </w:t>
      </w:r>
      <w:r>
        <w:t xml:space="preserve">and</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Jason</w:t>
      </w:r>
      <w:r>
        <w:t xml:space="preserve"> </w:t>
      </w:r>
      <w:r>
        <w:t xml:space="preserve">Jooste</w:t>
      </w:r>
    </w:p>
    <w:p>
      <w:pPr>
        <w:pStyle w:val="Author"/>
      </w:pPr>
      <w:r>
        <w:t xml:space="preserve">Lars</w:t>
      </w:r>
      <w:r>
        <w:t xml:space="preserve"> </w:t>
      </w:r>
      <w:r>
        <w:t xml:space="preserve">Keld</w:t>
      </w:r>
      <w:r>
        <w:t xml:space="preserve"> </w:t>
      </w:r>
      <w:r>
        <w:t xml:space="preserve">Nielsen</w:t>
      </w:r>
    </w:p>
    <w:p>
      <w:pPr>
        <w:pStyle w:val="Abstract"/>
      </w:pPr>
      <w:r>
        <w:t xml:space="preserve">The</w:t>
      </w:r>
      <w:r>
        <w:t xml:space="preserve"> </w:t>
      </w:r>
      <w:r>
        <w:t xml:space="preserve">thermodynamic</w:t>
      </w:r>
      <w:r>
        <w:t xml:space="preserve"> </w:t>
      </w:r>
      <w:r>
        <w:t xml:space="preserve">effect</w:t>
      </w:r>
      <w:r>
        <w:t xml:space="preserve"> </w:t>
      </w:r>
      <w:r>
        <w:t xml:space="preserve">on</w:t>
      </w:r>
      <w:r>
        <w:t xml:space="preserve"> </w:t>
      </w:r>
      <w:r>
        <w:t xml:space="preserve">a</w:t>
      </w:r>
      <w:r>
        <w:t xml:space="preserve"> </w:t>
      </w:r>
      <w:r>
        <w:t xml:space="preserve">biochemical</w:t>
      </w:r>
      <w:r>
        <w:t xml:space="preserve"> </w:t>
      </w:r>
      <w:r>
        <w:t xml:space="preserve">reaction</w:t>
      </w:r>
      <w:r>
        <w:t xml:space="preserve"> </w:t>
      </w:r>
      <w:r>
        <w:t xml:space="preserve">depends</w:t>
      </w:r>
      <w:r>
        <w:t xml:space="preserve"> </w:t>
      </w:r>
      <w:r>
        <w:t xml:space="preserve">principally</w:t>
      </w:r>
      <w:r>
        <w:t xml:space="preserve"> </w:t>
      </w:r>
      <w:r>
        <w:t xml:space="preserve">on</w:t>
      </w:r>
      <w:r>
        <w:t xml:space="preserve"> </w:t>
      </w:r>
      <w:r>
        <w:t xml:space="preserve">the</w:t>
      </w:r>
      <w:r>
        <w:t xml:space="preserve"> </w:t>
      </w:r>
      <w:r>
        <w:t xml:space="preserve">standard-condition</w:t>
      </w:r>
      <w:r>
        <w:t xml:space="preserve"> </w:t>
      </w:r>
      <w:r>
        <w:t xml:space="preserve">Gibbs</w:t>
      </w:r>
      <w:r>
        <w:t xml:space="preserve"> </w:t>
      </w:r>
      <w:r>
        <w:t xml:space="preserve">energy</w:t>
      </w:r>
      <w:r>
        <w:t xml:space="preserve"> </w:t>
      </w:r>
      <w:r>
        <w:t xml:space="preserve">changes</w:t>
      </w:r>
      <w:r>
        <w:t xml:space="preserve"> </w:t>
      </w:r>
      <w:r>
        <w:t xml:space="preserve">of</w:t>
      </w:r>
      <w:r>
        <w:t xml:space="preserve"> </w:t>
      </w:r>
      <w:r>
        <w:t xml:space="preserve">the</w:t>
      </w:r>
      <w:r>
        <w:t xml:space="preserve"> </w:t>
      </w:r>
      <w:r>
        <w:t xml:space="preserve">compounds</w:t>
      </w:r>
      <w:r>
        <w:t xml:space="preserve"> </w:t>
      </w:r>
      <w:r>
        <w:t xml:space="preserve">that</w:t>
      </w:r>
      <w:r>
        <w:t xml:space="preserve"> </w:t>
      </w:r>
      <w:r>
        <w:t xml:space="preserve">the</w:t>
      </w:r>
      <w:r>
        <w:t xml:space="preserve"> </w:t>
      </w:r>
      <w:r>
        <w:t xml:space="preserve">reaction</w:t>
      </w:r>
      <w:r>
        <w:t xml:space="preserve"> </w:t>
      </w:r>
      <w:r>
        <w:t xml:space="preserve">consumes</w:t>
      </w:r>
      <w:r>
        <w:t xml:space="preserve"> </w:t>
      </w:r>
      <w:r>
        <w:t xml:space="preserve">and</w:t>
      </w:r>
      <w:r>
        <w:t xml:space="preserve"> </w:t>
      </w:r>
      <w:r>
        <w:t xml:space="preserve">produces.</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method</w:t>
      </w:r>
      <w:r>
        <w:t xml:space="preserve"> </w:t>
      </w:r>
      <w:r>
        <w:t xml:space="preserve">for</w:t>
      </w:r>
      <w:r>
        <w:t xml:space="preserve"> </w:t>
      </w:r>
      <w:r>
        <w:t xml:space="preserve">estimating</w:t>
      </w:r>
      <w:r>
        <w:t xml:space="preserve"> </w:t>
      </w:r>
      <w:r>
        <w:t xml:space="preserve">these</w:t>
      </w:r>
      <w:r>
        <w:t xml:space="preserve"> </w:t>
      </w:r>
      <w:r>
        <w:t xml:space="preserve">parameters</w:t>
      </w:r>
      <w:r>
        <w:t xml:space="preserve"> </w:t>
      </w:r>
      <w:r>
        <w:t xml:space="preserve">involves</w:t>
      </w:r>
      <w:r>
        <w:t xml:space="preserve"> </w:t>
      </w:r>
      <w:r>
        <w:t xml:space="preserve">a</w:t>
      </w:r>
      <w:r>
        <w:t xml:space="preserve"> </w:t>
      </w:r>
      <w:r>
        <w:t xml:space="preserve">statistical</w:t>
      </w:r>
      <w:r>
        <w:t xml:space="preserve"> </w:t>
      </w:r>
      <w:r>
        <w:t xml:space="preserve">model</w:t>
      </w:r>
      <w:r>
        <w:t xml:space="preserve"> </w:t>
      </w:r>
      <w:r>
        <w:t xml:space="preserve">called</w:t>
      </w:r>
      <w:r>
        <w:t xml:space="preserve"> </w:t>
      </w:r>
      <w:r>
        <w:t xml:space="preserve">group</w:t>
      </w:r>
      <w:r>
        <w:t xml:space="preserve"> </w:t>
      </w:r>
      <w:r>
        <w:t xml:space="preserve">contribution.</w:t>
      </w:r>
      <w:r>
        <w:t xml:space="preserve"> </w:t>
      </w:r>
      <w:r>
        <w:t xml:space="preserve">We</w:t>
      </w:r>
      <w:r>
        <w:t xml:space="preserve"> </w:t>
      </w:r>
      <w:r>
        <w:t xml:space="preserve">highlight</w:t>
      </w:r>
      <w:r>
        <w:t xml:space="preserve"> </w:t>
      </w:r>
      <w:r>
        <w:t xml:space="preserve">a</w:t>
      </w:r>
      <w:r>
        <w:t xml:space="preserve"> </w:t>
      </w:r>
      <w:r>
        <w:t xml:space="preserve">problem</w:t>
      </w:r>
      <w:r>
        <w:t xml:space="preserve"> </w:t>
      </w:r>
      <w:r>
        <w:t xml:space="preserve">with</w:t>
      </w:r>
      <w:r>
        <w:t xml:space="preserve"> </w:t>
      </w:r>
      <w:r>
        <w:t xml:space="preserve">the</w:t>
      </w:r>
      <w:r>
        <w:t xml:space="preserve"> </w:t>
      </w:r>
      <w:r>
        <w:t xml:space="preserve">group</w:t>
      </w:r>
      <w:r>
        <w:t xml:space="preserve"> </w:t>
      </w:r>
      <w:r>
        <w:t xml:space="preserve">contribution</w:t>
      </w:r>
      <w:r>
        <w:t xml:space="preserve"> </w:t>
      </w:r>
      <w:r>
        <w:t xml:space="preserve">model</w:t>
      </w:r>
      <w:r>
        <w:t xml:space="preserve"> </w:t>
      </w:r>
      <w:r>
        <w:t xml:space="preserve">that</w:t>
      </w:r>
      <w:r>
        <w:t xml:space="preserve"> </w:t>
      </w:r>
      <w:r>
        <w:t xml:space="preserve">limits</w:t>
      </w:r>
      <w:r>
        <w:t xml:space="preserve"> </w:t>
      </w:r>
      <w:r>
        <w:t xml:space="preserve">its</w:t>
      </w:r>
      <w:r>
        <w:t xml:space="preserve"> </w:t>
      </w:r>
      <w:r>
        <w:t xml:space="preserve">usefulness</w:t>
      </w:r>
      <w:r>
        <w:t xml:space="preserve"> </w:t>
      </w:r>
      <w:r>
        <w:t xml:space="preserve">in</w:t>
      </w:r>
      <w:r>
        <w:t xml:space="preserve"> </w:t>
      </w:r>
      <w:r>
        <w:t xml:space="preserve">downstream</w:t>
      </w:r>
      <w:r>
        <w:t xml:space="preserve"> </w:t>
      </w:r>
      <w:r>
        <w:t xml:space="preserve">modelling</w:t>
      </w:r>
      <w:r>
        <w:t xml:space="preserve"> </w:t>
      </w:r>
      <w:r>
        <w:t xml:space="preserve">applications:</w:t>
      </w:r>
      <w:r>
        <w:t xml:space="preserve"> </w:t>
      </w:r>
      <w:r>
        <w:t xml:space="preserve">the</w:t>
      </w:r>
      <w:r>
        <w:t xml:space="preserve"> </w:t>
      </w:r>
      <w:r>
        <w:t xml:space="preserve">group</w:t>
      </w:r>
      <w:r>
        <w:t xml:space="preserve"> </w:t>
      </w:r>
      <w:r>
        <w:t xml:space="preserve">contribution</w:t>
      </w:r>
      <w:r>
        <w:t xml:space="preserve"> </w:t>
      </w:r>
      <w:r>
        <w:t xml:space="preserve">model</w:t>
      </w:r>
      <w:r>
        <w:t xml:space="preserve"> </w:t>
      </w:r>
      <w:r>
        <w:t xml:space="preserve">typically</w:t>
      </w:r>
      <w:r>
        <w:t xml:space="preserve"> </w:t>
      </w:r>
      <w:r>
        <w:t xml:space="preserve">produces</w:t>
      </w:r>
      <w:r>
        <w:t xml:space="preserve"> </w:t>
      </w:r>
      <w:r>
        <w:t xml:space="preserve">a</w:t>
      </w:r>
      <w:r>
        <w:t xml:space="preserve"> </w:t>
      </w:r>
      <w:r>
        <w:t xml:space="preserve">rank-deficient</w:t>
      </w:r>
      <w:r>
        <w:t xml:space="preserve"> </w:t>
      </w:r>
      <w:r>
        <w:t xml:space="preserve">uncertainty</w:t>
      </w:r>
      <w:r>
        <w:t xml:space="preserve"> </w:t>
      </w:r>
      <w:r>
        <w:t xml:space="preserve">covariance</w:t>
      </w:r>
      <w:r>
        <w:t xml:space="preserve"> </w:t>
      </w:r>
      <w:r>
        <w:t xml:space="preserve">matrix.</w:t>
      </w:r>
      <w:r>
        <w:t xml:space="preserve"> </w:t>
      </w:r>
      <w:r>
        <w:t xml:space="preserve">We</w:t>
      </w:r>
      <w:r>
        <w:t xml:space="preserve"> </w:t>
      </w:r>
      <w:r>
        <w:t xml:space="preserve">present</w:t>
      </w:r>
      <w:r>
        <w:t xml:space="preserve"> </w:t>
      </w:r>
      <w:r>
        <w:t xml:space="preserve">a</w:t>
      </w:r>
      <w:r>
        <w:t xml:space="preserve"> </w:t>
      </w:r>
      <w:r>
        <w:t xml:space="preserve">new</w:t>
      </w:r>
      <w:r>
        <w:t xml:space="preserve"> </w:t>
      </w:r>
      <w:r>
        <w:t xml:space="preserve">model</w:t>
      </w:r>
      <w:r>
        <w:t xml:space="preserve"> </w:t>
      </w:r>
      <w:r>
        <w:t xml:space="preserve">that</w:t>
      </w:r>
      <w:r>
        <w:t xml:space="preserve"> </w:t>
      </w:r>
      <w:r>
        <w:t xml:space="preserve">avoids</w:t>
      </w:r>
      <w:r>
        <w:t xml:space="preserve"> </w:t>
      </w:r>
      <w:r>
        <w:t xml:space="preserve">this</w:t>
      </w:r>
      <w:r>
        <w:t xml:space="preserve"> </w:t>
      </w:r>
      <w:r>
        <w:t xml:space="preserve">issue,</w:t>
      </w:r>
      <w:r>
        <w:t xml:space="preserve"> </w:t>
      </w:r>
      <w:r>
        <w:t xml:space="preserve">generates</w:t>
      </w:r>
      <w:r>
        <w:t xml:space="preserve"> </w:t>
      </w:r>
      <w:r>
        <w:t xml:space="preserve">more</w:t>
      </w:r>
      <w:r>
        <w:t xml:space="preserve"> </w:t>
      </w:r>
      <w:r>
        <w:t xml:space="preserve">accurate</w:t>
      </w:r>
      <w:r>
        <w:t xml:space="preserve"> </w:t>
      </w:r>
      <w:r>
        <w:t xml:space="preserve">estimates</w:t>
      </w:r>
      <w:r>
        <w:t xml:space="preserve"> </w:t>
      </w:r>
      <w:r>
        <w:t xml:space="preserve">than</w:t>
      </w:r>
      <w:r>
        <w:t xml:space="preserve"> </w:t>
      </w:r>
      <w:r>
        <w:t xml:space="preserve">the</w:t>
      </w:r>
      <w:r>
        <w:t xml:space="preserve"> </w:t>
      </w:r>
      <w:r>
        <w:t xml:space="preserve">current</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and</w:t>
      </w:r>
      <w:r>
        <w:t xml:space="preserve"> </w:t>
      </w:r>
      <w:r>
        <w:t xml:space="preserve">has</w:t>
      </w:r>
      <w:r>
        <w:t xml:space="preserve"> </w:t>
      </w:r>
      <w:r>
        <w:t xml:space="preserve">unlimited</w:t>
      </w:r>
      <w:r>
        <w:t xml:space="preserve"> </w:t>
      </w:r>
      <w:r>
        <w:t xml:space="preserve">reaction</w:t>
      </w:r>
      <w:r>
        <w:t xml:space="preserve"> </w:t>
      </w:r>
      <w:r>
        <w:t xml:space="preserve">coverage.</w:t>
      </w:r>
      <w:r>
        <w:t xml:space="preserve"> </w:t>
      </w:r>
      <w:r>
        <w:t xml:space="preserve">Our</w:t>
      </w:r>
      <w:r>
        <w:t xml:space="preserve"> </w:t>
      </w:r>
      <w:r>
        <w:t xml:space="preserve">model</w:t>
      </w:r>
      <w:r>
        <w:t xml:space="preserve"> </w:t>
      </w:r>
      <w:r>
        <w:t xml:space="preserve">includes</w:t>
      </w:r>
      <w:r>
        <w:t xml:space="preserve"> </w:t>
      </w:r>
      <w:r>
        <w:t xml:space="preserve">parameters</w:t>
      </w:r>
      <w:r>
        <w:t xml:space="preserve"> </w:t>
      </w:r>
      <w:r>
        <w:t xml:space="preserve">for</w:t>
      </w:r>
      <w:r>
        <w:t xml:space="preserve"> </w:t>
      </w:r>
      <w:r>
        <w:t xml:space="preserve">both</w:t>
      </w:r>
      <w:r>
        <w:t xml:space="preserve"> </w:t>
      </w:r>
      <w:r>
        <w:t xml:space="preserve">chemical</w:t>
      </w:r>
      <w:r>
        <w:t xml:space="preserve"> </w:t>
      </w:r>
      <w:r>
        <w:t xml:space="preserve">groups</w:t>
      </w:r>
      <w:r>
        <w:t xml:space="preserve"> </w:t>
      </w:r>
      <w:r>
        <w:t xml:space="preserve">and</w:t>
      </w:r>
      <w:r>
        <w:t xml:space="preserve"> </w:t>
      </w:r>
      <w:r>
        <w:t xml:space="preserve">compounds,</w:t>
      </w:r>
      <w:r>
        <w:t xml:space="preserve"> </w:t>
      </w:r>
      <w:r>
        <w:t xml:space="preserve">using</w:t>
      </w:r>
      <w:r>
        <w:t xml:space="preserve"> </w:t>
      </w:r>
      <w:r>
        <w:t xml:space="preserve">a</w:t>
      </w:r>
      <w:r>
        <w:t xml:space="preserve"> </w:t>
      </w:r>
      <w:r>
        <w:t xml:space="preserve">hierarchical</w:t>
      </w:r>
      <w:r>
        <w:t xml:space="preserve"> </w:t>
      </w:r>
      <w:r>
        <w:t xml:space="preserve">component</w:t>
      </w:r>
      <w:r>
        <w:t xml:space="preserve"> </w:t>
      </w:r>
      <w:r>
        <w:t xml:space="preserve">to</w:t>
      </w:r>
      <w:r>
        <w:t xml:space="preserve"> </w:t>
      </w:r>
      <w:r>
        <w:t xml:space="preserve">balance</w:t>
      </w:r>
      <w:r>
        <w:t xml:space="preserve"> </w:t>
      </w:r>
      <w:r>
        <w:t xml:space="preserve">information</w:t>
      </w:r>
      <w:r>
        <w:t xml:space="preserve"> </w:t>
      </w:r>
      <w:r>
        <w:t xml:space="preserve">pertaining</w:t>
      </w:r>
      <w:r>
        <w:t xml:space="preserve"> </w:t>
      </w:r>
      <w:r>
        <w:t xml:space="preserve">to</w:t>
      </w:r>
      <w:r>
        <w:t xml:space="preserve"> </w:t>
      </w:r>
      <w:r>
        <w:t xml:space="preserve">these</w:t>
      </w:r>
      <w:r>
        <w:t xml:space="preserve"> </w:t>
      </w:r>
      <w:r>
        <w:t xml:space="preserve">two</w:t>
      </w:r>
      <w:r>
        <w:t xml:space="preserve"> </w:t>
      </w:r>
      <w:r>
        <w:t xml:space="preserve">levels,</w:t>
      </w:r>
      <w:r>
        <w:t xml:space="preserve"> </w:t>
      </w:r>
      <w:r>
        <w:t xml:space="preserve">and</w:t>
      </w:r>
      <w:r>
        <w:t xml:space="preserve"> </w:t>
      </w:r>
      <w:r>
        <w:t xml:space="preserve">addresses</w:t>
      </w:r>
      <w:r>
        <w:t xml:space="preserve"> </w:t>
      </w:r>
      <w:r>
        <w:t xml:space="preserve">the</w:t>
      </w:r>
      <w:r>
        <w:t xml:space="preserve"> </w:t>
      </w:r>
      <w:r>
        <w:t xml:space="preserve">issue</w:t>
      </w:r>
      <w:r>
        <w:t xml:space="preserve"> </w:t>
      </w:r>
      <w:r>
        <w:t xml:space="preserve">of</w:t>
      </w:r>
      <w:r>
        <w:t xml:space="preserve"> </w:t>
      </w:r>
      <w:r>
        <w:t xml:space="preserve">stoichiometric</w:t>
      </w:r>
      <w:r>
        <w:t xml:space="preserve"> </w:t>
      </w:r>
      <w:r>
        <w:t xml:space="preserve">collinearity</w:t>
      </w:r>
      <w:r>
        <w:t xml:space="preserve"> </w:t>
      </w:r>
      <w:r>
        <w:t xml:space="preserve">using</w:t>
      </w:r>
      <w:r>
        <w:t xml:space="preserve"> </w:t>
      </w:r>
      <w:r>
        <w:t xml:space="preserve">QR</w:t>
      </w:r>
      <w:r>
        <w:t xml:space="preserve"> </w:t>
      </w:r>
      <w:r>
        <w:t xml:space="preserve">decomposition.</w:t>
      </w:r>
      <w:r>
        <w:t xml:space="preserve"> </w:t>
      </w:r>
      <w:r>
        <w:t xml:space="preserve">We</w:t>
      </w:r>
      <w:r>
        <w:t xml:space="preserve"> </w:t>
      </w:r>
      <w:r>
        <w:t xml:space="preserve">provide</w:t>
      </w:r>
      <w:r>
        <w:t xml:space="preserve"> </w:t>
      </w:r>
      <w:r>
        <w:t xml:space="preserve">a</w:t>
      </w:r>
      <w:r>
        <w:t xml:space="preserve"> </w:t>
      </w:r>
      <w:r>
        <w:t xml:space="preserve">Gaussian</w:t>
      </w:r>
      <w:r>
        <w:t xml:space="preserve"> </w:t>
      </w:r>
      <w:r>
        <w:t xml:space="preserve">approximation</w:t>
      </w:r>
      <w:r>
        <w:t xml:space="preserve"> </w:t>
      </w:r>
      <w:r>
        <w:t xml:space="preserve">to</w:t>
      </w:r>
      <w:r>
        <w:t xml:space="preserve"> </w:t>
      </w:r>
      <w:r>
        <w:t xml:space="preserve">our</w:t>
      </w:r>
      <w:r>
        <w:t xml:space="preserve"> </w:t>
      </w:r>
      <w:r>
        <w:t xml:space="preserve">model’s</w:t>
      </w:r>
      <w:r>
        <w:t xml:space="preserve"> </w:t>
      </w:r>
      <w:r>
        <w:t xml:space="preserve">posterior</w:t>
      </w:r>
      <w:r>
        <w:t xml:space="preserve"> </w:t>
      </w:r>
      <w:r>
        <w:t xml:space="preserve">distribution</w:t>
      </w:r>
      <w:r>
        <w:t xml:space="preserve"> </w:t>
      </w:r>
      <w:r>
        <w:t xml:space="preserve">that</w:t>
      </w:r>
      <w:r>
        <w:t xml:space="preserve"> </w:t>
      </w:r>
      <w:r>
        <w:t xml:space="preserve">can</w:t>
      </w:r>
      <w:r>
        <w:t xml:space="preserve"> </w:t>
      </w:r>
      <w:r>
        <w:t xml:space="preserve">be</w:t>
      </w:r>
      <w:r>
        <w:t xml:space="preserve"> </w:t>
      </w:r>
      <w:r>
        <w:t xml:space="preserve">used</w:t>
      </w:r>
      <w:r>
        <w:t xml:space="preserve"> </w:t>
      </w:r>
      <w:r>
        <w:t xml:space="preserve">for</w:t>
      </w:r>
      <w:r>
        <w:t xml:space="preserve"> </w:t>
      </w:r>
      <w:r>
        <w:t xml:space="preserve">downstream</w:t>
      </w:r>
      <w:r>
        <w:t xml:space="preserve"> </w:t>
      </w:r>
      <w:r>
        <w:t xml:space="preserve">modelling.</w:t>
      </w:r>
      <w:r>
        <w:t xml:space="preserve"> </w:t>
      </w:r>
      <w:r>
        <w:t xml:space="preserve">Our</w:t>
      </w:r>
      <w:r>
        <w:t xml:space="preserve"> </w:t>
      </w:r>
      <w:r>
        <w:t xml:space="preserve">results</w:t>
      </w:r>
      <w:r>
        <w:t xml:space="preserve"> </w:t>
      </w:r>
      <w:r>
        <w:t xml:space="preserve">can</w:t>
      </w:r>
      <w:r>
        <w:t xml:space="preserve"> </w:t>
      </w:r>
      <w:r>
        <w:t xml:space="preserve">be</w:t>
      </w:r>
      <w:r>
        <w:t xml:space="preserve"> </w:t>
      </w:r>
      <w:r>
        <w:t xml:space="preserve">replicated</w:t>
      </w:r>
      <w:r>
        <w:t xml:space="preserve"> </w:t>
      </w:r>
      <w:r>
        <w:t xml:space="preserve">straightforwardly</w:t>
      </w:r>
      <w:r>
        <w:t xml:space="preserve"> </w:t>
      </w:r>
      <w:r>
        <w:t xml:space="preserve">by</w:t>
      </w:r>
      <w:r>
        <w:t xml:space="preserve"> </w:t>
      </w:r>
      <w:r>
        <w:t xml:space="preserve">following</w:t>
      </w:r>
      <w:r>
        <w:t xml:space="preserve"> </w:t>
      </w:r>
      <w:r>
        <w:t xml:space="preserve">the</w:t>
      </w:r>
      <w:r>
        <w:t xml:space="preserve"> </w:t>
      </w:r>
      <w:r>
        <w:t xml:space="preserve">instructions</w:t>
      </w:r>
      <w:r>
        <w:t xml:space="preserve"> </w:t>
      </w:r>
      <w:r>
        <w:t xml:space="preserve">at</w:t>
      </w:r>
      <w:r>
        <w:t xml:space="preserve"> </w:t>
      </w:r>
      <w:hyperlink r:id="rId20">
        <w:r>
          <w:rPr>
            <w:rStyle w:val="Hyperlink"/>
          </w:rPr>
          <w:t xml:space="preserve">https://github.com/biosustain/dgfreg</w:t>
        </w:r>
      </w:hyperlink>
      <w:r>
        <w:t xml:space="preserv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abstract"/>
    <w:p>
      <w:pPr>
        <w:pStyle w:val="Heading1"/>
      </w:pPr>
      <w:r>
        <w:t xml:space="preserve">Abstract</w:t>
      </w:r>
    </w:p>
    <w:bookmarkEnd w:id="21"/>
    <w:bookmarkStart w:id="28" w:name="sec-background"/>
    <w:p>
      <w:pPr>
        <w:pStyle w:val="Heading1"/>
      </w:pPr>
      <w:r>
        <w:t xml:space="preserve">Background</w:t>
      </w:r>
    </w:p>
    <w:bookmarkStart w:id="22" w:name="sec-thermodynamic-effect"/>
    <w:p>
      <w:pPr>
        <w:pStyle w:val="Heading2"/>
      </w:pPr>
      <w:r>
        <w:t xml:space="preserve">The thermodynamic effect on the rate of a biochemical reaction</w:t>
      </w:r>
    </w:p>
    <w:p>
      <w:pPr>
        <w:pStyle w:val="FirstParagraph"/>
      </w:pPr>
      <w:r>
        <w:t xml:space="preserve">The rate of an enzyme-catalysed reaction is closely related to the reaction’s</w:t>
      </w:r>
      <w:r>
        <w:t xml:space="preserve"> </w:t>
      </w:r>
      <w:r>
        <w:t xml:space="preserve">thermodynamic properties, particularly the standard condition Gibbs free energy</w:t>
      </w:r>
      <w:r>
        <w:t xml:space="preserve"> </w:t>
      </w:r>
      <w:r>
        <w:t xml:space="preserve">of formation, or</w:t>
      </w:r>
      <w:r>
        <w:t xml:space="preserve"> </w:t>
      </w:r>
      <w:r>
        <w:t xml:space="preserve">“</w:t>
      </w:r>
      <w:r>
        <w:t xml:space="preserve">formation energy</w:t>
      </w:r>
      <w:r>
        <w:t xml:space="preserve">”</w:t>
      </w:r>
      <w:r>
        <w:t xml:space="preserve"> </w:t>
      </w:r>
      <w:r>
        <w:t xml:space="preserve">of each consumed and produced compound.</w:t>
      </w:r>
      <w:r>
        <w:t xml:space="preserve"> </w:t>
      </w:r>
      <w:r>
        <w:t xml:space="preserve">Under standard conditions the overall rate</w:t>
      </w:r>
      <w:r>
        <w:t xml:space="preserve"> </w:t>
      </w:r>
      <m:oMath>
        <m:r>
          <m:t>v</m:t>
        </m:r>
      </m:oMath>
      <w:r>
        <w:t xml:space="preserve"> </w:t>
      </w:r>
      <w:r>
        <w:t xml:space="preserve">of a reaction involving</w:t>
      </w:r>
      <w:r>
        <w:t xml:space="preserve"> </w:t>
      </w:r>
      <m:oMath>
        <m:r>
          <m:t>n</m:t>
        </m:r>
        <m:r>
          <m:rPr>
            <m:sty m:val="p"/>
          </m:rPr>
          <m:t>∈</m:t>
        </m:r>
        <m:r>
          <m:rPr>
            <m:sty m:val="p"/>
            <m:scr m:val="double-struck"/>
          </m:rPr>
          <m:t>N</m:t>
        </m:r>
      </m:oMath>
      <w:r>
        <w:t xml:space="preserve"> </w:t>
      </w:r>
      <w:r>
        <w:t xml:space="preserve">species depends on formation energies</w:t>
      </w:r>
      <w:r>
        <w:t xml:space="preserve"> </w:t>
      </w:r>
      <m:oMath>
        <m:sSub>
          <m:e>
            <m:r>
              <m:t>Δ</m:t>
            </m:r>
          </m:e>
          <m:sub>
            <m:r>
              <m:t>f</m:t>
            </m:r>
          </m:sub>
        </m:sSub>
        <m:r>
          <m:t>G</m:t>
        </m:r>
        <m:r>
          <m:rPr>
            <m:sty m:val="p"/>
          </m:rPr>
          <m:t>∈</m:t>
        </m:r>
        <m:sSup>
          <m:e>
            <m:r>
              <m:rPr>
                <m:sty m:val="p"/>
                <m:scr m:val="double-struck"/>
              </m:rPr>
              <m:t>R</m:t>
            </m:r>
          </m:e>
          <m:sup>
            <m:r>
              <m:t>n</m:t>
            </m:r>
          </m:sup>
        </m:sSup>
      </m:oMath>
      <w:r>
        <w:t xml:space="preserve">, as well as stoichiometries</w:t>
      </w:r>
      <w:r>
        <w:t xml:space="preserve"> </w:t>
      </w:r>
      <m:oMath>
        <m:acc>
          <m:accPr>
            <m:chr m:val="⃗"/>
          </m:accPr>
          <m:e>
            <m:r>
              <m:t>s</m:t>
            </m:r>
          </m:e>
        </m:acc>
        <m:r>
          <m:rPr>
            <m:sty m:val="p"/>
          </m:rPr>
          <m:t>∈</m:t>
        </m:r>
        <m:sSup>
          <m:e>
            <m:r>
              <m:rPr>
                <m:sty m:val="p"/>
                <m:scr m:val="double-struck"/>
              </m:rPr>
              <m:t>R</m:t>
            </m:r>
          </m:e>
          <m:sup>
            <m:r>
              <m:t>n</m:t>
            </m:r>
          </m:sup>
        </m:sSup>
      </m:oMath>
      <w:r>
        <w:t xml:space="preserve">,</w:t>
      </w:r>
      <w:r>
        <w:t xml:space="preserve"> </w:t>
      </w:r>
      <w:r>
        <w:t xml:space="preserve">concentrations</w:t>
      </w:r>
      <w:r>
        <w:t xml:space="preserve"> </w:t>
      </w:r>
      <m:oMath>
        <m:r>
          <m:t>c</m:t>
        </m:r>
        <m:r>
          <m:rPr>
            <m:sty m:val="p"/>
          </m:rPr>
          <m:t>∈</m:t>
        </m:r>
        <m:sSubSup>
          <m:e>
            <m:r>
              <m:rPr>
                <m:sty m:val="p"/>
                <m:scr m:val="double-struck"/>
              </m:rPr>
              <m:t>R</m:t>
            </m:r>
          </m:e>
          <m:sub>
            <m:r>
              <m:rPr>
                <m:sty m:val="p"/>
              </m:rPr>
              <m:t>+</m:t>
            </m:r>
          </m:sub>
          <m:sup>
            <m:r>
              <m:t>n</m:t>
            </m:r>
          </m:sup>
        </m:sSubSup>
      </m:oMath>
      <w:r>
        <w:t xml:space="preserve">, temperature</w:t>
      </w:r>
      <w:r>
        <w:t xml:space="preserve"> </w:t>
      </w:r>
      <m:oMath>
        <m:r>
          <m:t>T</m:t>
        </m:r>
        <m:r>
          <m:rPr>
            <m:sty m:val="p"/>
          </m:rPr>
          <m:t>∈</m:t>
        </m:r>
        <m:sSub>
          <m:e>
            <m:r>
              <m:rPr>
                <m:sty m:val="p"/>
                <m:scr m:val="double-struck"/>
              </m:rPr>
              <m:t>R</m:t>
            </m:r>
          </m:e>
          <m:sub>
            <m:r>
              <m:rPr>
                <m:sty m:val="p"/>
              </m:rPr>
              <m:t>+</m:t>
            </m:r>
          </m:sub>
        </m:sSub>
      </m:oMath>
      <w:r>
        <w:t xml:space="preserve">, gas</w:t>
      </w:r>
      <w:r>
        <w:t xml:space="preserve"> </w:t>
      </w:r>
      <w:r>
        <w:t xml:space="preserve">constant</w:t>
      </w:r>
      <w:r>
        <w:t xml:space="preserve"> </w:t>
      </w:r>
      <m:oMath>
        <m:r>
          <m:t>R</m:t>
        </m:r>
        <m:r>
          <m:rPr>
            <m:sty m:val="p"/>
          </m:rPr>
          <m:t>≈</m:t>
        </m:r>
        <m:r>
          <m:t>0.008314</m:t>
        </m:r>
      </m:oMath>
      <w:r>
        <w:t xml:space="preserve"> </w:t>
      </w:r>
      <w:r>
        <w:t xml:space="preserve">and non-thermodynamic effects</w:t>
      </w:r>
      <w:r>
        <w:t xml:space="preserve"> </w:t>
      </w:r>
      <m:oMath>
        <m:r>
          <m:t>ψ</m:t>
        </m:r>
        <m:r>
          <m:rPr>
            <m:sty m:val="p"/>
          </m:rPr>
          <m:t>∈</m:t>
        </m:r>
        <m:sSub>
          <m:e>
            <m:r>
              <m:rPr>
                <m:sty m:val="p"/>
                <m:scr m:val="double-struck"/>
              </m:rPr>
              <m:t>R</m:t>
            </m:r>
          </m:e>
          <m:sub>
            <m:r>
              <m:rPr>
                <m:sty m:val="p"/>
              </m:rPr>
              <m:t>+</m:t>
            </m:r>
          </m:sub>
        </m:sSub>
      </m:oMath>
      <w:r>
        <w:t xml:space="preserve"> </w:t>
      </w:r>
      <w:r>
        <w:t xml:space="preserve">according to equation</w:t>
      </w:r>
      <w:r>
        <w:t xml:space="preserve"> </w:t>
      </w:r>
      <w:r>
        <w:t xml:space="preserve">:</w:t>
      </w:r>
    </w:p>
    <w:p>
      <w:pPr>
        <w:pStyle w:val="BodyText"/>
      </w:pPr>
    </w:p>
    <w:p>
      <w:pPr>
        <w:pStyle w:val="BodyText"/>
      </w:pPr>
      <w:r>
        <w:t xml:space="preserve">From equation</w:t>
      </w:r>
      <w:r>
        <w:t xml:space="preserve"> </w:t>
      </w:r>
      <w:r>
        <w:t xml:space="preserve"> </w:t>
      </w:r>
      <w:r>
        <w:t xml:space="preserve">it can be seen that the</w:t>
      </w:r>
      <w:r>
        <w:t xml:space="preserve"> </w:t>
      </w:r>
      <w:r>
        <w:t xml:space="preserve">thermodynamic term</w:t>
      </w:r>
      <w:r>
        <w:t xml:space="preserve"> </w:t>
      </w:r>
      <m:oMath>
        <m:r>
          <m:t>r</m:t>
        </m:r>
        <m:r>
          <m:t>e</m:t>
        </m:r>
        <m:r>
          <m:t>v</m:t>
        </m:r>
        <m:r>
          <m:t>e</m:t>
        </m:r>
        <m:r>
          <m:t>r</m:t>
        </m:r>
        <m:r>
          <m:t>s</m:t>
        </m:r>
        <m:r>
          <m:t>i</m:t>
        </m:r>
        <m:r>
          <m:t>b</m:t>
        </m:r>
        <m:r>
          <m:t>i</m:t>
        </m:r>
        <m:r>
          <m:t>l</m:t>
        </m:r>
        <m:r>
          <m:t>i</m:t>
        </m:r>
        <m:r>
          <m:t>t</m:t>
        </m:r>
        <m:r>
          <m:t>y</m:t>
        </m:r>
      </m:oMath>
      <w:r>
        <w:t xml:space="preserve"> </w:t>
      </w:r>
      <w:r>
        <w:t xml:space="preserve">determines the direction of</w:t>
      </w:r>
      <w:r>
        <w:t xml:space="preserve"> </w:t>
      </w:r>
      <m:oMath>
        <m:r>
          <m:t>v</m:t>
        </m:r>
      </m:oMath>
      <w:r>
        <w:t xml:space="preserve"> </w:t>
      </w:r>
      <w:r>
        <w:t xml:space="preserve">as well as</w:t>
      </w:r>
      <w:r>
        <w:t xml:space="preserve"> </w:t>
      </w:r>
      <w:r>
        <w:t xml:space="preserve">affecting its magnitude. Accurate quantitative modelling of biochemical fluxes</w:t>
      </w:r>
      <w:r>
        <w:t xml:space="preserve"> </w:t>
      </w:r>
      <w:r>
        <w:t xml:space="preserve">therefore requires careful estimation of formation energies.</w:t>
      </w:r>
    </w:p>
    <w:bookmarkEnd w:id="22"/>
    <w:bookmarkStart w:id="23" w:name="standard-condition-delta_rg-measurements"/>
    <w:p>
      <w:pPr>
        <w:pStyle w:val="Heading2"/>
      </w:pPr>
      <w:r>
        <w:t xml:space="preserve">Standard condition</w:t>
      </w:r>
      <w:r>
        <w:t xml:space="preserve"> </w:t>
      </w:r>
      <m:oMath>
        <m:sSub>
          <m:e>
            <m:r>
              <m:t>Δ</m:t>
            </m:r>
          </m:e>
          <m:sub>
            <m:r>
              <m:t>r</m:t>
            </m:r>
          </m:sub>
        </m:sSub>
        <m:r>
          <m:t>G</m:t>
        </m:r>
      </m:oMath>
      <w:r>
        <w:t xml:space="preserve"> </w:t>
      </w:r>
      <w:r>
        <w:t xml:space="preserve">measurements</w:t>
      </w:r>
    </w:p>
    <w:p>
      <w:pPr>
        <w:pStyle w:val="FirstParagraph"/>
      </w:pPr>
      <w:r>
        <w:t xml:space="preserve">Since not all biochemically important compounds’ formation energies have been</w:t>
      </w:r>
      <w:r>
        <w:t xml:space="preserve"> </w:t>
      </w:r>
      <w:r>
        <w:t xml:space="preserve">directly measured, in order to estimate formation energies it is necessary to</w:t>
      </w:r>
      <w:r>
        <w:t xml:space="preserve"> </w:t>
      </w:r>
      <w:r>
        <w:t xml:space="preserve">rely on measurements of</w:t>
      </w:r>
      <w:r>
        <w:t xml:space="preserve"> </w:t>
      </w:r>
      <m:oMath>
        <m:sSub>
          <m:e>
            <m:r>
              <m:t>Δ</m:t>
            </m:r>
          </m:e>
          <m:sub>
            <m:r>
              <m:t>r</m:t>
            </m:r>
          </m:sub>
        </m:sSub>
        <m:r>
          <m:t>G</m:t>
        </m:r>
      </m:oMath>
      <w:r>
        <w:t xml:space="preserve">.</w:t>
      </w:r>
      <w:r>
        <w:t xml:space="preserve"> </w:t>
      </w:r>
      <w:r>
        <w:t xml:space="preserve">Beber et al. (2021)</w:t>
      </w:r>
      <w:r>
        <w:t xml:space="preserve"> </w:t>
      </w:r>
      <w:r>
        <w:t xml:space="preserve">describes the software package and website eQuilibrator, which provides access</w:t>
      </w:r>
      <w:r>
        <w:t xml:space="preserve"> </w:t>
      </w:r>
      <w:r>
        <w:t xml:space="preserve">to a large database of such measurements derived from</w:t>
      </w:r>
      <w:r>
        <w:t xml:space="preserve"> </w:t>
      </w:r>
      <w:r>
        <w:t xml:space="preserve">Goldberg, Tewari, and Bhat (2004)</w:t>
      </w:r>
      <w:r>
        <w:t xml:space="preserve"> </w:t>
      </w:r>
      <w:r>
        <w:t xml:space="preserve">among other sources.</w:t>
      </w:r>
    </w:p>
    <w:bookmarkEnd w:id="23"/>
    <w:bookmarkStart w:id="25" w:name="the-reactant-contribution-model"/>
    <w:p>
      <w:pPr>
        <w:pStyle w:val="Heading2"/>
      </w:pPr>
      <w:r>
        <w:t xml:space="preserve">The reactant contribution model</w:t>
      </w:r>
    </w:p>
    <w:p>
      <w:pPr>
        <w:pStyle w:val="FirstParagraph"/>
      </w:pPr>
      <w:r>
        <w:t xml:space="preserve">Given a set of</w:t>
      </w:r>
      <w:r>
        <w:t xml:space="preserve"> </w:t>
      </w:r>
      <m:oMath>
        <m:r>
          <m:t>n</m:t>
        </m:r>
      </m:oMath>
      <w:r>
        <w:t xml:space="preserve"> </w:t>
      </w:r>
      <w:r>
        <w:t xml:space="preserve">measurements</w:t>
      </w:r>
      <w:r>
        <w:t xml:space="preserve"> </w:t>
      </w:r>
      <m:oMath>
        <m:r>
          <m:t>y</m:t>
        </m:r>
        <m:r>
          <m:rPr>
            <m:sty m:val="p"/>
          </m:rPr>
          <m:t>∈</m:t>
        </m:r>
        <m:sSup>
          <m:e>
            <m:r>
              <m:rPr>
                <m:sty m:val="p"/>
                <m:scr m:val="double-struck"/>
              </m:rPr>
              <m:t>R</m:t>
            </m:r>
          </m:e>
          <m:sup>
            <m:r>
              <m:t>n</m:t>
            </m:r>
          </m:sup>
        </m:sSup>
      </m:oMath>
      <w:r>
        <w:t xml:space="preserve"> </w:t>
      </w:r>
      <w:r>
        <w:t xml:space="preserve">of</w:t>
      </w:r>
      <w:r>
        <w:t xml:space="preserve"> </w:t>
      </w:r>
      <m:oMath>
        <m:r>
          <m:t>r</m:t>
        </m:r>
      </m:oMath>
      <w:r>
        <w:t xml:space="preserve"> </w:t>
      </w:r>
      <w:r>
        <w:t xml:space="preserve">reactions’ standard</w:t>
      </w:r>
      <w:r>
        <w:t xml:space="preserve"> </w:t>
      </w:r>
      <w:r>
        <w:t xml:space="preserve">condition Gibbs energy changes and a stoichiometric matrix</w:t>
      </w:r>
      <w:r>
        <w:t xml:space="preserve"> </w:t>
      </w:r>
      <m:oMath>
        <m:r>
          <m:t>S</m:t>
        </m:r>
        <m:r>
          <m:rPr>
            <m:sty m:val="p"/>
          </m:rPr>
          <m:t>∈</m:t>
        </m:r>
        <m:sSup>
          <m:e>
            <m:r>
              <m:rPr>
                <m:sty m:val="p"/>
                <m:scr m:val="double-struck"/>
              </m:rPr>
              <m:t>R</m:t>
            </m:r>
          </m:e>
          <m:sup>
            <m:r>
              <m:t>m</m:t>
            </m:r>
            <m:r>
              <m:rPr>
                <m:sty m:val="p"/>
              </m:rPr>
              <m:t>×</m:t>
            </m:r>
            <m:r>
              <m:t>r</m:t>
            </m:r>
          </m:sup>
        </m:sSup>
      </m:oMath>
      <w:r>
        <w:t xml:space="preserve"> </w:t>
      </w:r>
      <w:r>
        <w:t xml:space="preserve">providing the stoichiometric coefficients of</w:t>
      </w:r>
      <w:r>
        <w:t xml:space="preserve"> </w:t>
      </w:r>
      <m:oMath>
        <m:r>
          <m:t>m</m:t>
        </m:r>
      </m:oMath>
      <w:r>
        <w:t xml:space="preserve"> </w:t>
      </w:r>
      <w:r>
        <w:t xml:space="preserve">compounds in each measured reaction, formation energies can be estimated using</w:t>
      </w:r>
      <w:r>
        <w:t xml:space="preserve"> </w:t>
      </w:r>
      <w:r>
        <w:t xml:space="preserve">the generative model in equation</w:t>
      </w:r>
      <w:r>
        <w:t xml:space="preserve"> </w:t>
      </w:r>
      <w:r>
        <w:t xml:space="preserve">, which is</w:t>
      </w:r>
      <w:r>
        <w:t xml:space="preserve"> </w:t>
      </w:r>
      <w:r>
        <w:t xml:space="preserve">known as the</w:t>
      </w:r>
      <w:r>
        <w:t xml:space="preserve"> </w:t>
      </w:r>
      <w:r>
        <w:t xml:space="preserve">‘</w:t>
      </w:r>
      <w:r>
        <w:t xml:space="preserve">reactant contribution</w:t>
      </w:r>
      <w:r>
        <w:t xml:space="preserve">’</w:t>
      </w:r>
      <w:r>
        <w:t xml:space="preserve"> </w:t>
      </w:r>
      <w:r>
        <w:t xml:space="preserve">model:</w:t>
      </w:r>
    </w:p>
    <w:p>
      <w:pPr>
        <w:pStyle w:val="BodyText"/>
      </w:pPr>
    </w:p>
    <w:p>
      <w:pPr>
        <w:pStyle w:val="BodyText"/>
      </w:pPr>
      <w:r>
        <w:t xml:space="preserve">In equation</w:t>
      </w:r>
      <w:r>
        <w:t xml:space="preserve"> </w:t>
      </w:r>
      <w:r>
        <w:t xml:space="preserve">,</w:t>
      </w:r>
      <w:r>
        <w:t xml:space="preserve"> </w:t>
      </w:r>
      <m:oMath>
        <m:r>
          <m:t>r</m:t>
        </m:r>
        <m:r>
          <m:t>e</m:t>
        </m:r>
        <m:r>
          <m:t>a</m:t>
        </m:r>
        <m:r>
          <m:t>c</m:t>
        </m:r>
        <m:r>
          <m:t>t</m:t>
        </m:r>
        <m:r>
          <m:t>i</m:t>
        </m:r>
        <m:r>
          <m:t>o</m:t>
        </m:r>
        <m:r>
          <m:t>n</m:t>
        </m:r>
      </m:oMath>
      <w:r>
        <w:t xml:space="preserve"> </w:t>
      </w:r>
      <w:r>
        <w:t xml:space="preserve">is a function mapping</w:t>
      </w:r>
      <w:r>
        <w:t xml:space="preserve"> </w:t>
      </w:r>
      <w:r>
        <w:t xml:space="preserve">measurement indexes to columns of</w:t>
      </w:r>
      <w:r>
        <w:t xml:space="preserve"> </w:t>
      </w:r>
      <m:oMath>
        <m:r>
          <m:t>S</m:t>
        </m:r>
      </m:oMath>
      <w:r>
        <w:t xml:space="preserve">, so that</w:t>
      </w:r>
      <w:r>
        <w:t xml:space="preserve"> </w:t>
      </w:r>
      <m:oMath>
        <m:r>
          <m:t>r</m:t>
        </m:r>
        <m:r>
          <m:t>e</m:t>
        </m:r>
        <m:r>
          <m:t>a</m:t>
        </m:r>
        <m:r>
          <m:t>c</m:t>
        </m:r>
        <m:r>
          <m:t>t</m:t>
        </m:r>
        <m:r>
          <m:t>i</m:t>
        </m:r>
        <m:r>
          <m:t>o</m:t>
        </m:r>
        <m:r>
          <m:t>n</m:t>
        </m:r>
        <m:d>
          <m:dPr>
            <m:begChr m:val="("/>
            <m:endChr m:val=")"/>
            <m:sepChr m:val=""/>
            <m:grow/>
          </m:dPr>
          <m:e>
            <m:r>
              <m:t>i</m:t>
            </m:r>
          </m:e>
        </m:d>
      </m:oMath>
      <w:r>
        <w:t xml:space="preserve"> </w:t>
      </w:r>
      <w:r>
        <w:t xml:space="preserve">is the index of</w:t>
      </w:r>
      <w:r>
        <w:t xml:space="preserve"> </w:t>
      </w:r>
      <w:r>
        <w:t xml:space="preserve">the column of S that was measured by measurement</w:t>
      </w:r>
      <w:r>
        <w:t xml:space="preserve"> </w:t>
      </w:r>
      <m:oMath>
        <m:r>
          <m:t>i</m:t>
        </m:r>
      </m:oMath>
      <w:r>
        <w:t xml:space="preserve"> </w:t>
      </w:r>
      <w:r>
        <w:t xml:space="preserve">and</w:t>
      </w:r>
      <w:r>
        <w:t xml:space="preserve"> </w:t>
      </w:r>
      <m:oMath>
        <m:r>
          <m:t>σ</m:t>
        </m:r>
        <m:r>
          <m:rPr>
            <m:sty m:val="p"/>
          </m:rPr>
          <m:t>∈</m:t>
        </m:r>
        <m:r>
          <m:rPr>
            <m:sty m:val="p"/>
            <m:scr m:val="double-struck"/>
          </m:rPr>
          <m:t>R</m:t>
        </m:r>
      </m:oMath>
      <w:r>
        <w:t xml:space="preserve"> </w:t>
      </w:r>
      <w:r>
        <w:t xml:space="preserve">is a number representing the accuracy of the measurements.</w:t>
      </w:r>
    </w:p>
    <w:p>
      <w:pPr>
        <w:pStyle w:val="BodyText"/>
      </w:pPr>
      <w:r>
        <w:t xml:space="preserve">Noor et al. (2013)</w:t>
      </w:r>
      <w:r>
        <w:t xml:space="preserve"> </w:t>
      </w:r>
      <w:r>
        <w:t xml:space="preserve">describes how the reactant contribution</w:t>
      </w:r>
      <w:r>
        <w:t xml:space="preserve"> </w:t>
      </w:r>
      <w:r>
        <w:t xml:space="preserve">model has been used to provide accurate estimates of biochemical formation</w:t>
      </w:r>
      <w:r>
        <w:t xml:space="preserve"> </w:t>
      </w:r>
      <w:r>
        <w:t xml:space="preserve">energies. Unfortunately, the formation energies of many biochemical compounds</w:t>
      </w:r>
      <w:r>
        <w:t xml:space="preserve"> </w:t>
      </w:r>
      <w:r>
        <w:t xml:space="preserve">cannot be estimated using the reactant contribution model because they do not</w:t>
      </w:r>
      <w:r>
        <w:t xml:space="preserve"> </w:t>
      </w:r>
      <w:r>
        <w:t xml:space="preserve">participate in any measured reactions.</w:t>
      </w:r>
    </w:p>
    <w:bookmarkStart w:id="24" w:name="X630a663f1a4c0cda9894137c2e4ec3d2c96803a"/>
    <w:p>
      <w:pPr>
        <w:pStyle w:val="Heading3"/>
      </w:pPr>
      <w:r>
        <w:t xml:space="preserve">Reformulation using sufficient statistics</w:t>
      </w:r>
    </w:p>
    <w:p>
      <w:pPr>
        <w:pStyle w:val="FirstParagraph"/>
      </w:pPr>
      <w:r>
        <w:t xml:space="preserve">By averaging measurements of the same reaction, we can create the</w:t>
      </w:r>
      <w:r>
        <w:t xml:space="preserve"> </w:t>
      </w:r>
      <w:r>
        <w:t xml:space="preserve">mathematically equivalent form of the reactant contribution model shown in</w:t>
      </w:r>
      <w:r>
        <w:t xml:space="preserve"> </w:t>
      </w:r>
      <w:r>
        <w:t xml:space="preserve">equation</w:t>
      </w:r>
      <w:r>
        <w:t xml:space="preserve"> </w:t>
      </w:r>
      <w:r>
        <w:t xml:space="preserve">. This model formulation takes advantage of</w:t>
      </w:r>
      <w:r>
        <w:t xml:space="preserve"> </w:t>
      </w:r>
      <w:r>
        <w:t xml:space="preserve">the sufficient statistic that, for a sample of</w:t>
      </w:r>
      <w:r>
        <w:t xml:space="preserve"> </w:t>
      </w:r>
      <m:oMath>
        <m:r>
          <m:t>s</m:t>
        </m:r>
        <m:r>
          <m:t>i</m:t>
        </m:r>
        <m:r>
          <m:t>z</m:t>
        </m:r>
        <m:r>
          <m:t>e</m:t>
        </m:r>
      </m:oMath>
      <w:r>
        <w:t xml:space="preserve"> </w:t>
      </w:r>
      <w:r>
        <w:t xml:space="preserve">IID normal random</w:t>
      </w:r>
      <w:r>
        <w:t xml:space="preserve"> </w:t>
      </w:r>
      <w:r>
        <w:t xml:space="preserve">variables</w:t>
      </w:r>
      <w:r>
        <w:t xml:space="preserve"> </w:t>
      </w:r>
      <m:oMath>
        <m:r>
          <m:t>X</m:t>
        </m:r>
        <m:r>
          <m:rPr>
            <m:sty m:val="p"/>
          </m:rPr>
          <m:t>∼</m:t>
        </m:r>
        <m:r>
          <m:t>N</m:t>
        </m:r>
        <m:d>
          <m:dPr>
            <m:begChr m:val="("/>
            <m:endChr m:val=")"/>
            <m:sepChr m:val=""/>
            <m:grow/>
          </m:dPr>
          <m:e>
            <m:r>
              <m:t>μ</m:t>
            </m:r>
            <m:r>
              <m:rPr>
                <m:sty m:val="p"/>
              </m:rPr>
              <m:t>,</m:t>
            </m:r>
            <m:r>
              <m:t>σ</m:t>
            </m:r>
          </m:e>
        </m:d>
      </m:oMath>
      <w:r>
        <w:t xml:space="preserve">, the sample mean</w:t>
      </w:r>
      <w:r>
        <w:t xml:space="preserve"> </w:t>
      </w:r>
      <m:oMath>
        <m:acc>
          <m:accPr>
            <m:chr m:val="‾"/>
          </m:accPr>
          <m:e>
            <m:r>
              <m:t>X</m:t>
            </m:r>
          </m:e>
        </m:acc>
      </m:oMath>
      <w:r>
        <w:t xml:space="preserve"> </w:t>
      </w:r>
      <w:r>
        <w:t xml:space="preserve">has distribution</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1"/>
                  </m:radPr>
                  <m:deg/>
                  <m:e>
                    <m:r>
                      <m:t>s</m:t>
                    </m:r>
                    <m:r>
                      <m:t>i</m:t>
                    </m:r>
                    <m:r>
                      <m:t>z</m:t>
                    </m:r>
                    <m:r>
                      <m:t>e</m:t>
                    </m:r>
                  </m:e>
                </m:rad>
              </m:den>
            </m:f>
          </m:e>
        </m:d>
      </m:oMath>
      <w:r>
        <w:t xml:space="preserve">. In equation</w:t>
      </w:r>
      <w:r>
        <w:t xml:space="preserve"> </w:t>
      </w:r>
      <w:r>
        <w:t xml:space="preserve">,</w:t>
      </w:r>
      <w:r>
        <w:t xml:space="preserve"> </w:t>
      </w:r>
      <m:oMath>
        <m:sSub>
          <m:e>
            <m:acc>
              <m:accPr>
                <m:chr m:val="‾"/>
              </m:accPr>
              <m:e>
                <m:r>
                  <m:t>y</m:t>
                </m:r>
              </m:e>
            </m:acc>
          </m:e>
          <m:sub>
            <m:r>
              <m:t>j</m:t>
            </m:r>
          </m:sub>
        </m:sSub>
      </m:oMath>
      <w:r>
        <w:t xml:space="preserve"> </w:t>
      </w:r>
      <w:r>
        <w:t xml:space="preserve">is the mean measurement of reaction{j}</w:t>
      </w:r>
      <w:r>
        <w:t xml:space="preserve"> </w:t>
      </w:r>
      <w:r>
        <w:t xml:space="preserve">and</w:t>
      </w:r>
      <w:r>
        <w:t xml:space="preserve"> </w:t>
      </w:r>
      <m:oMath>
        <m:r>
          <m:t>s</m:t>
        </m:r>
        <m:r>
          <m:t>i</m:t>
        </m:r>
        <m:r>
          <m:t>z</m:t>
        </m:r>
        <m:r>
          <m:t>e</m:t>
        </m:r>
      </m:oMath>
      <w:r>
        <w:t xml:space="preserve"> </w:t>
      </w:r>
      <w:r>
        <w:t xml:space="preserve">is a function mapping reaction indexes to measurement counts, so</w:t>
      </w:r>
      <w:r>
        <w:t xml:space="preserve"> </w:t>
      </w:r>
      <w:r>
        <w:t xml:space="preserve">that</w:t>
      </w:r>
      <w:r>
        <w:t xml:space="preserve"> </w:t>
      </w:r>
      <m:oMath>
        <m:r>
          <m:t>s</m:t>
        </m:r>
        <m:r>
          <m:t>i</m:t>
        </m:r>
        <m:r>
          <m:t>z</m:t>
        </m:r>
        <m:r>
          <m:t>e</m:t>
        </m:r>
        <m:d>
          <m:dPr>
            <m:begChr m:val="("/>
            <m:endChr m:val=")"/>
            <m:sepChr m:val=""/>
            <m:grow/>
          </m:dPr>
          <m:e>
            <m:r>
              <m:t>j</m:t>
            </m:r>
          </m:e>
        </m:d>
      </m:oMath>
      <w:r>
        <w:t xml:space="preserve"> </w:t>
      </w:r>
      <w:r>
        <w:t xml:space="preserve">is the number of measurements of reaction</w:t>
      </w:r>
      <w:r>
        <w:t xml:space="preserve"> </w:t>
      </w:r>
      <m:oMath>
        <m:r>
          <m:t>j</m:t>
        </m:r>
      </m:oMath>
      <w:r>
        <w:t xml:space="preserve">.</w:t>
      </w:r>
    </w:p>
    <w:p>
      <w:pPr>
        <w:pStyle w:val="BodyText"/>
      </w:pPr>
    </w:p>
    <w:p>
      <w:pPr>
        <w:pStyle w:val="BodyText"/>
      </w:pPr>
      <w:r>
        <w:t xml:space="preserve">This formulation is generally computationally preferable because the number of normal</w:t>
      </w:r>
      <w:r>
        <w:t xml:space="preserve"> </w:t>
      </w:r>
      <w:r>
        <w:t xml:space="preserve">distribution densities to evaluate is the number of reactions</w:t>
      </w:r>
      <w:r>
        <w:t xml:space="preserve"> </w:t>
      </w:r>
      <m:oMath>
        <m:r>
          <m:t>r</m:t>
        </m:r>
      </m:oMath>
      <w:r>
        <w:t xml:space="preserve">, which is</w:t>
      </w:r>
      <w:r>
        <w:t xml:space="preserve"> </w:t>
      </w:r>
      <w:r>
        <w:t xml:space="preserve">usually less than the number of measurements</w:t>
      </w:r>
      <w:r>
        <w:t xml:space="preserve"> </w:t>
      </w:r>
      <m:oMath>
        <m:r>
          <m:t>n</m:t>
        </m:r>
      </m:oMath>
      <w:r>
        <w:t xml:space="preserve">.</w:t>
      </w:r>
    </w:p>
    <w:bookmarkEnd w:id="24"/>
    <w:bookmarkEnd w:id="25"/>
    <w:bookmarkStart w:id="26" w:name="the-group-contribution-model"/>
    <w:p>
      <w:pPr>
        <w:pStyle w:val="Heading2"/>
      </w:pPr>
      <w:r>
        <w:t xml:space="preserve">The group contribution model</w:t>
      </w:r>
    </w:p>
    <w:p>
      <w:pPr>
        <w:pStyle w:val="FirstParagraph"/>
      </w:pPr>
      <w:r>
        <w:t xml:space="preserve">The group contribution model addresses the reactant contribution model’s lack</w:t>
      </w:r>
      <w:r>
        <w:t xml:space="preserve"> </w:t>
      </w:r>
      <w:r>
        <w:t xml:space="preserve">of coverage by allowing some unmeasured compounds’ formation energies to be</w:t>
      </w:r>
      <w:r>
        <w:t xml:space="preserve"> </w:t>
      </w:r>
      <w:r>
        <w:t xml:space="preserve">estimated, provided these compounds are composed of measured chemical groups.</w:t>
      </w:r>
      <w:r>
        <w:t xml:space="preserve"> </w:t>
      </w:r>
      <w:r>
        <w:t xml:space="preserve">The group contribution model adds to the generative model in equation</w:t>
      </w:r>
      <w:r>
        <w:t xml:space="preserve"> </w:t>
      </w:r>
      <w:r>
        <w:t xml:space="preserve"> </w:t>
      </w:r>
      <w:r>
        <w:t xml:space="preserve">the group additivity assumption</w:t>
      </w:r>
      <w:r>
        <w:t xml:space="preserve"> </w:t>
      </w:r>
      <w:r>
        <w:t xml:space="preserve">, according to which a compound’s formation energy</w:t>
      </w:r>
      <w:r>
        <w:t xml:space="preserve"> </w:t>
      </w:r>
      <w:r>
        <w:t xml:space="preserve">is the stoichiometry-weighted sum of the formation energies of its constituent</w:t>
      </w:r>
      <w:r>
        <w:t xml:space="preserve"> </w:t>
      </w:r>
      <w:r>
        <w:t xml:space="preserve">groups,</w:t>
      </w:r>
      <w:r>
        <w:t xml:space="preserve"> </w:t>
      </w:r>
      <w:r>
        <w:t xml:space="preserve">‘</w:t>
      </w:r>
      <w:r>
        <w:t xml:space="preserve">group contribution</w:t>
      </w:r>
      <w:r>
        <w:t xml:space="preserve">’</w:t>
      </w:r>
      <w:r>
        <w:t xml:space="preserve"> </w:t>
      </w:r>
      <w:r>
        <w:t xml:space="preserve">model. In equation</w:t>
      </w:r>
      <w:r>
        <w:t xml:space="preserve"> </w:t>
      </w:r>
      <w:r>
        <w:t xml:space="preserve">,</w:t>
      </w:r>
      <w:r>
        <w:t xml:space="preserve"> </w:t>
      </w:r>
      <m:oMath>
        <m:r>
          <m:t>G</m:t>
        </m:r>
        <m:r>
          <m:rPr>
            <m:sty m:val="p"/>
          </m:rPr>
          <m:t>∈</m:t>
        </m:r>
        <m:sSup>
          <m:e>
            <m:r>
              <m:rPr>
                <m:sty m:val="p"/>
                <m:scr m:val="double-struck"/>
              </m:rPr>
              <m:t>R</m:t>
            </m:r>
          </m:e>
          <m:sup>
            <m:r>
              <m:t>m</m:t>
            </m:r>
            <m:r>
              <m:rPr>
                <m:sty m:val="p"/>
              </m:rPr>
              <m:t>×</m:t>
            </m:r>
            <m:r>
              <m:t>g</m:t>
            </m:r>
          </m:sup>
        </m:sSup>
      </m:oMath>
      <w:r>
        <w:t xml:space="preserve"> </w:t>
      </w:r>
      <w:r>
        <w:t xml:space="preserve">is a group incidence matrix that maps combinations</w:t>
      </w:r>
      <w:r>
        <w:t xml:space="preserve"> </w:t>
      </w:r>
      <w:r>
        <w:t xml:space="preserve">of</w:t>
      </w:r>
      <w:r>
        <w:t xml:space="preserve"> </w:t>
      </w:r>
      <m:oMath>
        <m:r>
          <m:t>m</m:t>
        </m:r>
      </m:oMath>
      <w:r>
        <w:t xml:space="preserve"> </w:t>
      </w:r>
      <w:r>
        <w:t xml:space="preserve">compounds and</w:t>
      </w:r>
      <w:r>
        <w:t xml:space="preserve"> </w:t>
      </w:r>
      <m:oMath>
        <m:r>
          <m:t>g</m:t>
        </m:r>
      </m:oMath>
      <w:r>
        <w:t xml:space="preserve"> </w:t>
      </w:r>
      <w:r>
        <w:t xml:space="preserve">groups to stoichiometric coefficients and</w:t>
      </w:r>
      <w:r>
        <w:t xml:space="preserve"> </w:t>
      </w:r>
      <m:oMath>
        <m:sSub>
          <m:e>
            <m:r>
              <m:t>Δ</m:t>
            </m:r>
          </m:e>
          <m:sub>
            <m:r>
              <m:t>g</m:t>
            </m:r>
          </m:sub>
        </m:sSub>
        <m:r>
          <m:t>G</m:t>
        </m:r>
      </m:oMath>
      <w:r>
        <w:t xml:space="preserve"> </w:t>
      </w:r>
      <w:r>
        <w:t xml:space="preserve">is a vector of</w:t>
      </w:r>
      <w:r>
        <w:t xml:space="preserve"> </w:t>
      </w:r>
      <m:oMath>
        <m:r>
          <m:t>g</m:t>
        </m:r>
      </m:oMath>
      <w:r>
        <w:t xml:space="preserve"> </w:t>
      </w:r>
      <w:r>
        <w:t xml:space="preserve">group formation energies.</w:t>
      </w:r>
    </w:p>
    <w:p>
      <w:pPr>
        <w:pStyle w:val="BodyText"/>
      </w:pPr>
    </w:p>
    <w:p>
      <w:pPr>
        <w:pStyle w:val="BodyText"/>
      </w:pPr>
      <w:r>
        <w:t xml:space="preserve">Using this model’s estimates</w:t>
      </w:r>
      <w:r>
        <w:t xml:space="preserve"> </w:t>
      </w:r>
      <m:oMath>
        <m:acc>
          <m:accPr>
            <m:chr m:val="̂"/>
          </m:accPr>
          <m:e>
            <m:sSub>
              <m:e>
                <m:r>
                  <m:t>Δ</m:t>
                </m:r>
              </m:e>
              <m:sub>
                <m:r>
                  <m:t>g</m:t>
                </m:r>
              </m:sub>
            </m:sSub>
            <m:r>
              <m:t>G</m:t>
            </m:r>
          </m:e>
        </m:acc>
      </m:oMath>
      <w:r>
        <w:t xml:space="preserve"> </w:t>
      </w:r>
      <w:r>
        <w:t xml:space="preserve">for the parameters</w:t>
      </w:r>
      <w:r>
        <w:t xml:space="preserve"> </w:t>
      </w:r>
      <m:oMath>
        <m:sSub>
          <m:e>
            <m:r>
              <m:t>Δ</m:t>
            </m:r>
          </m:e>
          <m:sub>
            <m:r>
              <m:t>g</m:t>
            </m:r>
          </m:sub>
        </m:sSub>
        <m:r>
          <m:t>G</m:t>
        </m:r>
      </m:oMath>
      <w:r>
        <w:t xml:space="preserve">,</w:t>
      </w:r>
      <w:r>
        <w:t xml:space="preserve"> </w:t>
      </w:r>
      <w:r>
        <w:t xml:space="preserve">the formation energy of an unmeasured compound composed of measured chemical</w:t>
      </w:r>
      <w:r>
        <w:t xml:space="preserve"> </w:t>
      </w:r>
      <w:r>
        <w:t xml:space="preserve">groups can be estimated based on its group composition</w:t>
      </w:r>
      <w:r>
        <w:t xml:space="preserve"> </w:t>
      </w:r>
      <m:oMath>
        <m:acc>
          <m:accPr>
            <m:chr m:val="⃗"/>
          </m:accPr>
          <m:e>
            <m:r>
              <m:t>g</m:t>
            </m:r>
          </m:e>
        </m:acc>
      </m:oMath>
      <w:r>
        <w:t xml:space="preserve"> </w:t>
      </w:r>
      <w:r>
        <w:t xml:space="preserve">using equation</w:t>
      </w:r>
      <w:r>
        <w:t xml:space="preserve"> </w:t>
      </w:r>
      <w:r>
        <w:t xml:space="preserve">.</w:t>
      </w:r>
    </w:p>
    <w:p>
      <w:pPr>
        <w:pStyle w:val="BodyText"/>
      </w:pPr>
    </w:p>
    <w:bookmarkEnd w:id="26"/>
    <w:bookmarkStart w:id="27" w:name="the-component-contribution-model"/>
    <w:p>
      <w:pPr>
        <w:pStyle w:val="Heading2"/>
      </w:pPr>
      <w:r>
        <w:t xml:space="preserve">The component contribution model</w:t>
      </w:r>
    </w:p>
    <w:p>
      <w:pPr>
        <w:pStyle w:val="FirstParagraph"/>
      </w:pPr>
      <w:r>
        <w:t xml:space="preserve">Noor et al. (2013)</w:t>
      </w:r>
      <w:r>
        <w:t xml:space="preserve"> </w:t>
      </w:r>
      <w:r>
        <w:t xml:space="preserve">proposes to use formation energy estimates</w:t>
      </w:r>
      <w:r>
        <w:t xml:space="preserve"> </w:t>
      </w:r>
      <w:r>
        <w:t xml:space="preserve">from the reactant contribution model where possible, falling back to estimates</w:t>
      </w:r>
      <w:r>
        <w:t xml:space="preserve"> </w:t>
      </w:r>
      <w:r>
        <w:t xml:space="preserve">from the group contribution model for unmeasured compounds composed of measured</w:t>
      </w:r>
      <w:r>
        <w:t xml:space="preserve"> </w:t>
      </w:r>
      <w:r>
        <w:t xml:space="preserve">groups. This method is known as the</w:t>
      </w:r>
      <w:r>
        <w:t xml:space="preserve"> </w:t>
      </w:r>
      <w:r>
        <w:t xml:space="preserve">‘</w:t>
      </w:r>
      <w:r>
        <w:t xml:space="preserve">component contribution</w:t>
      </w:r>
      <w:r>
        <w:t xml:space="preserve">’</w:t>
      </w:r>
      <w:r>
        <w:t xml:space="preserve"> </w:t>
      </w:r>
      <w:r>
        <w:t xml:space="preserve">model. While there</w:t>
      </w:r>
      <w:r>
        <w:t xml:space="preserve"> </w:t>
      </w:r>
      <w:r>
        <w:t xml:space="preserve">have been more recent efforts to more accurately capture the effect of</w:t>
      </w:r>
      <w:r>
        <w:t xml:space="preserve"> </w:t>
      </w:r>
      <w:r>
        <w:t xml:space="preserve">experimental conditions, as described in</w:t>
      </w:r>
      <w:r>
        <w:t xml:space="preserve"> </w:t>
      </w:r>
      <w:r>
        <w:t xml:space="preserve">Du, Zielinski, and Palsson (2018)</w:t>
      </w:r>
      <w:r>
        <w:t xml:space="preserve"> </w:t>
      </w:r>
      <w:r>
        <w:t xml:space="preserve">and</w:t>
      </w:r>
      <w:r>
        <w:t xml:space="preserve"> </w:t>
      </w:r>
      <w:r>
        <w:t xml:space="preserve">Beber et al. (2021)</w:t>
      </w:r>
      <w:r>
        <w:t xml:space="preserve">, the component contribution model</w:t>
      </w:r>
      <w:r>
        <w:t xml:space="preserve"> </w:t>
      </w:r>
      <w:r>
        <w:t xml:space="preserve">remains the state of the art for estimating standard condition biochemical</w:t>
      </w:r>
      <w:r>
        <w:t xml:space="preserve"> </w:t>
      </w:r>
      <w:r>
        <w:t xml:space="preserve">formation energies.</w:t>
      </w:r>
    </w:p>
    <w:bookmarkEnd w:id="27"/>
    <w:bookmarkEnd w:id="28"/>
    <w:bookmarkStart w:id="34" w:name="X4724b07722040a89bcc1dfb567319fecf7bd82f"/>
    <w:p>
      <w:pPr>
        <w:pStyle w:val="Heading1"/>
      </w:pPr>
      <w:r>
        <w:t xml:space="preserve">Theoretical problem with the group contribution model</w:t>
      </w:r>
    </w:p>
    <w:p>
      <w:pPr>
        <w:pStyle w:val="FirstParagraph"/>
      </w:pPr>
      <w:r>
        <w:t xml:space="preserve">Suppose two compounds</w:t>
      </w:r>
      <w:r>
        <w:t xml:space="preserve"> </w:t>
      </w:r>
      <m:oMath>
        <m:r>
          <m:t>a</m:t>
        </m:r>
      </m:oMath>
      <w:r>
        <w:t xml:space="preserve"> </w:t>
      </w:r>
      <w:r>
        <w:t xml:space="preserve">and</w:t>
      </w:r>
      <w:r>
        <w:t xml:space="preserve"> </w:t>
      </w:r>
      <m:oMath>
        <m:r>
          <m:t>b</m:t>
        </m:r>
      </m:oMath>
      <w:r>
        <w:t xml:space="preserve"> </w:t>
      </w:r>
      <w:r>
        <w:t xml:space="preserve">have the same group composition</w:t>
      </w:r>
      <w:r>
        <w:t xml:space="preserve"> </w:t>
      </w:r>
      <m:oMath>
        <m:sSub>
          <m:e>
            <m:acc>
              <m:accPr>
                <m:chr m:val="⃗"/>
              </m:accPr>
              <m:e>
                <m:r>
                  <m:t>g</m:t>
                </m:r>
              </m:e>
            </m:acc>
          </m:e>
          <m:sub>
            <m:r>
              <m:t>a</m:t>
            </m:r>
            <m:r>
              <m:t>b</m:t>
            </m:r>
          </m:sub>
        </m:sSub>
      </m:oMath>
      <w:r>
        <w:t xml:space="preserve">. Then the group contribution estimate for compound</w:t>
      </w:r>
      <w:r>
        <w:t xml:space="preserve"> </w:t>
      </w:r>
      <m:oMath>
        <m:r>
          <m:t>a</m:t>
        </m:r>
      </m:oMath>
      <w:r>
        <w:t xml:space="preserve"> </w:t>
      </w:r>
      <w:r>
        <w:t xml:space="preserve">is</w:t>
      </w:r>
      <w:r>
        <w:t xml:space="preserve"> </w:t>
      </w:r>
      <w:r>
        <w:t xml:space="preserve">necessarily equal to the group contribution estimate for compound</w:t>
      </w:r>
      <w:r>
        <w:t xml:space="preserve"> </w:t>
      </w:r>
      <m:oMath>
        <m:r>
          <m:t>b</m:t>
        </m:r>
      </m:oMath>
      <w:r>
        <w:t xml:space="preserve">, i.e.</w:t>
      </w:r>
    </w:p>
    <w:p>
      <w:pPr>
        <w:pStyle w:val="BodyText"/>
      </w:pPr>
    </w:p>
    <w:p>
      <w:pPr>
        <w:pStyle w:val="BodyText"/>
      </w:pPr>
      <w:r>
        <w:t xml:space="preserve">This implies that a reaction</w:t>
      </w:r>
      <w:r>
        <w:t xml:space="preserve"> </w:t>
      </w:r>
      <m:oMath>
        <m:r>
          <m:t>j</m:t>
        </m:r>
      </m:oMath>
      <w:r>
        <w:t xml:space="preserve"> </w:t>
      </w:r>
      <w:r>
        <w:t xml:space="preserve">with stoichiometry</w:t>
      </w:r>
      <w:r>
        <w:t xml:space="preserve"> </w:t>
      </w:r>
      <m:oMath>
        <m:sSub>
          <m:e>
            <m:acc>
              <m:accPr>
                <m:chr m:val="⃗"/>
              </m:accPr>
              <m:e>
                <m:r>
                  <m:t>s</m:t>
                </m:r>
              </m:e>
            </m:acc>
          </m:e>
          <m:sub>
            <m:r>
              <m:t>j</m:t>
            </m:r>
          </m:sub>
        </m:sSub>
      </m:oMath>
      <w:r>
        <w:t xml:space="preserve"> </w:t>
      </w:r>
      <w:r>
        <w:t xml:space="preserve">that converts</w:t>
      </w:r>
      <w:r>
        <w:t xml:space="preserve"> </w:t>
      </w:r>
      <m:oMath>
        <m:r>
          <m:t>a</m:t>
        </m:r>
      </m:oMath>
      <w:r>
        <w:t xml:space="preserve"> </w:t>
      </w:r>
      <w:r>
        <w:t xml:space="preserve">into</w:t>
      </w:r>
      <w:r>
        <w:t xml:space="preserve"> </w:t>
      </w:r>
      <m:oMath>
        <m:r>
          <m:t>b</m:t>
        </m:r>
      </m:oMath>
      <w:r>
        <w:t xml:space="preserve"> </w:t>
      </w:r>
      <w:r>
        <w:t xml:space="preserve">or vice versa will always have estimated standard condition Gibbs</w:t>
      </w:r>
      <w:r>
        <w:t xml:space="preserve"> </w:t>
      </w:r>
      <w:r>
        <w:t xml:space="preserve">energy change</w:t>
      </w:r>
      <w:r>
        <w:t xml:space="preserve"> </w:t>
      </w:r>
      <m:oMath>
        <m:sSub>
          <m:e>
            <m:acc>
              <m:accPr>
                <m:chr m:val="̂"/>
              </m:accPr>
              <m:e>
                <m:sSub>
                  <m:e>
                    <m:r>
                      <m:t>Δ</m:t>
                    </m:r>
                  </m:e>
                  <m:sub>
                    <m:r>
                      <m:t>r</m:t>
                    </m:r>
                  </m:sub>
                </m:sSub>
                <m:r>
                  <m:t>G</m:t>
                </m:r>
              </m:e>
            </m:acc>
          </m:e>
          <m:sub>
            <m:r>
              <m:t>j</m:t>
            </m:r>
          </m:sub>
        </m:sSub>
      </m:oMath>
      <w:r>
        <w:t xml:space="preserve"> </w:t>
      </w:r>
      <w:r>
        <w:t xml:space="preserve">zero according to the group contribution</w:t>
      </w:r>
      <w:r>
        <w:t xml:space="preserve"> </w:t>
      </w:r>
      <w:r>
        <w:t xml:space="preserve">model. According to equation</w:t>
      </w:r>
      <w:r>
        <w:t xml:space="preserve"> </w:t>
      </w:r>
      <w:r>
        <w:t xml:space="preserve">, the group</w:t>
      </w:r>
      <w:r>
        <w:t xml:space="preserve"> </w:t>
      </w:r>
      <w:r>
        <w:t xml:space="preserve">contribution model will therefore imply that the direction of reaction</w:t>
      </w:r>
      <w:r>
        <w:t xml:space="preserve"> </w:t>
      </w:r>
      <m:oMath>
        <m:r>
          <m:t>j</m:t>
        </m:r>
      </m:oMath>
      <w:r>
        <w:t xml:space="preserve"> </w:t>
      </w:r>
      <w:r>
        <w:t xml:space="preserve">depends only on the sign of the term</w:t>
      </w:r>
      <w:r>
        <w:t xml:space="preserve"> </w:t>
      </w:r>
      <m:oMath>
        <m:r>
          <m:t>1</m:t>
        </m:r>
        <m:r>
          <m:rPr>
            <m:sty m:val="p"/>
          </m:rPr>
          <m:t>−</m:t>
        </m:r>
        <m:r>
          <m:rPr>
            <m:sty m:val="p"/>
          </m:rPr>
          <m:t>exp</m:t>
        </m:r>
        <m:d>
          <m:dPr>
            <m:begChr m:val="("/>
            <m:endChr m:val=")"/>
            <m:sepChr m:val=""/>
            <m:grow/>
          </m:dPr>
          <m:e>
            <m:r>
              <m:t>R</m:t>
            </m:r>
            <m:r>
              <m:t>T</m:t>
            </m:r>
            <m:r>
              <m:rPr>
                <m:sty m:val="p"/>
              </m:rPr>
              <m:t>⋅</m:t>
            </m:r>
            <m:f>
              <m:fPr>
                <m:type m:val="bar"/>
              </m:fPr>
              <m:num>
                <m:sSubSup>
                  <m:e>
                    <m:acc>
                      <m:accPr>
                        <m:chr m:val="⃗"/>
                      </m:accPr>
                      <m:e>
                        <m:r>
                          <m:t>s</m:t>
                        </m:r>
                      </m:e>
                    </m:acc>
                  </m:e>
                  <m:sub>
                    <m:r>
                      <m:t>j</m:t>
                    </m:r>
                  </m:sub>
                  <m:sup>
                    <m:r>
                      <m:rPr>
                        <m:sty m:val="p"/>
                      </m:rPr>
                      <m:t>⊤</m:t>
                    </m:r>
                  </m:sup>
                </m:sSubSup>
                <m:r>
                  <m:rPr>
                    <m:sty m:val="p"/>
                  </m:rPr>
                  <m:t>⋅</m:t>
                </m:r>
                <m:r>
                  <m:rPr>
                    <m:sty m:val="p"/>
                  </m:rPr>
                  <m:t>ln</m:t>
                </m:r>
                <m:r>
                  <m:t>c</m:t>
                </m:r>
              </m:num>
              <m:den>
                <m:r>
                  <m:t>R</m:t>
                </m:r>
                <m:r>
                  <m:t>T</m:t>
                </m:r>
              </m:den>
            </m:f>
          </m:e>
        </m:d>
      </m:oMath>
      <w:r>
        <w:t xml:space="preserve">, so that</w:t>
      </w:r>
      <w:r>
        <w:t xml:space="preserve"> </w:t>
      </w:r>
      <m:oMath>
        <m:r>
          <m:t>v</m:t>
        </m:r>
        <m:r>
          <m:rPr>
            <m:sty m:val="p"/>
          </m:rPr>
          <m:t>&gt;</m:t>
        </m:r>
        <m:r>
          <m:t>0</m:t>
        </m:r>
      </m:oMath>
      <w:r>
        <w:t xml:space="preserve"> </w:t>
      </w:r>
      <w:r>
        <w:t xml:space="preserve">if and only if</w:t>
      </w:r>
      <w:r>
        <w:t xml:space="preserve"> </w:t>
      </w:r>
      <m:oMath>
        <m:d>
          <m:dPr>
            <m:begChr m:val="|"/>
            <m:endChr m:val="|"/>
            <m:sepChr m:val=""/>
            <m:grow/>
          </m:dPr>
          <m:e>
            <m:r>
              <m:t>a</m:t>
            </m:r>
          </m:e>
        </m:d>
        <m:r>
          <m:rPr>
            <m:sty m:val="p"/>
          </m:rPr>
          <m:t>&lt;</m:t>
        </m:r>
        <m:d>
          <m:dPr>
            <m:begChr m:val="|"/>
            <m:endChr m:val="|"/>
            <m:sepChr m:val=""/>
            <m:grow/>
          </m:dPr>
          <m:e>
            <m:r>
              <m:t>b</m:t>
            </m:r>
          </m:e>
        </m:d>
      </m:oMath>
      <w:r>
        <w:t xml:space="preserve">.</w:t>
      </w:r>
    </w:p>
    <w:p>
      <w:pPr>
        <w:pStyle w:val="BodyText"/>
      </w:pPr>
      <w:hyperlink w:anchor="fig-network">
        <w:r>
          <w:rPr>
            <w:rStyle w:val="Hyperlink"/>
          </w:rPr>
          <w:t xml:space="preserve">Figure 1</w:t>
        </w:r>
      </w:hyperlink>
      <w:r>
        <w:t xml:space="preserve"> </w:t>
      </w:r>
      <w:r>
        <w:t xml:space="preserve">illustrates how this feature of the group contribution model can</w:t>
      </w:r>
      <w:r>
        <w:t xml:space="preserve"> </w:t>
      </w:r>
      <w:r>
        <w:t xml:space="preserve">lead to contradictions with quantitative metabolomics and fluxomics data.</w:t>
      </w:r>
    </w:p>
    <w:tbl>
      <w:tblPr>
        <w:tblStyle w:val="Table"/>
        <w:tblW w:type="pct" w:w="5000"/>
        <w:tblLook w:firstRow="0" w:lastRow="0" w:firstColumn="0" w:lastColumn="0" w:noHBand="0" w:noVBand="0" w:val="0000"/>
        <w:jc w:val="start"/>
      </w:tblPr>
      <w:tblGrid>
        <w:gridCol w:w="7920"/>
      </w:tblGrid>
      <w:tr>
        <w:tc>
          <w:tcPr/>
          <w:bookmarkStart w:id="33" w:name="fig-network"/>
          <w:p>
            <w:pPr>
              <w:jc w:val="center"/>
            </w:pPr>
            <w:r>
              <w:drawing>
                <wp:inline>
                  <wp:extent cx="5334000" cy="3553385"/>
                  <wp:effectExtent b="0" l="0" r="0" t="0"/>
                  <wp:docPr descr="" title="" id="30" name="Picture"/>
                  <a:graphic>
                    <a:graphicData uri="http://schemas.openxmlformats.org/drawingml/2006/picture">
                      <pic:pic>
                        <pic:nvPicPr>
                          <pic:cNvPr descr="./img/contradiction.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5334000" cy="35533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Example of the group contribution model contradicting experimental data. By</w:t>
            </w:r>
            <w:r>
              <w:t xml:space="preserve"> </w:t>
            </w:r>
            <w:r>
              <w:t xml:space="preserve">construction the metabolites</w:t>
            </w:r>
            <w:r>
              <w:t xml:space="preserve"> </w:t>
            </w:r>
            <m:oMath>
              <m:r>
                <m:t>a</m:t>
              </m:r>
            </m:oMath>
            <w:r>
              <w:t xml:space="preserve"> </w:t>
            </w:r>
            <w:r>
              <w:t xml:space="preserve">and</w:t>
            </w:r>
            <w:r>
              <w:t xml:space="preserve"> </w:t>
            </w:r>
            <m:oMath>
              <m:r>
                <m:t>b</m:t>
              </m:r>
            </m:oMath>
            <w:r>
              <w:t xml:space="preserve"> </w:t>
            </w:r>
            <w:r>
              <w:t xml:space="preserve">have the same group decomposition, so</w:t>
            </w:r>
            <w:r>
              <w:t xml:space="preserve"> </w:t>
            </w:r>
            <w:r>
              <w:t xml:space="preserve">that according to the group contribution model</w:t>
            </w:r>
            <w:r>
              <w:t xml:space="preserve"> </w:t>
            </w:r>
            <m:oMath>
              <m:r>
                <m:t>v</m:t>
              </m:r>
              <m:r>
                <m:rPr>
                  <m:sty m:val="p"/>
                </m:rPr>
                <m:t>&gt;</m:t>
              </m:r>
              <m:r>
                <m:t>0</m:t>
              </m:r>
            </m:oMath>
            <w:r>
              <w:t xml:space="preserve"> </w:t>
            </w:r>
            <w:r>
              <w:t xml:space="preserve">if and only if</w:t>
            </w:r>
            <w:r>
              <w:t xml:space="preserve"> </w:t>
            </w:r>
            <m:oMath>
              <m:d>
                <m:dPr>
                  <m:begChr m:val="|"/>
                  <m:endChr m:val="|"/>
                  <m:sepChr m:val=""/>
                  <m:grow/>
                </m:dPr>
                <m:e>
                  <m:r>
                    <m:t>a</m:t>
                  </m:r>
                </m:e>
              </m:d>
              <m:r>
                <m:rPr>
                  <m:sty m:val="p"/>
                </m:rPr>
                <m:t>&lt;</m:t>
              </m:r>
              <m:d>
                <m:dPr>
                  <m:begChr m:val="|"/>
                  <m:endChr m:val="|"/>
                  <m:sepChr m:val=""/>
                  <m:grow/>
                </m:dPr>
                <m:e>
                  <m:r>
                    <m:t>b</m:t>
                  </m:r>
                </m:e>
              </m:d>
            </m:oMath>
            <w:r>
              <w:t xml:space="preserve">. However,</w:t>
            </w:r>
            <w:r>
              <w:t xml:space="preserve"> </w:t>
            </w:r>
            <m:oMath>
              <m:r>
                <m:t>v</m:t>
              </m:r>
            </m:oMath>
            <w:r>
              <w:t xml:space="preserve">,</w:t>
            </w:r>
            <w:r>
              <w:t xml:space="preserve"> </w:t>
            </w:r>
            <m:oMath>
              <m:d>
                <m:dPr>
                  <m:begChr m:val="|"/>
                  <m:endChr m:val="|"/>
                  <m:sepChr m:val=""/>
                  <m:grow/>
                </m:dPr>
                <m:e>
                  <m:r>
                    <m:t>a</m:t>
                  </m:r>
                </m:e>
              </m:d>
            </m:oMath>
            <w:r>
              <w:t xml:space="preserve"> </w:t>
            </w:r>
            <w:r>
              <w:t xml:space="preserve">and</w:t>
            </w:r>
            <w:r>
              <w:t xml:space="preserve"> </w:t>
            </w:r>
            <m:oMath>
              <m:d>
                <m:dPr>
                  <m:begChr m:val="|"/>
                  <m:endChr m:val="|"/>
                  <m:sepChr m:val=""/>
                  <m:grow/>
                </m:dPr>
                <m:e>
                  <m:r>
                    <m:t>b</m:t>
                  </m:r>
                </m:e>
              </m:d>
            </m:oMath>
            <w:r>
              <w:t xml:space="preserve"> </w:t>
            </w:r>
            <w:r>
              <w:t xml:space="preserve">have been measured experimentally,</w:t>
            </w:r>
            <w:r>
              <w:t xml:space="preserve"> </w:t>
            </w:r>
            <w:r>
              <w:t xml:space="preserve">contradicting this.</w:t>
            </w:r>
          </w:p>
          <w:bookmarkEnd w:id="33"/>
        </w:tc>
      </w:tr>
    </w:tbl>
    <w:p>
      <w:pPr>
        <w:pStyle w:val="BodyText"/>
      </w:pPr>
      <w:r>
        <w:t xml:space="preserve">This feature of the group contribution model leads to a more practical</w:t>
      </w:r>
      <w:r>
        <w:t xml:space="preserve"> </w:t>
      </w:r>
      <w:r>
        <w:t xml:space="preserve">modelling problem. If</w:t>
      </w:r>
      <w:r>
        <w:t xml:space="preserve"> </w:t>
      </w:r>
      <m:oMath>
        <m:sSub>
          <m:e>
            <m:r>
              <m:t>Δ</m:t>
            </m:r>
          </m:e>
          <m:sub>
            <m:r>
              <m:t>g</m:t>
            </m:r>
          </m:sub>
        </m:sSub>
        <m:r>
          <m:t>G</m:t>
        </m:r>
      </m:oMath>
      <w:r>
        <w:t xml:space="preserve"> </w:t>
      </w:r>
      <w:r>
        <w:t xml:space="preserve">is estimated by maximum likelihood</w:t>
      </w:r>
      <w:r>
        <w:t xml:space="preserve"> </w:t>
      </w:r>
      <w:r>
        <w:t xml:space="preserve">estimation, the covariance matrix of the estimator vector</w:t>
      </w:r>
      <w:r>
        <w:t xml:space="preserve"> </w:t>
      </w:r>
      <m:oMath>
        <m:acc>
          <m:accPr>
            <m:chr m:val="̂"/>
          </m:accPr>
          <m:e>
            <m:sSub>
              <m:e>
                <m:r>
                  <m:t>Δ</m:t>
                </m:r>
              </m:e>
              <m:sub>
                <m:r>
                  <m:t>f</m:t>
                </m:r>
              </m:sub>
            </m:sSub>
            <m:r>
              <m:t>G</m:t>
            </m:r>
          </m:e>
        </m:acc>
        <m:r>
          <m:rPr>
            <m:sty m:val="p"/>
          </m:rPr>
          <m:t>=</m:t>
        </m:r>
        <m:r>
          <m:t>G</m:t>
        </m:r>
        <m:acc>
          <m:accPr>
            <m:chr m:val="̂"/>
          </m:accPr>
          <m:e>
            <m:sSub>
              <m:e>
                <m:r>
                  <m:t>Δ</m:t>
                </m:r>
              </m:e>
              <m:sub>
                <m:r>
                  <m:t>g</m:t>
                </m:r>
              </m:sub>
            </m:sSub>
            <m:r>
              <m:t>G</m:t>
            </m:r>
          </m:e>
        </m:acc>
      </m:oMath>
      <w:r>
        <w:t xml:space="preserve"> </w:t>
      </w:r>
      <w:r>
        <w:t xml:space="preserve">is given by equation</w:t>
      </w:r>
      <w:r>
        <w:t xml:space="preserve"> </w:t>
      </w:r>
      <w:r>
        <w:t xml:space="preserve">:</w:t>
      </w:r>
    </w:p>
    <w:p>
      <w:pPr>
        <w:pStyle w:val="BodyText"/>
      </w:pPr>
    </w:p>
    <w:p>
      <w:pPr>
        <w:pStyle w:val="BodyText"/>
      </w:pPr>
      <w:r>
        <w:t xml:space="preserve">This covariance matrix has the same rank as</w:t>
      </w:r>
      <w:r>
        <w:t xml:space="preserve"> </w:t>
      </w:r>
      <m:oMath>
        <m:r>
          <m:t>G</m:t>
        </m:r>
      </m:oMath>
      <w:r>
        <w:t xml:space="preserve"> </w:t>
      </w:r>
      <w:r>
        <w:t xml:space="preserve">since for</w:t>
      </w:r>
      <w:r>
        <w:t xml:space="preserve"> </w:t>
      </w:r>
      <m:oMath>
        <m:r>
          <m:t>A</m:t>
        </m:r>
        <m:r>
          <m:rPr>
            <m:sty m:val="p"/>
          </m:rPr>
          <m:t>=</m:t>
        </m:r>
        <m:r>
          <m:t>B</m:t>
        </m:r>
        <m:r>
          <m:rPr>
            <m:sty m:val="p"/>
          </m:rPr>
          <m:t>⋅</m:t>
        </m:r>
        <m:r>
          <m:t>C</m:t>
        </m:r>
      </m:oMath>
      <w:r>
        <w:t xml:space="preserve">,</w:t>
      </w:r>
      <w:r>
        <w:t xml:space="preserve"> </w:t>
      </w:r>
      <m:oMath>
        <m:r>
          <m:t>r</m:t>
        </m:r>
        <m:r>
          <m:t>a</m:t>
        </m:r>
        <m:r>
          <m:t>n</m:t>
        </m:r>
        <m:r>
          <m:t>k</m:t>
        </m:r>
        <m:d>
          <m:dPr>
            <m:begChr m:val="("/>
            <m:endChr m:val=")"/>
            <m:sepChr m:val=""/>
            <m:grow/>
          </m:dPr>
          <m:e>
            <m:r>
              <m:t>A</m:t>
            </m:r>
          </m:e>
        </m:d>
        <m:r>
          <m:rPr>
            <m:sty m:val="p"/>
          </m:rPr>
          <m:t>=</m:t>
        </m:r>
        <m:r>
          <m:t>m</m:t>
        </m:r>
        <m:r>
          <m:t>i</m:t>
        </m:r>
        <m:r>
          <m:t>n</m:t>
        </m:r>
        <m:d>
          <m:dPr>
            <m:begChr m:val="("/>
            <m:endChr m:val=")"/>
            <m:sepChr m:val=""/>
            <m:grow/>
          </m:dPr>
          <m:e>
            <m:r>
              <m:t>r</m:t>
            </m:r>
            <m:r>
              <m:t>a</m:t>
            </m:r>
            <m:r>
              <m:t>n</m:t>
            </m:r>
            <m:r>
              <m:t>k</m:t>
            </m:r>
            <m:d>
              <m:dPr>
                <m:begChr m:val="("/>
                <m:endChr m:val=")"/>
                <m:sepChr m:val=""/>
                <m:grow/>
              </m:dPr>
              <m:e>
                <m:r>
                  <m:t>B</m:t>
                </m:r>
              </m:e>
            </m:d>
            <m:r>
              <m:rPr>
                <m:sty m:val="p"/>
              </m:rPr>
              <m:t>,</m:t>
            </m:r>
            <m:r>
              <m:t>r</m:t>
            </m:r>
            <m:r>
              <m:t>a</m:t>
            </m:r>
            <m:r>
              <m:t>n</m:t>
            </m:r>
            <m:r>
              <m:t>k</m:t>
            </m:r>
            <m:d>
              <m:dPr>
                <m:begChr m:val="("/>
                <m:endChr m:val=")"/>
                <m:sepChr m:val=""/>
                <m:grow/>
              </m:dPr>
              <m:e>
                <m:r>
                  <m:t>C</m:t>
                </m:r>
              </m:e>
            </m:d>
          </m:e>
        </m:d>
      </m:oMath>
      <w:r>
        <w:t xml:space="preserve">. Therefore, in the typical case where the number</w:t>
      </w:r>
      <w:r>
        <w:t xml:space="preserve"> </w:t>
      </w:r>
      <w:r>
        <w:t xml:space="preserve">of groups</w:t>
      </w:r>
      <w:r>
        <w:t xml:space="preserve"> </w:t>
      </w:r>
      <m:oMath>
        <m:r>
          <m:t>g</m:t>
        </m:r>
      </m:oMath>
      <w:r>
        <w:t xml:space="preserve"> </w:t>
      </w:r>
      <w:r>
        <w:t xml:space="preserve">is less than the number of compounds</w:t>
      </w:r>
      <w:r>
        <w:t xml:space="preserve"> </w:t>
      </w:r>
      <m:oMath>
        <m:r>
          <m:t>m</m:t>
        </m:r>
      </m:oMath>
      <w:r>
        <w:t xml:space="preserve">, the covariance matrix</w:t>
      </w:r>
      <w:r>
        <w:t xml:space="preserve"> </w:t>
      </w:r>
      <m:oMath>
        <m:r>
          <m:t>C</m:t>
        </m:r>
        <m:r>
          <m:t>o</m:t>
        </m:r>
        <m:r>
          <m:t>v</m:t>
        </m:r>
        <m:d>
          <m:dPr>
            <m:begChr m:val="("/>
            <m:endChr m:val=")"/>
            <m:sepChr m:val=""/>
            <m:grow/>
          </m:dPr>
          <m:e>
            <m:acc>
              <m:accPr>
                <m:chr m:val="̂"/>
              </m:accPr>
              <m:e>
                <m:sSub>
                  <m:e>
                    <m:r>
                      <m:t>Δ</m:t>
                    </m:r>
                  </m:e>
                  <m:sub>
                    <m:r>
                      <m:t>f</m:t>
                    </m:r>
                  </m:sub>
                </m:sSub>
                <m:r>
                  <m:t>G</m:t>
                </m:r>
              </m:e>
            </m:acc>
          </m:e>
        </m:d>
      </m:oMath>
      <w:r>
        <w:t xml:space="preserve"> </w:t>
      </w:r>
      <w:r>
        <w:t xml:space="preserve">is guaranteed to be rank-deficient. If</w:t>
      </w:r>
      <w:r>
        <w:t xml:space="preserve"> </w:t>
      </w:r>
      <m:oMath>
        <m:r>
          <m:t>C</m:t>
        </m:r>
        <m:r>
          <m:t>o</m:t>
        </m:r>
        <m:r>
          <m:t>v</m:t>
        </m:r>
        <m:d>
          <m:dPr>
            <m:begChr m:val="("/>
            <m:endChr m:val=")"/>
            <m:sepChr m:val=""/>
            <m:grow/>
          </m:dPr>
          <m:e>
            <m:acc>
              <m:accPr>
                <m:chr m:val="̂"/>
              </m:accPr>
              <m:e>
                <m:sSub>
                  <m:e>
                    <m:r>
                      <m:t>Δ</m:t>
                    </m:r>
                  </m:e>
                  <m:sub>
                    <m:r>
                      <m:t>f</m:t>
                    </m:r>
                  </m:sub>
                </m:sSub>
                <m:r>
                  <m:t>G</m:t>
                </m:r>
              </m:e>
            </m:acc>
          </m:e>
        </m:d>
      </m:oMath>
      <w:r>
        <w:t xml:space="preserve"> </w:t>
      </w:r>
      <w:r>
        <w:t xml:space="preserve">is used as the covariance matrix of a multivariate</w:t>
      </w:r>
      <w:r>
        <w:t xml:space="preserve"> </w:t>
      </w:r>
      <w:r>
        <w:t xml:space="preserve">normal prior distribution in a Bayesian mechanistic metabolic model, the</w:t>
      </w:r>
      <w:r>
        <w:t xml:space="preserve"> </w:t>
      </w:r>
      <w:r>
        <w:t xml:space="preserve">resulting posterior distribution will assign zero probability mass to some</w:t>
      </w:r>
      <w:r>
        <w:t xml:space="preserve"> </w:t>
      </w:r>
      <w:r>
        <w:t xml:space="preserve">regions of</w:t>
      </w:r>
      <w:r>
        <w:t xml:space="preserve"> </w:t>
      </w:r>
      <m:oMath>
        <m:sSub>
          <m:e>
            <m:r>
              <m:t>Δ</m:t>
            </m:r>
          </m:e>
          <m:sub>
            <m:r>
              <m:t>f</m:t>
            </m:r>
          </m:sub>
        </m:sSub>
        <m:r>
          <m:t>G</m:t>
        </m:r>
      </m:oMath>
      <w:r>
        <w:t xml:space="preserve"> </w:t>
      </w:r>
      <w:r>
        <w:t xml:space="preserve">space. If the true parameter allocation lies in such a</w:t>
      </w:r>
      <w:r>
        <w:t xml:space="preserve"> </w:t>
      </w:r>
      <w:r>
        <w:t xml:space="preserve">region, the model will be irreparably biased and will also likely suffer from</w:t>
      </w:r>
      <w:r>
        <w:t xml:space="preserve"> </w:t>
      </w:r>
      <w:r>
        <w:t xml:space="preserve">computational issues due to an unresolvable conflict between prior and</w:t>
      </w:r>
      <w:r>
        <w:t xml:space="preserve"> </w:t>
      </w:r>
      <w:r>
        <w:t xml:space="preserve">likelihood.</w:t>
      </w:r>
    </w:p>
    <w:bookmarkEnd w:id="34"/>
    <w:bookmarkStart w:id="45" w:name="sec-methods"/>
    <w:p>
      <w:pPr>
        <w:pStyle w:val="Heading1"/>
      </w:pPr>
      <w:r>
        <w:t xml:space="preserve">Methods</w:t>
      </w:r>
    </w:p>
    <w:p>
      <w:pPr>
        <w:pStyle w:val="FirstParagraph"/>
      </w:pPr>
      <w:r>
        <w:t xml:space="preserve">We began by assessing to what extent the issue we identified with the group</w:t>
      </w:r>
      <w:r>
        <w:t xml:space="preserve"> </w:t>
      </w:r>
      <w:r>
        <w:t xml:space="preserve">contribution method affects the state-of-the-art formation energy estimates</w:t>
      </w:r>
      <w:r>
        <w:t xml:space="preserve"> </w:t>
      </w:r>
      <w:r>
        <w:t xml:space="preserve">provided by eQuilibrator. Our method for this assessment is described in</w:t>
      </w:r>
      <w:r>
        <w:t xml:space="preserve"> </w:t>
      </w:r>
      <w:hyperlink w:anchor="sec-how-big-is-the-problem">
        <w:r>
          <w:rPr>
            <w:rStyle w:val="Hyperlink"/>
          </w:rPr>
          <w:t xml:space="preserve">Section 4.1</w:t>
        </w:r>
      </w:hyperlink>
      <w:r>
        <w:t xml:space="preserve">.</w:t>
      </w:r>
    </w:p>
    <w:p>
      <w:pPr>
        <w:pStyle w:val="BodyText"/>
      </w:pPr>
      <w:r>
        <w:t xml:space="preserve">Next, as described in</w:t>
      </w:r>
      <w:r>
        <w:t xml:space="preserve"> </w:t>
      </w:r>
      <w:hyperlink w:anchor="sec-improved-group-contribution-model">
        <w:r>
          <w:rPr>
            <w:rStyle w:val="Hyperlink"/>
          </w:rPr>
          <w:t xml:space="preserve">Section 4.2</w:t>
        </w:r>
      </w:hyperlink>
      <w:r>
        <w:t xml:space="preserve">, we devised a</w:t>
      </w:r>
      <w:r>
        <w:t xml:space="preserve"> </w:t>
      </w:r>
      <w:r>
        <w:t xml:space="preserve">minimal improvement to the group contribution method that avoids the rank</w:t>
      </w:r>
      <w:r>
        <w:t xml:space="preserve"> </w:t>
      </w:r>
      <w:r>
        <w:t xml:space="preserve">deficiency issue with the minimum possible change.</w:t>
      </w:r>
    </w:p>
    <w:p>
      <w:pPr>
        <w:pStyle w:val="BodyText"/>
      </w:pPr>
      <w:r>
        <w:t xml:space="preserve">Section</w:t>
      </w:r>
      <w:r>
        <w:t xml:space="preserve"> </w:t>
      </w:r>
      <w:hyperlink w:anchor="X03228259967c05d38f9352bef9d77b24a40a0a1">
        <w:r>
          <w:rPr>
            <w:rStyle w:val="Hyperlink"/>
          </w:rPr>
          <w:t xml:space="preserve">Section 4.3</w:t>
        </w:r>
      </w:hyperlink>
      <w:r>
        <w:t xml:space="preserve"> </w:t>
      </w:r>
      <w:r>
        <w:t xml:space="preserve">describes an alternative</w:t>
      </w:r>
      <w:r>
        <w:t xml:space="preserve"> </w:t>
      </w:r>
      <w:r>
        <w:t xml:space="preserve">statistical model of the eQuilibrator data that addresses the rank deficiency</w:t>
      </w:r>
      <w:r>
        <w:t xml:space="preserve"> </w:t>
      </w:r>
      <w:r>
        <w:t xml:space="preserve">issue more comprehensively.</w:t>
      </w:r>
    </w:p>
    <w:p>
      <w:pPr>
        <w:pStyle w:val="BodyText"/>
      </w:pPr>
      <w:r>
        <w:t xml:space="preserve">Finally,</w:t>
      </w:r>
      <w:r>
        <w:t xml:space="preserve"> </w:t>
      </w:r>
      <w:hyperlink w:anchor="sec-case-study">
        <w:r>
          <w:rPr>
            <w:rStyle w:val="Hyperlink"/>
          </w:rPr>
          <w:t xml:space="preserve">Section 4.6</w:t>
        </w:r>
      </w:hyperlink>
      <w:r>
        <w:t xml:space="preserve"> </w:t>
      </w:r>
      <w:r>
        <w:t xml:space="preserve">describes how we compared our new models with the</w:t>
      </w:r>
      <w:r>
        <w:t xml:space="preserve"> </w:t>
      </w:r>
      <w:r>
        <w:t xml:space="preserve">state of the art.</w:t>
      </w:r>
    </w:p>
    <w:bookmarkStart w:id="36" w:name="sec-how-big-is-the-problem"/>
    <w:p>
      <w:pPr>
        <w:pStyle w:val="Heading2"/>
      </w:pPr>
      <w:r>
        <w:t xml:space="preserve">How big is the problem?</w:t>
      </w:r>
    </w:p>
    <w:p>
      <w:pPr>
        <w:pStyle w:val="FirstParagraph"/>
      </w:pPr>
      <w:r>
        <w:t xml:space="preserve">Since there are multiple possible decompositions of compounds into chemical</w:t>
      </w:r>
      <w:r>
        <w:t xml:space="preserve"> </w:t>
      </w:r>
      <w:r>
        <w:t xml:space="preserve">groups, it is not possible to say in general which reactions are affected by</w:t>
      </w:r>
      <w:r>
        <w:t xml:space="preserve"> </w:t>
      </w:r>
      <w:r>
        <w:t xml:space="preserve">the issue we highlight with the group contribution model. However to get a</w:t>
      </w:r>
      <w:r>
        <w:t xml:space="preserve"> </w:t>
      </w:r>
      <w:r>
        <w:t xml:space="preserve">general idea we used the group decomposition matrix from the</w:t>
      </w:r>
      <w:r>
        <w:t xml:space="preserve"> </w:t>
      </w:r>
      <w:r>
        <w:rPr>
          <w:rStyle w:val="VerbatimChar"/>
        </w:rPr>
        <w:t xml:space="preserve">equilibrator-api</w:t>
      </w:r>
      <w:r>
        <w:t xml:space="preserve"> </w:t>
      </w:r>
      <w:r>
        <w:t xml:space="preserve">package . We then used the</w:t>
      </w:r>
      <w:r>
        <w:t xml:space="preserve"> </w:t>
      </w:r>
      <w:r>
        <w:rPr>
          <w:rStyle w:val="VerbatimChar"/>
        </w:rPr>
        <w:t xml:space="preserve">e_coli_core</w:t>
      </w:r>
      <w:r>
        <w:t xml:space="preserve"> </w:t>
      </w:r>
      <w:r>
        <w:t xml:space="preserve">model from</w:t>
      </w:r>
      <w:r>
        <w:t xml:space="preserve"> </w:t>
      </w:r>
      <w:r>
        <w:t xml:space="preserve">Orth, Fleming, and Palsson (2010)</w:t>
      </w:r>
      <w:r>
        <w:t xml:space="preserve">, as exposed by the Python package</w:t>
      </w:r>
      <w:r>
        <w:t xml:space="preserve"> </w:t>
      </w:r>
      <w:r>
        <w:rPr>
          <w:rStyle w:val="VerbatimChar"/>
        </w:rPr>
        <w:t xml:space="preserve">COBRApy</w:t>
      </w:r>
      <w:r>
        <w:t xml:space="preserve"> </w:t>
      </w:r>
      <w:r>
        <w:t xml:space="preserve">Ebrahim et al. (2013)</w:t>
      </w:r>
      <w:r>
        <w:t xml:space="preserve">, to identify important</w:t>
      </w:r>
      <w:r>
        <w:t xml:space="preserve"> </w:t>
      </w:r>
      <w:r>
        <w:t xml:space="preserve">reactions that conserve groups according to this matrix.</w:t>
      </w:r>
    </w:p>
    <w:p>
      <w:pPr>
        <w:pStyle w:val="BodyText"/>
      </w:pPr>
      <w:r>
        <w:t xml:space="preserve">We found 82 group-conserving reaction in the training dataset, 11 of which are</w:t>
      </w:r>
      <w:r>
        <w:t xml:space="preserve"> </w:t>
      </w:r>
      <w:r>
        <w:t xml:space="preserve">also in the</w:t>
      </w:r>
      <w:r>
        <w:t xml:space="preserve"> </w:t>
      </w:r>
      <w:r>
        <w:rPr>
          <w:rStyle w:val="VerbatimChar"/>
        </w:rPr>
        <w:t xml:space="preserve">e_coli_core</w:t>
      </w:r>
      <w:r>
        <w:t xml:space="preserve"> </w:t>
      </w:r>
      <w:r>
        <w:t xml:space="preserve">model. These reactions are shown below in</w:t>
      </w:r>
      <w:r>
        <w:t xml:space="preserve"> </w:t>
      </w:r>
      <w:hyperlink w:anchor="tbl-bad-reactions">
        <w:r>
          <w:rPr>
            <w:rStyle w:val="Hyperlink"/>
          </w:rPr>
          <w:t xml:space="preserve">Table 1</w:t>
        </w:r>
      </w:hyperlink>
      <w:r>
        <w:t xml:space="preserve">.</w:t>
      </w:r>
    </w:p>
    <w:p>
      <w:pPr>
        <w:pStyle w:val="BodyText"/>
      </w:pPr>
      <w:r>
        <w:t xml:space="preserve">See appendix [SAY WHERE] for code used to carry out this analysis.</w:t>
      </w:r>
    </w:p>
    <w:bookmarkStart w:id="35" w:name="tbl-bad-reactions"/>
    <w:p>
      <w:pPr>
        <w:pStyle w:val="TableCaption"/>
      </w:pPr>
      <w:r>
        <w:t xml:space="preserve">Table 1: Reactions in the</w:t>
      </w:r>
      <w:r>
        <w:t xml:space="preserve"> </w:t>
      </w:r>
      <w:r>
        <w:rPr>
          <w:rStyle w:val="VerbatimChar"/>
        </w:rPr>
        <w:t xml:space="preserve">e_coli_core</w:t>
      </w:r>
      <w:r>
        <w:t xml:space="preserve"> </w:t>
      </w:r>
      <w:r>
        <w:t xml:space="preserve">model that conserve chemical groups according</w:t>
      </w:r>
      <w:r>
        <w:t xml:space="preserve"> </w:t>
      </w:r>
      <w:r>
        <w:t xml:space="preserve">to the</w:t>
      </w:r>
      <w:r>
        <w:t xml:space="preserve"> </w:t>
      </w:r>
      <w:r>
        <w:rPr>
          <w:rStyle w:val="VerbatimChar"/>
        </w:rPr>
        <w:t xml:space="preserve">equilibrator-api</w:t>
      </w:r>
      <w:r>
        <w:t xml:space="preserve"> </w:t>
      </w:r>
      <w:r>
        <w:t xml:space="preserve">group decomposition matrix, implying that their</w:t>
      </w:r>
      <w:r>
        <w:t xml:space="preserve"> </w:t>
      </w:r>
      <w:r>
        <w:t xml:space="preserve">standard Gibbs energy of reaction is exactly zero according to the group</w:t>
      </w:r>
      <w:r>
        <w:t xml:space="preserve"> </w:t>
      </w:r>
      <w:r>
        <w:t xml:space="preserve">contribution model.</w:t>
      </w:r>
    </w:p>
    <w:tbl>
      <w:tblPr>
        <w:tblStyle w:val="Table"/>
        <w:tblW w:type="pct" w:w="5000"/>
        <w:tblLook w:firstRow="1" w:lastRow="0" w:firstColumn="0" w:lastColumn="0" w:noHBand="0" w:noVBand="0" w:val="0020"/>
        <w:jc w:val="start"/>
        <w:tblCaption w:val="Table 1: Reactions in the e_coli_core model that conserve chemical groups according to the equilibrator-api group decomposition matrix, implying that their standard Gibbs energy of reaction is exactly zero according to the group contribution model."/>
      </w:tblPr>
      <w:tblGrid>
        <w:gridCol w:w="7346"/>
        <w:gridCol w:w="573"/>
      </w:tblGrid>
      <w:tr>
        <w:trPr>
          <w:tblHeader w:val="true"/>
        </w:trPr>
        <w:tc>
          <w:tcPr/>
          <w:p>
            <w:pPr>
              <w:pStyle w:val="Compact"/>
              <w:jc w:val="left"/>
            </w:pPr>
            <w:r>
              <w:t xml:space="preserve">description</w:t>
            </w:r>
          </w:p>
        </w:tc>
        <w:tc>
          <w:tcPr/>
          <w:p>
            <w:pPr>
              <w:pStyle w:val="Compact"/>
              <w:jc w:val="left"/>
            </w:pPr>
            <w:r>
              <w:t xml:space="preserve">EC number</w:t>
            </w:r>
          </w:p>
        </w:tc>
      </w:tr>
      <w:tr>
        <w:tc>
          <w:tcPr/>
          <w:p>
            <w:pPr>
              <w:pStyle w:val="Compact"/>
              <w:jc w:val="left"/>
            </w:pPr>
            <w:r>
              <w:t xml:space="preserve">alpha-D-Glucose 6-phosphate(aq) = beta-D-Glucose 6-phosphate(aq)</w:t>
            </w:r>
          </w:p>
        </w:tc>
        <w:tc>
          <w:tcPr/>
          <w:p>
            <w:pPr>
              <w:pStyle w:val="Compact"/>
              <w:jc w:val="left"/>
            </w:pPr>
            <w:r>
              <w:t xml:space="preserve">2.7.4.3</w:t>
            </w:r>
          </w:p>
        </w:tc>
      </w:tr>
      <w:tr>
        <w:tc>
          <w:tcPr/>
          <w:p>
            <w:pPr>
              <w:pStyle w:val="Compact"/>
              <w:jc w:val="left"/>
            </w:pPr>
            <w:r>
              <w:t xml:space="preserve">3-phosphonooxypyruvate(aq) + L-glutamate(aq) = 2-oxoglutarate(aq) + O-phospho-L-serine(aq)</w:t>
            </w:r>
          </w:p>
        </w:tc>
        <w:tc>
          <w:tcPr/>
          <w:p>
            <w:pPr>
              <w:pStyle w:val="Compact"/>
              <w:jc w:val="left"/>
            </w:pPr>
            <w:r>
              <w:t xml:space="preserve">2.7.1.40</w:t>
            </w:r>
          </w:p>
        </w:tc>
      </w:tr>
      <w:tr>
        <w:tc>
          <w:tcPr/>
          <w:p>
            <w:pPr>
              <w:pStyle w:val="Compact"/>
              <w:jc w:val="left"/>
            </w:pPr>
            <w:r>
              <w:t xml:space="preserve">UDPglucose(aq) = UDPgalactose(aq)</w:t>
            </w:r>
          </w:p>
        </w:tc>
        <w:tc>
          <w:tcPr/>
          <w:p>
            <w:pPr>
              <w:pStyle w:val="Compact"/>
              <w:jc w:val="left"/>
            </w:pPr>
            <w:r>
              <w:t xml:space="preserve">1.6.1.1</w:t>
            </w:r>
          </w:p>
        </w:tc>
      </w:tr>
      <w:tr>
        <w:tc>
          <w:tcPr/>
          <w:p>
            <w:pPr>
              <w:pStyle w:val="Compact"/>
              <w:jc w:val="left"/>
            </w:pPr>
            <w:r>
              <w:t xml:space="preserve">2’-deoxyinosine(aq) + adenine(aq) = 2’-deoxyadenosine(aq) + hypoxanthine(aq)</w:t>
            </w:r>
          </w:p>
        </w:tc>
        <w:tc>
          <w:tcPr/>
          <w:p>
            <w:pPr>
              <w:pStyle w:val="Compact"/>
              <w:jc w:val="left"/>
            </w:pPr>
            <w:r>
              <w:t xml:space="preserve">5.3.1.9</w:t>
            </w:r>
          </w:p>
        </w:tc>
      </w:tr>
      <w:tr>
        <w:tc>
          <w:tcPr/>
          <w:p>
            <w:pPr>
              <w:pStyle w:val="Compact"/>
              <w:jc w:val="left"/>
            </w:pPr>
            <w:r>
              <w:t xml:space="preserve">3-phosphonooxypyruvate(aq) + L-glutamate(aq) = 2-oxoglutarate(aq) + O-phospho-L-serine(aq)</w:t>
            </w:r>
          </w:p>
        </w:tc>
        <w:tc>
          <w:tcPr/>
          <w:p>
            <w:pPr>
              <w:pStyle w:val="Compact"/>
              <w:jc w:val="left"/>
            </w:pPr>
            <w:r>
              <w:t xml:space="preserve">5.3.1.6</w:t>
            </w:r>
          </w:p>
        </w:tc>
      </w:tr>
      <w:tr>
        <w:tc>
          <w:tcPr/>
          <w:p>
            <w:pPr>
              <w:pStyle w:val="Compact"/>
              <w:jc w:val="left"/>
            </w:pPr>
            <w:r>
              <w:t xml:space="preserve">UDPglucose(aq) = UDPgalactose(aq)</w:t>
            </w:r>
          </w:p>
        </w:tc>
        <w:tc>
          <w:tcPr/>
          <w:p>
            <w:pPr>
              <w:pStyle w:val="Compact"/>
              <w:jc w:val="left"/>
            </w:pPr>
            <w:r>
              <w:t xml:space="preserve">4.2.1.2</w:t>
            </w:r>
          </w:p>
        </w:tc>
      </w:tr>
      <w:tr>
        <w:tc>
          <w:tcPr/>
          <w:p>
            <w:pPr>
              <w:pStyle w:val="Compact"/>
              <w:jc w:val="left"/>
            </w:pPr>
            <w:r>
              <w:t xml:space="preserve">N-succinyl-2-L-amino-6-oxoheptanedioate(aq) + L-glutamate(aq) = N-succinyl-L-2,6-diaminoheptanedioate(aq) + 2-oxoglutarate(aq)</w:t>
            </w:r>
          </w:p>
        </w:tc>
        <w:tc>
          <w:tcPr/>
          <w:p>
            <w:pPr>
              <w:pStyle w:val="Compact"/>
              <w:jc w:val="left"/>
            </w:pPr>
            <w:r>
              <w:t xml:space="preserve">1.1.1.42</w:t>
            </w:r>
          </w:p>
        </w:tc>
      </w:tr>
      <w:tr>
        <w:tc>
          <w:tcPr/>
          <w:p>
            <w:pPr>
              <w:pStyle w:val="Compact"/>
              <w:jc w:val="left"/>
            </w:pPr>
            <w:r>
              <w:t xml:space="preserve">3-phosphonooxypyruvate(aq) + L-glutamate(aq) = 2-oxoglutarate(aq) + O-phospho-L-serine(aq)</w:t>
            </w:r>
          </w:p>
        </w:tc>
        <w:tc>
          <w:tcPr/>
          <w:p>
            <w:pPr>
              <w:pStyle w:val="Compact"/>
              <w:jc w:val="left"/>
            </w:pPr>
            <w:r>
              <w:t xml:space="preserve">4.1.3.1</w:t>
            </w:r>
          </w:p>
        </w:tc>
      </w:tr>
      <w:tr>
        <w:tc>
          <w:tcPr/>
          <w:p>
            <w:pPr>
              <w:pStyle w:val="Compact"/>
              <w:jc w:val="left"/>
            </w:pPr>
            <w:r>
              <w:t xml:space="preserve">L-aspartate(aq) + 2-oxoglutarate(aq) = oxaloacetate(aq) + L-glutamate(aq)</w:t>
            </w:r>
          </w:p>
        </w:tc>
        <w:tc>
          <w:tcPr/>
          <w:p>
            <w:pPr>
              <w:pStyle w:val="Compact"/>
              <w:jc w:val="left"/>
            </w:pPr>
            <w:r>
              <w:t xml:space="preserve">4.2.1.3</w:t>
            </w:r>
          </w:p>
        </w:tc>
      </w:tr>
      <w:tr>
        <w:tc>
          <w:tcPr/>
          <w:p>
            <w:pPr>
              <w:pStyle w:val="Compact"/>
              <w:jc w:val="left"/>
            </w:pPr>
            <w:r>
              <w:t xml:space="preserve">L-alanine(aq) + hydroxypyruvate(aq) = L-serine(aq) + pyruvate(aq)</w:t>
            </w:r>
          </w:p>
        </w:tc>
        <w:tc>
          <w:tcPr/>
          <w:p>
            <w:pPr>
              <w:pStyle w:val="Compact"/>
              <w:jc w:val="left"/>
            </w:pPr>
            <w:r>
              <w:t xml:space="preserve">4.1.2.13</w:t>
            </w:r>
          </w:p>
        </w:tc>
      </w:tr>
      <w:tr>
        <w:tc>
          <w:tcPr/>
          <w:p>
            <w:pPr>
              <w:pStyle w:val="Compact"/>
              <w:jc w:val="left"/>
            </w:pPr>
            <w:r>
              <w:t xml:space="preserve">ATP(aq) + GDP(aq) = ADP(aq) + GTP(aq)</w:t>
            </w:r>
          </w:p>
        </w:tc>
        <w:tc>
          <w:tcPr/>
          <w:p>
            <w:pPr>
              <w:pStyle w:val="Compact"/>
              <w:jc w:val="left"/>
            </w:pPr>
            <w:r>
              <w:t xml:space="preserve">4.2.1.11</w:t>
            </w:r>
          </w:p>
        </w:tc>
      </w:tr>
    </w:tbl>
    <w:bookmarkEnd w:id="35"/>
    <w:bookmarkEnd w:id="36"/>
    <w:bookmarkStart w:id="37" w:name="sec-improved-group-contribution-model"/>
    <w:p>
      <w:pPr>
        <w:pStyle w:val="Heading2"/>
      </w:pPr>
      <w:r>
        <w:t xml:space="preserve">Improved group contribution model</w:t>
      </w:r>
    </w:p>
    <w:p>
      <w:pPr>
        <w:pStyle w:val="FirstParagraph"/>
      </w:pPr>
      <w:r>
        <w:t xml:space="preserve">As a smallest possible adjustment to the group contribution model, we propose</w:t>
      </w:r>
      <w:r>
        <w:t xml:space="preserve"> </w:t>
      </w:r>
      <w:r>
        <w:t xml:space="preserve">to add a vector of independent random variables</w:t>
      </w:r>
      <w:r>
        <w:t xml:space="preserve"> </w:t>
      </w:r>
      <m:oMath>
        <m:acc>
          <m:accPr>
            <m:chr m:val="⃗"/>
          </m:accPr>
          <m:e>
            <m:r>
              <m:t>η</m:t>
            </m:r>
          </m:e>
        </m:acc>
        <m:r>
          <m:rPr>
            <m:sty m:val="p"/>
          </m:rPr>
          <m:t>∈</m:t>
        </m:r>
        <m:sSup>
          <m:e>
            <m:r>
              <m:rPr>
                <m:sty m:val="p"/>
                <m:scr m:val="double-struck"/>
              </m:rPr>
              <m:t>R</m:t>
            </m:r>
          </m:e>
          <m:sup>
            <m:r>
              <m:t>m</m:t>
            </m:r>
          </m:sup>
        </m:sSup>
      </m:oMath>
      <w:r>
        <w:t xml:space="preserve"> </w:t>
      </w:r>
      <w:r>
        <w:t xml:space="preserve">to</w:t>
      </w:r>
      <w:r>
        <w:t xml:space="preserve"> </w:t>
      </w:r>
      <w:r>
        <w:t xml:space="preserve">the group contribution estimate in order to quantify the error due to compound</w:t>
      </w:r>
      <w:r>
        <w:t xml:space="preserve"> </w:t>
      </w:r>
      <w:r>
        <w:t xml:space="preserve">formation energies differing from sums of group formation energies. The</w:t>
      </w:r>
      <w:r>
        <w:t xml:space="preserve"> </w:t>
      </w:r>
      <w:r>
        <w:t xml:space="preserve">improved generative model is shown below in equation</w:t>
      </w:r>
      <w:r>
        <w:t xml:space="preserve"> </w:t>
      </w:r>
      <w:r>
        <w:t xml:space="preserve">.</w:t>
      </w:r>
    </w:p>
    <w:p>
      <w:pPr>
        <w:pStyle w:val="BodyText"/>
      </w:pPr>
    </w:p>
    <w:p>
      <w:pPr>
        <w:pStyle w:val="BodyText"/>
      </w:pPr>
      <w:r>
        <w:t xml:space="preserve">For a minimal change to the group contribution model we propose assuming</w:t>
      </w:r>
      <w:r>
        <w:t xml:space="preserve"> </w:t>
      </w:r>
      <m:oMath>
        <m:sSub>
          <m:e>
            <m:acc>
              <m:accPr>
                <m:chr m:val="⃗"/>
              </m:accPr>
              <m:e>
                <m:r>
                  <m:t>η</m:t>
                </m:r>
              </m:e>
            </m:acc>
          </m:e>
          <m:sub>
            <m:r>
              <m:t>i</m:t>
            </m:r>
          </m:sub>
        </m:sSub>
        <m:r>
          <m:rPr>
            <m:sty m:val="p"/>
          </m:rPr>
          <m:t>∼</m:t>
        </m:r>
        <m:r>
          <m:t>N</m:t>
        </m:r>
        <m:d>
          <m:dPr>
            <m:begChr m:val="("/>
            <m:endChr m:val=")"/>
            <m:sepChr m:val=""/>
            <m:grow/>
          </m:dPr>
          <m:e>
            <m:r>
              <m:t>0</m:t>
            </m:r>
            <m:r>
              <m:rPr>
                <m:sty m:val="p"/>
              </m:rPr>
              <m:t>,</m:t>
            </m:r>
            <m:r>
              <m:t>τ</m:t>
            </m:r>
          </m:e>
        </m:d>
      </m:oMath>
      <w:r>
        <w:t xml:space="preserve"> </w:t>
      </w:r>
      <w:r>
        <w:t xml:space="preserve">for all compounds</w:t>
      </w:r>
      <w:r>
        <w:t xml:space="preserve"> </w:t>
      </w:r>
      <m:oMath>
        <m:r>
          <m:t>i</m:t>
        </m:r>
      </m:oMath>
      <w:r>
        <w:t xml:space="preserve">, where</w:t>
      </w:r>
      <w:r>
        <w:t xml:space="preserve"> </w:t>
      </w:r>
      <m:oMath>
        <m:r>
          <m:t>τ</m:t>
        </m:r>
        <m:r>
          <m:rPr>
            <m:sty m:val="p"/>
          </m:rPr>
          <m:t>∈</m:t>
        </m:r>
        <m:sSup>
          <m:e>
            <m:r>
              <m:rPr>
                <m:sty m:val="p"/>
                <m:scr m:val="double-struck"/>
              </m:rPr>
              <m:t>R</m:t>
            </m:r>
          </m:e>
          <m:sup>
            <m:r>
              <m:rPr>
                <m:sty m:val="p"/>
              </m:rPr>
              <m:t>+</m:t>
            </m:r>
          </m:sup>
        </m:sSup>
      </m:oMath>
      <w:r>
        <w:t xml:space="preserve"> </w:t>
      </w:r>
      <w:r>
        <w:t xml:space="preserve">is a known real number.</w:t>
      </w:r>
    </w:p>
    <w:p>
      <w:pPr>
        <w:pStyle w:val="BodyText"/>
      </w:pPr>
      <w:r>
        <w:t xml:space="preserve">This improved group contribution model leads has the same maximum likelhood</w:t>
      </w:r>
      <w:r>
        <w:t xml:space="preserve"> </w:t>
      </w:r>
      <w:r>
        <w:t xml:space="preserve">estimator</w:t>
      </w:r>
      <w:r>
        <w:t xml:space="preserve"> </w:t>
      </w:r>
      <m:oMath>
        <m:acc>
          <m:accPr>
            <m:chr m:val="̂"/>
          </m:accPr>
          <m:e>
            <m:sSub>
              <m:e>
                <m:r>
                  <m:t>Δ</m:t>
                </m:r>
              </m:e>
              <m:sub>
                <m:r>
                  <m:t>f</m:t>
                </m:r>
              </m:sub>
            </m:sSub>
            <m:r>
              <m:t>G</m:t>
            </m:r>
          </m:e>
        </m:acc>
      </m:oMath>
      <w:r>
        <w:t xml:space="preserve"> </w:t>
      </w:r>
      <w:r>
        <w:t xml:space="preserve">as the current group contribution method. However</w:t>
      </w:r>
      <w:r>
        <w:t xml:space="preserve"> </w:t>
      </w:r>
      <w:r>
        <w:t xml:space="preserve">in the improved model the covariance matrix</w:t>
      </w:r>
      <w:r>
        <w:t xml:space="preserve"> </w:t>
      </w:r>
      <m:oMath>
        <m:r>
          <m:t>C</m:t>
        </m:r>
        <m:r>
          <m:t>o</m:t>
        </m:r>
        <m:r>
          <m:t>v</m:t>
        </m:r>
        <m:d>
          <m:dPr>
            <m:begChr m:val="("/>
            <m:endChr m:val=")"/>
            <m:sepChr m:val=""/>
            <m:grow/>
          </m:dPr>
          <m:e>
            <m:acc>
              <m:accPr>
                <m:chr m:val="̂"/>
              </m:accPr>
              <m:e>
                <m:sSub>
                  <m:e>
                    <m:r>
                      <m:t>Δ</m:t>
                    </m:r>
                  </m:e>
                  <m:sub>
                    <m:r>
                      <m:t>f</m:t>
                    </m:r>
                  </m:sub>
                </m:sSub>
                <m:r>
                  <m:t>G</m:t>
                </m:r>
              </m:e>
            </m:acc>
          </m:e>
        </m:d>
      </m:oMath>
      <w:r>
        <w:t xml:space="preserve"> </w:t>
      </w:r>
      <w:r>
        <w:t xml:space="preserve">is found by</w:t>
      </w:r>
      <w:r>
        <w:t xml:space="preserve"> </w:t>
      </w:r>
      <w:r>
        <w:t xml:space="preserve">equation</w:t>
      </w:r>
      <w:r>
        <w:t xml:space="preserve"> </w:t>
      </w:r>
      <w:r>
        <w:t xml:space="preserve">.</w:t>
      </w:r>
    </w:p>
    <w:p>
      <w:pPr>
        <w:pStyle w:val="BodyText"/>
      </w:pPr>
    </w:p>
    <w:p>
      <w:pPr>
        <w:pStyle w:val="BodyText"/>
      </w:pPr>
      <w:r>
        <w:t xml:space="preserve">In this model</w:t>
      </w:r>
      <w:r>
        <w:t xml:space="preserve"> </w:t>
      </w:r>
      <m:oMath>
        <m:r>
          <m:t>C</m:t>
        </m:r>
        <m:r>
          <m:t>o</m:t>
        </m:r>
        <m:r>
          <m:t>v</m:t>
        </m:r>
        <m:d>
          <m:dPr>
            <m:begChr m:val="("/>
            <m:endChr m:val=")"/>
            <m:sepChr m:val=""/>
            <m:grow/>
          </m:dPr>
          <m:e>
            <m:acc>
              <m:accPr>
                <m:chr m:val="̂"/>
              </m:accPr>
              <m:e>
                <m:sSub>
                  <m:e>
                    <m:r>
                      <m:t>Δ</m:t>
                    </m:r>
                  </m:e>
                  <m:sub>
                    <m:r>
                      <m:t>f</m:t>
                    </m:r>
                  </m:sub>
                </m:sSub>
                <m:r>
                  <m:t>G</m:t>
                </m:r>
              </m:e>
            </m:acc>
          </m:e>
        </m:d>
      </m:oMath>
      <w:r>
        <w:t xml:space="preserve"> </w:t>
      </w:r>
      <w:r>
        <w:t xml:space="preserve">is guaranteed to be full rank, as</w:t>
      </w:r>
      <w:r>
        <w:t xml:space="preserve"> </w:t>
      </w:r>
      <m:oMath>
        <m:r>
          <m:t>d</m:t>
        </m:r>
        <m:r>
          <m:t>i</m:t>
        </m:r>
        <m:r>
          <m:t>a</m:t>
        </m:r>
        <m:sSub>
          <m:e>
            <m:r>
              <m:t>g</m:t>
            </m:r>
          </m:e>
          <m:sub>
            <m:r>
              <m:t>m</m:t>
            </m:r>
          </m:sub>
        </m:sSub>
        <m:d>
          <m:dPr>
            <m:begChr m:val="("/>
            <m:endChr m:val=")"/>
            <m:sepChr m:val=""/>
            <m:grow/>
          </m:dPr>
          <m:e>
            <m:r>
              <m:t>τ</m:t>
            </m:r>
          </m:e>
        </m:d>
      </m:oMath>
      <w:r>
        <w:t xml:space="preserve"> </w:t>
      </w:r>
      <w:r>
        <w:t xml:space="preserve">is full rank. The model, and prior distributions based on it,</w:t>
      </w:r>
      <w:r>
        <w:t xml:space="preserve"> </w:t>
      </w:r>
      <w:r>
        <w:t xml:space="preserve">will therefore avoid the computational and theoretical issues and discussed in</w:t>
      </w:r>
      <w:r>
        <w:t xml:space="preserve"> </w:t>
      </w:r>
      <w:hyperlink w:anchor="X4724b07722040a89bcc1dfb567319fecf7bd82f">
        <w:r>
          <w:rPr>
            <w:rStyle w:val="Hyperlink"/>
          </w:rPr>
          <w:t xml:space="preserve">Section 3</w:t>
        </w:r>
      </w:hyperlink>
      <w:r>
        <w:t xml:space="preserve">.</w:t>
      </w:r>
    </w:p>
    <w:p>
      <w:pPr>
        <w:pStyle w:val="BodyText"/>
      </w:pPr>
      <w:r>
        <w:t xml:space="preserve">For the best possible results we suggest choosing</w:t>
      </w:r>
      <w:r>
        <w:t xml:space="preserve"> </w:t>
      </w:r>
      <m:oMath>
        <m:r>
          <m:t>τ</m:t>
        </m:r>
      </m:oMath>
      <w:r>
        <w:t xml:space="preserve"> </w:t>
      </w:r>
      <w:r>
        <w:t xml:space="preserve">based on the available</w:t>
      </w:r>
      <w:r>
        <w:t xml:space="preserve"> </w:t>
      </w:r>
      <w:r>
        <w:t xml:space="preserve">information about the likely general accuracy of the group additivity</w:t>
      </w:r>
      <w:r>
        <w:t xml:space="preserve"> </w:t>
      </w:r>
      <w:r>
        <w:t xml:space="preserve">assumption. In practice the choice of</w:t>
      </w:r>
      <w:r>
        <w:t xml:space="preserve"> </w:t>
      </w:r>
      <m:oMath>
        <m:r>
          <m:t>τ</m:t>
        </m:r>
      </m:oMath>
      <w:r>
        <w:t xml:space="preserve"> </w:t>
      </w:r>
      <w:r>
        <w:t xml:space="preserve">is not very important when the</w:t>
      </w:r>
      <w:r>
        <w:t xml:space="preserve"> </w:t>
      </w:r>
      <w:r>
        <w:t xml:space="preserve">main goal is simply to obtain a full-rank covariance matrix for formation</w:t>
      </w:r>
      <w:r>
        <w:t xml:space="preserve"> </w:t>
      </w:r>
      <w:r>
        <w:t xml:space="preserve">energy estimates, as any positive value will achieve this. On the other hand,</w:t>
      </w:r>
      <w:r>
        <w:t xml:space="preserve"> </w:t>
      </w:r>
      <w:r>
        <w:t xml:space="preserve">if the main goal requires an accurate value for</w:t>
      </w:r>
      <w:r>
        <w:t xml:space="preserve"> </w:t>
      </w:r>
      <m:oMath>
        <m:r>
          <m:t>τ</m:t>
        </m:r>
      </m:oMath>
      <w:r>
        <w:t xml:space="preserve"> </w:t>
      </w:r>
      <w:r>
        <w:t xml:space="preserve">we recommend using</w:t>
      </w:r>
      <w:r>
        <w:t xml:space="preserve"> </w:t>
      </w:r>
      <w:r>
        <w:t xml:space="preserve">estimates derived from the more detailed statistical model described below in</w:t>
      </w:r>
      <w:r>
        <w:t xml:space="preserve"> </w:t>
      </w:r>
      <w:hyperlink w:anchor="X03228259967c05d38f9352bef9d77b24a40a0a1">
        <w:r>
          <w:rPr>
            <w:rStyle w:val="Hyperlink"/>
          </w:rPr>
          <w:t xml:space="preserve">Section 4.3</w:t>
        </w:r>
      </w:hyperlink>
      <w:r>
        <w:t xml:space="preserve">.</w:t>
      </w:r>
    </w:p>
    <w:bookmarkEnd w:id="37"/>
    <w:bookmarkStart w:id="40" w:name="X03228259967c05d38f9352bef9d77b24a40a0a1"/>
    <w:p>
      <w:pPr>
        <w:pStyle w:val="Heading2"/>
      </w:pPr>
      <w:r>
        <w:t xml:space="preserve">Hierarchical component contribution model</w:t>
      </w:r>
    </w:p>
    <w:p>
      <w:pPr>
        <w:pStyle w:val="FirstParagraph"/>
      </w:pPr>
      <w:r>
        <w:t xml:space="preserve">As an alternative to the component contribution model, we propose a</w:t>
      </w:r>
      <w:r>
        <w:t xml:space="preserve"> </w:t>
      </w:r>
      <w:r>
        <w:t xml:space="preserve">hierarchical model which includes both compound-level and group-level effects.</w:t>
      </w:r>
      <w:r>
        <w:t xml:space="preserve"> </w:t>
      </w:r>
      <w:r>
        <w:t xml:space="preserve">This model is realised by augmenting the generative model in equation</w:t>
      </w:r>
      <w:r>
        <w:t xml:space="preserve"> </w:t>
      </w:r>
      <w:r>
        <w:t xml:space="preserve"> </w:t>
      </w:r>
      <w:r>
        <w:t xml:space="preserve">with the prior distributions in equation</w:t>
      </w:r>
      <w:r>
        <w:t xml:space="preserve"> </w:t>
      </w:r>
      <w:r>
        <w:t xml:space="preserve">:</w:t>
      </w:r>
    </w:p>
    <w:p>
      <w:pPr>
        <w:pStyle w:val="BodyText"/>
      </w:pPr>
    </w:p>
    <w:p>
      <w:pPr>
        <w:pStyle w:val="BodyText"/>
      </w:pPr>
      <w:r>
        <w:t xml:space="preserve">In equation</w:t>
      </w:r>
      <w:r>
        <w:t xml:space="preserve"> </w:t>
      </w:r>
      <w:r>
        <w:t xml:space="preserve"> </w:t>
      </w:r>
      <m:oMath>
        <m:r>
          <m:t>H</m:t>
        </m:r>
        <m:r>
          <m:t>N</m:t>
        </m:r>
      </m:oMath>
      <w:r>
        <w:t xml:space="preserve"> </w:t>
      </w:r>
      <w:r>
        <w:t xml:space="preserve">represents the</w:t>
      </w:r>
      <w:r>
        <w:t xml:space="preserve"> </w:t>
      </w:r>
      <w:r>
        <w:t xml:space="preserve">non-negative half-normal distribution, i.e. the distribution with normal</w:t>
      </w:r>
      <w:r>
        <w:t xml:space="preserve"> </w:t>
      </w:r>
      <w:r>
        <w:t xml:space="preserve">distribution densities for non-negative numbers and zero density for negative</w:t>
      </w:r>
      <w:r>
        <w:t xml:space="preserve"> </w:t>
      </w:r>
      <w:r>
        <w:t xml:space="preserve">numbers.</w:t>
      </w:r>
    </w:p>
    <w:p>
      <w:pPr>
        <w:pStyle w:val="BodyText"/>
      </w:pPr>
      <w:r>
        <w:t xml:space="preserve">The prior distribution for the group formation energy vector</w:t>
      </w:r>
      <w:r>
        <w:t xml:space="preserve"> </w:t>
      </w:r>
      <m:oMath>
        <m:sSub>
          <m:e>
            <m:r>
              <m:t>Δ</m:t>
            </m:r>
          </m:e>
          <m:sub>
            <m:r>
              <m:t>g</m:t>
            </m:r>
          </m:sub>
        </m:sSub>
        <m:r>
          <m:t>G</m:t>
        </m:r>
      </m:oMath>
      <w:r>
        <w:t xml:space="preserve"> </w:t>
      </w:r>
      <w:r>
        <w:t xml:space="preserve">is</w:t>
      </w:r>
      <w:r>
        <w:t xml:space="preserve"> </w:t>
      </w:r>
      <w:r>
        <w:t xml:space="preserve">uninformative, whereas those for</w:t>
      </w:r>
      <w:r>
        <w:t xml:space="preserve"> </w:t>
      </w:r>
      <m:oMath>
        <m:r>
          <m:t>τ</m:t>
        </m:r>
      </m:oMath>
      <w:r>
        <w:t xml:space="preserve">,</w:t>
      </w:r>
      <w:r>
        <w:t xml:space="preserve"> </w:t>
      </w:r>
      <m:oMath>
        <m:r>
          <m:t>σ</m:t>
        </m:r>
      </m:oMath>
      <w:r>
        <w:t xml:space="preserve"> </w:t>
      </w:r>
      <w:r>
        <w:t xml:space="preserve">and</w:t>
      </w:r>
      <w:r>
        <w:t xml:space="preserve"> </w:t>
      </w:r>
      <m:oMath>
        <m:r>
          <m:t>η</m:t>
        </m:r>
      </m:oMath>
      <w:r>
        <w:t xml:space="preserve"> </w:t>
      </w:r>
      <w:r>
        <w:t xml:space="preserve">are informative.</w:t>
      </w:r>
      <w:r>
        <w:t xml:space="preserve"> </w:t>
      </w:r>
      <w:r>
        <w:t xml:space="preserve">In particular, the prior distribution for</w:t>
      </w:r>
      <w:r>
        <w:t xml:space="preserve"> </w:t>
      </w:r>
      <m:oMath>
        <m:r>
          <m:t>η</m:t>
        </m:r>
      </m:oMath>
      <w:r>
        <w:t xml:space="preserve"> </w:t>
      </w:r>
      <w:r>
        <w:t xml:space="preserve">is hierarchical as it involves</w:t>
      </w:r>
      <w:r>
        <w:t xml:space="preserve"> </w:t>
      </w:r>
      <w:r>
        <w:t xml:space="preserve">the random variable</w:t>
      </w:r>
      <w:r>
        <w:t xml:space="preserve"> </w:t>
      </w:r>
      <m:oMath>
        <m:r>
          <m:t>τ</m:t>
        </m:r>
      </m:oMath>
      <w:r>
        <w:t xml:space="preserve">. This allows us to estimate the general accuracy of</w:t>
      </w:r>
      <w:r>
        <w:t xml:space="preserve"> </w:t>
      </w:r>
      <w:r>
        <w:t xml:space="preserve">the group additivity assumption from the data: larger values of</w:t>
      </w:r>
      <w:r>
        <w:t xml:space="preserve"> </w:t>
      </w:r>
      <m:oMath>
        <m:r>
          <m:t>τ</m:t>
        </m:r>
      </m:oMath>
      <w:r>
        <w:t xml:space="preserve"> </w:t>
      </w:r>
      <w:r>
        <w:t xml:space="preserve">will</w:t>
      </w:r>
      <w:r>
        <w:t xml:space="preserve"> </w:t>
      </w:r>
      <w:r>
        <w:t xml:space="preserve">allow weaker coupling between compound and group formation energies.</w:t>
      </w:r>
    </w:p>
    <w:p>
      <w:pPr>
        <w:pStyle w:val="BodyText"/>
      </w:pPr>
      <w:r>
        <w:t xml:space="preserve">This model structure is appropriate given the available information. In general</w:t>
      </w:r>
      <w:r>
        <w:t xml:space="preserve"> </w:t>
      </w:r>
      <w:r>
        <w:t xml:space="preserve">there is very little prior information available about group formation</w:t>
      </w:r>
      <w:r>
        <w:t xml:space="preserve"> </w:t>
      </w:r>
      <w:r>
        <w:t xml:space="preserve">energies, but there is information about measurement accuracy and the likely</w:t>
      </w:r>
      <w:r>
        <w:t xml:space="preserve"> </w:t>
      </w:r>
      <w:r>
        <w:t xml:space="preserve">accuracy of the group additivity assumption.</w:t>
      </w:r>
    </w:p>
    <w:bookmarkStart w:id="39" w:name="sec-qr-reparameterisation"/>
    <w:p>
      <w:pPr>
        <w:pStyle w:val="Heading3"/>
      </w:pPr>
      <w:r>
        <w:t xml:space="preserve">QR reparameterisation</w:t>
      </w:r>
    </w:p>
    <w:p>
      <w:pPr>
        <w:pStyle w:val="FirstParagraph"/>
      </w:pPr>
      <w:r>
        <w:t xml:space="preserve">Since our model’s joint posterior distribution cannot be calculated</w:t>
      </w:r>
      <w:r>
        <w:t xml:space="preserve"> </w:t>
      </w:r>
      <w:r>
        <w:t xml:space="preserve">analytically and has many parameters, we decided to use Markov Chain Monte</w:t>
      </w:r>
      <w:r>
        <w:t xml:space="preserve"> </w:t>
      </w:r>
      <w:r>
        <w:t xml:space="preserve">Carlo to perform posterior inference. This proved difficult under a naive</w:t>
      </w:r>
      <w:r>
        <w:t xml:space="preserve"> </w:t>
      </w:r>
      <w:r>
        <w:t xml:space="preserve">parameterisation due to the collinearity induced by multiplying the parameter</w:t>
      </w:r>
      <w:r>
        <w:t xml:space="preserve"> </w:t>
      </w:r>
      <w:r>
        <w:t xml:space="preserve">vector</w:t>
      </w:r>
      <w:r>
        <w:t xml:space="preserve"> </w:t>
      </w:r>
      <m:oMath>
        <m:sSub>
          <m:e>
            <m:r>
              <m:t>Δ</m:t>
            </m:r>
          </m:e>
          <m:sub>
            <m:r>
              <m:t>g</m:t>
            </m:r>
          </m:sub>
        </m:sSub>
        <m:r>
          <m:t>G</m:t>
        </m:r>
      </m:oMath>
      <w:r>
        <w:t xml:space="preserve"> </w:t>
      </w:r>
      <w:r>
        <w:t xml:space="preserve">by the group decomposition matrix and then the</w:t>
      </w:r>
      <w:r>
        <w:t xml:space="preserve"> </w:t>
      </w:r>
      <w:r>
        <w:t xml:space="preserve">stoichiometric matrix as shown in equation</w:t>
      </w:r>
      <w:r>
        <w:t xml:space="preserve"> </w:t>
      </w:r>
      <w:r>
        <w:t xml:space="preserve">. Due to these transformations, the</w:t>
      </w:r>
      <w:r>
        <w:t xml:space="preserve"> </w:t>
      </w:r>
      <w:r>
        <w:t xml:space="preserve">information in the measurements relates to the underlying group formation</w:t>
      </w:r>
      <w:r>
        <w:t xml:space="preserve"> </w:t>
      </w:r>
      <w:r>
        <w:t xml:space="preserve">energy parameters through linear projections determined by the matrix</w:t>
      </w:r>
      <w:r>
        <w:t xml:space="preserve"> </w:t>
      </w:r>
      <m:oMath>
        <m:sSup>
          <m:e>
            <m:r>
              <m:t>S</m:t>
            </m:r>
          </m:e>
          <m:sup>
            <m:r>
              <m:rPr>
                <m:sty m:val="p"/>
              </m:rPr>
              <m:t>⊤</m:t>
            </m:r>
          </m:sup>
        </m:sSup>
        <m:r>
          <m:t>G</m:t>
        </m:r>
      </m:oMath>
      <w:r>
        <w:t xml:space="preserve">. This structure induces a problematic posterior geometry that is difficult</w:t>
      </w:r>
      <w:r>
        <w:t xml:space="preserve"> </w:t>
      </w:r>
      <w:r>
        <w:t xml:space="preserve">for a gradient-based MCMC sampler to traverse.</w:t>
      </w:r>
    </w:p>
    <w:p>
      <w:pPr>
        <w:pStyle w:val="BodyText"/>
      </w:pPr>
      <w:r>
        <w:t xml:space="preserve">In order to address this issue we reparameterised our models using the thin QR</w:t>
      </w:r>
      <w:r>
        <w:t xml:space="preserve"> </w:t>
      </w:r>
      <w:r>
        <w:t xml:space="preserve">decomposition. Specifically, we found matrices an orthonormal matrix</w:t>
      </w:r>
      <w:r>
        <w:t xml:space="preserve"> </w:t>
      </w:r>
      <m:oMath>
        <m:r>
          <m:t>Q</m:t>
        </m:r>
        <m:r>
          <m:rPr>
            <m:sty m:val="p"/>
          </m:rPr>
          <m:t>∈</m:t>
        </m:r>
        <m:sSup>
          <m:e>
            <m:r>
              <m:rPr>
                <m:sty m:val="p"/>
                <m:scr m:val="double-struck"/>
              </m:rPr>
              <m:t>R</m:t>
            </m:r>
          </m:e>
          <m:sup>
            <m:r>
              <m:t>r</m:t>
            </m:r>
            <m:r>
              <m:rPr>
                <m:sty m:val="p"/>
              </m:rPr>
              <m:t>×</m:t>
            </m:r>
            <m:r>
              <m:t>g</m:t>
            </m:r>
          </m:sup>
        </m:sSup>
      </m:oMath>
      <w:r>
        <w:t xml:space="preserve"> </w:t>
      </w:r>
      <w:r>
        <w:t xml:space="preserve">and an upper triangular matrix</w:t>
      </w:r>
      <w:r>
        <w:t xml:space="preserve"> </w:t>
      </w:r>
      <m:oMath>
        <m:r>
          <m:t>R</m:t>
        </m:r>
        <m:r>
          <m:rPr>
            <m:sty m:val="p"/>
          </m:rPr>
          <m:t>∈</m:t>
        </m:r>
        <m:sSup>
          <m:e>
            <m:r>
              <m:rPr>
                <m:sty m:val="p"/>
                <m:scr m:val="double-struck"/>
              </m:rPr>
              <m:t>R</m:t>
            </m:r>
          </m:e>
          <m:sup>
            <m:r>
              <m:t>g</m:t>
            </m:r>
            <m:r>
              <m:rPr>
                <m:sty m:val="p"/>
              </m:rPr>
              <m:t>×</m:t>
            </m:r>
            <m:r>
              <m:t>g</m:t>
            </m:r>
          </m:sup>
        </m:sSup>
      </m:oMath>
      <w:r>
        <w:t xml:space="preserve"> </w:t>
      </w:r>
      <w:r>
        <w:t xml:space="preserve">such that</w:t>
      </w:r>
      <w:r>
        <w:t xml:space="preserve"> </w:t>
      </w:r>
      <m:oMath>
        <m:r>
          <m:t>Q</m:t>
        </m:r>
        <m:r>
          <m:rPr>
            <m:sty m:val="p"/>
          </m:rPr>
          <m:t>⋅</m:t>
        </m:r>
        <m:r>
          <m:t>R</m:t>
        </m:r>
        <m:r>
          <m:rPr>
            <m:sty m:val="p"/>
          </m:rPr>
          <m:t>=</m:t>
        </m:r>
        <m:sSup>
          <m:e>
            <m:r>
              <m:t>S</m:t>
            </m:r>
          </m:e>
          <m:sup>
            <m:r>
              <m:rPr>
                <m:sty m:val="p"/>
              </m:rPr>
              <m:t>⊤</m:t>
            </m:r>
          </m:sup>
        </m:sSup>
        <m:r>
          <m:rPr>
            <m:sty m:val="p"/>
          </m:rPr>
          <m:t>⋅</m:t>
        </m:r>
        <m:r>
          <m:t>G</m:t>
        </m:r>
      </m:oMath>
      <w:r>
        <w:t xml:space="preserve">. We could</w:t>
      </w:r>
      <w:r>
        <w:t xml:space="preserve"> </w:t>
      </w:r>
      <w:r>
        <w:t xml:space="preserve">then express our model in terms of auxiliary parameters</w:t>
      </w:r>
      <w:r>
        <w:t xml:space="preserve"> </w:t>
      </w:r>
      <m:oMath>
        <m:acc>
          <m:accPr>
            <m:chr m:val="⃗"/>
          </m:accPr>
          <m:e>
            <m:r>
              <m:t>q</m:t>
            </m:r>
          </m:e>
        </m:acc>
      </m:oMath>
      <w:r>
        <w:t xml:space="preserve"> </w:t>
      </w:r>
      <w:r>
        <w:t xml:space="preserve">as shown in</w:t>
      </w:r>
      <w:r>
        <w:t xml:space="preserve"> </w:t>
      </w:r>
      <w:r>
        <w:t xml:space="preserve">.</w:t>
      </w:r>
    </w:p>
    <w:p>
      <w:pPr>
        <w:pStyle w:val="BodyText"/>
      </w:pPr>
    </w:p>
    <w:p>
      <w:pPr>
        <w:pStyle w:val="BodyText"/>
      </w:pPr>
      <w:r>
        <w:t xml:space="preserve">In this parameterisation the formation energy parameters</w:t>
      </w:r>
      <w:r>
        <w:t xml:space="preserve"> </w:t>
      </w:r>
      <m:oMath>
        <m:sSub>
          <m:e>
            <m:r>
              <m:t>Δ</m:t>
            </m:r>
          </m:e>
          <m:sub>
            <m:r>
              <m:t>f</m:t>
            </m:r>
          </m:sub>
        </m:sSub>
        <m:r>
          <m:t>G</m:t>
        </m:r>
      </m:oMath>
      <w:r>
        <w:t xml:space="preserve"> </w:t>
      </w:r>
      <w:r>
        <w:t xml:space="preserve">and</w:t>
      </w:r>
      <w:r>
        <w:t xml:space="preserve"> </w:t>
      </w:r>
      <m:oMath>
        <m:sSub>
          <m:e>
            <m:r>
              <m:t>Δ</m:t>
            </m:r>
          </m:e>
          <m:sub>
            <m:r>
              <m:t>g</m:t>
            </m:r>
          </m:sub>
        </m:sSub>
        <m:r>
          <m:t>G</m:t>
        </m:r>
      </m:oMath>
      <w:r>
        <w:t xml:space="preserve"> </w:t>
      </w:r>
      <w:r>
        <w:t xml:space="preserve">can be recovered as shown in equation</w:t>
      </w:r>
      <w:r>
        <w:t xml:space="preserve"> </w:t>
      </w:r>
      <w:r>
        <w:t xml:space="preserve">, in</w:t>
      </w:r>
      <w:r>
        <w:t xml:space="preserve"> </w:t>
      </w:r>
      <w:r>
        <w:t xml:space="preserve">which the superscript</w:t>
      </w:r>
      <w:r>
        <w:t xml:space="preserve"> </w:t>
      </w:r>
      <m:oMath>
        <m:sSup>
          <m:e>
            <m:r>
              <m:t>​</m:t>
            </m:r>
          </m:e>
          <m:sup>
            <m:r>
              <m:rPr>
                <m:sty m:val="p"/>
              </m:rPr>
              <m:t>+</m:t>
            </m:r>
          </m:sup>
        </m:sSup>
      </m:oMath>
      <w:r>
        <w:t xml:space="preserve"> </w:t>
      </w:r>
      <w:r>
        <w:t xml:space="preserve">represents the Moore-Penrose pseudo-inverse:</w:t>
      </w:r>
    </w:p>
    <w:p>
      <w:pPr>
        <w:pStyle w:val="BodyText"/>
      </w:pPr>
    </w:p>
    <w:p>
      <w:pPr>
        <w:pStyle w:val="BodyText"/>
      </w:pPr>
      <w:r>
        <w:t xml:space="preserve">This reparameterisation closely follows the advice on the relevant page of the</w:t>
      </w:r>
      <w:r>
        <w:t xml:space="preserve"> </w:t>
      </w:r>
      <w:r>
        <w:t xml:space="preserve">Stan user’s guide, which can be found</w:t>
      </w:r>
      <w:r>
        <w:t xml:space="preserve"> </w:t>
      </w:r>
      <w:hyperlink r:id="rId38">
        <w:r>
          <w:rPr>
            <w:rStyle w:val="Hyperlink"/>
          </w:rPr>
          <w:t xml:space="preserve">here</w:t>
        </w:r>
      </w:hyperlink>
      <w:r>
        <w:t xml:space="preserve"> </w:t>
      </w:r>
      <w:r>
        <w:t xml:space="preserve">in the exact form in which it was accessed.</w:t>
      </w:r>
    </w:p>
    <w:bookmarkEnd w:id="39"/>
    <w:bookmarkEnd w:id="40"/>
    <w:bookmarkStart w:id="41" w:name="sec-unmodelled-compounds"/>
    <w:p>
      <w:pPr>
        <w:pStyle w:val="Heading2"/>
      </w:pPr>
      <w:r>
        <w:t xml:space="preserve">Estimating formation energies for unmeasured or unmodelled compounds</w:t>
      </w:r>
    </w:p>
    <w:p>
      <w:pPr>
        <w:pStyle w:val="FirstParagraph"/>
      </w:pPr>
      <w:r>
        <w:t xml:space="preserve">Using our approach it is possible to estimate the formation energy of any</w:t>
      </w:r>
      <w:r>
        <w:t xml:space="preserve"> </w:t>
      </w:r>
      <w:r>
        <w:t xml:space="preserve">compound, regardless of whether the compound was measured or explicitly</w:t>
      </w:r>
      <w:r>
        <w:t xml:space="preserve"> </w:t>
      </w:r>
      <w:r>
        <w:t xml:space="preserve">included in our model. The procedure for doing this is as follows.</w:t>
      </w:r>
    </w:p>
    <w:p>
      <w:pPr>
        <w:numPr>
          <w:ilvl w:val="0"/>
          <w:numId w:val="1001"/>
        </w:numPr>
        <w:pStyle w:val="Compact"/>
      </w:pPr>
      <w:r>
        <w:t xml:space="preserve">If the compound was included in the model, generate estimates using the</w:t>
      </w:r>
      <w:r>
        <w:t xml:space="preserve"> </w:t>
      </w:r>
      <w:r>
        <w:t xml:space="preserve">marginal posterior samples for that compound as described above in equation</w:t>
      </w:r>
      <w:r>
        <w:t xml:space="preserve"> </w:t>
      </w:r>
      <w:r>
        <w:t xml:space="preserve">.</w:t>
      </w:r>
    </w:p>
    <w:p>
      <w:pPr>
        <w:numPr>
          <w:ilvl w:val="0"/>
          <w:numId w:val="1001"/>
        </w:numPr>
        <w:pStyle w:val="Compact"/>
      </w:pPr>
      <w:r>
        <w:t xml:space="preserve">If the compound was not included in the model, but is composed of included</w:t>
      </w:r>
      <w:r>
        <w:t xml:space="preserve"> </w:t>
      </w:r>
      <w:r>
        <w:t xml:space="preserve">groups, then generate draws for the variable</w:t>
      </w:r>
      <w:r>
        <w:t xml:space="preserve"> </w:t>
      </w:r>
      <m:oMath>
        <m:sSub>
          <m:e>
            <m:r>
              <m:t>η</m:t>
            </m:r>
          </m:e>
          <m:sub>
            <m:r>
              <m:t>n</m:t>
            </m:r>
            <m:r>
              <m:t>e</m:t>
            </m:r>
            <m:r>
              <m:t>w</m:t>
            </m:r>
          </m:sub>
        </m:sSub>
        <m:r>
          <m:rPr>
            <m:sty m:val="p"/>
          </m:rPr>
          <m:t>∈</m:t>
        </m:r>
        <m:r>
          <m:rPr>
            <m:sty m:val="p"/>
            <m:scr m:val="double-struck"/>
          </m:rPr>
          <m:t>R</m:t>
        </m:r>
      </m:oMath>
      <w:r>
        <w:t xml:space="preserve"> </w:t>
      </w:r>
      <w:r>
        <w:t xml:space="preserve">based</w:t>
      </w:r>
      <w:r>
        <w:t xml:space="preserve"> </w:t>
      </w:r>
      <w:r>
        <w:t xml:space="preserve">on the marginal posterior samples for</w:t>
      </w:r>
      <w:r>
        <w:t xml:space="preserve"> </w:t>
      </w:r>
      <m:oMath>
        <m:r>
          <m:t>τ</m:t>
        </m:r>
      </m:oMath>
      <w:r>
        <w:t xml:space="preserve">, using the assumption</w:t>
      </w:r>
      <w:r>
        <w:t xml:space="preserve"> </w:t>
      </w:r>
      <m:oMath>
        <m:sSub>
          <m:e>
            <m:r>
              <m:t>η</m:t>
            </m:r>
          </m:e>
          <m:sub>
            <m:r>
              <m:t>n</m:t>
            </m:r>
            <m:r>
              <m:t>e</m:t>
            </m:r>
            <m:r>
              <m:t>w</m:t>
            </m:r>
          </m:sub>
        </m:sSub>
        <m:r>
          <m:rPr>
            <m:sty m:val="p"/>
          </m:rPr>
          <m:t>∼</m:t>
        </m:r>
        <m:r>
          <m:t>N</m:t>
        </m:r>
        <m:d>
          <m:dPr>
            <m:begChr m:val="("/>
            <m:endChr m:val=")"/>
            <m:sepChr m:val=""/>
            <m:grow/>
          </m:dPr>
          <m:e>
            <m:r>
              <m:t>0</m:t>
            </m:r>
            <m:r>
              <m:rPr>
                <m:sty m:val="p"/>
              </m:rPr>
              <m:t>,</m:t>
            </m:r>
            <m:r>
              <m:t>τ</m:t>
            </m:r>
          </m:e>
        </m:d>
      </m:oMath>
      <w:r>
        <w:t xml:space="preserve">. Now recover</w:t>
      </w:r>
      <w:r>
        <w:t xml:space="preserve"> </w:t>
      </w:r>
      <m:oMath>
        <m:sSub>
          <m:e>
            <m:r>
              <m:t>Δ</m:t>
            </m:r>
          </m:e>
          <m:sub>
            <m:r>
              <m:t>f</m:t>
            </m:r>
          </m:sub>
        </m:sSub>
        <m:sSub>
          <m:e>
            <m:r>
              <m:t>G</m:t>
            </m:r>
          </m:e>
          <m:sub>
            <m:r>
              <m:t>n</m:t>
            </m:r>
            <m:r>
              <m:t>e</m:t>
            </m:r>
            <m:r>
              <m:t>w</m:t>
            </m:r>
          </m:sub>
        </m:sSub>
      </m:oMath>
      <w:r>
        <w:t xml:space="preserve"> </w:t>
      </w:r>
      <w:r>
        <w:t xml:space="preserve">as in</w:t>
      </w:r>
      <w:r>
        <w:t xml:space="preserve"> </w:t>
      </w:r>
      <w:r>
        <w:t xml:space="preserve">.</w:t>
      </w:r>
    </w:p>
    <w:p>
      <w:pPr>
        <w:numPr>
          <w:ilvl w:val="0"/>
          <w:numId w:val="1001"/>
        </w:numPr>
        <w:pStyle w:val="Compact"/>
      </w:pPr>
      <w:r>
        <w:t xml:space="preserve">If the compound was not included in the model and is partly or wholly</w:t>
      </w:r>
      <w:r>
        <w:t xml:space="preserve"> </w:t>
      </w:r>
      <w:r>
        <w:t xml:space="preserve">composed of</w:t>
      </w:r>
      <w:r>
        <w:t xml:space="preserve"> </w:t>
      </w:r>
      <m:oMath>
        <m:sSub>
          <m:e>
            <m:r>
              <m:t>g</m:t>
            </m:r>
          </m:e>
          <m:sub>
            <m:r>
              <m:t>n</m:t>
            </m:r>
            <m:r>
              <m:t>e</m:t>
            </m:r>
            <m:r>
              <m:t>w</m:t>
            </m:r>
          </m:sub>
        </m:sSub>
      </m:oMath>
      <w:r>
        <w:t xml:space="preserve"> </w:t>
      </w:r>
      <w:r>
        <w:t xml:space="preserve">un-modelled groups, generate draws for the missing</w:t>
      </w:r>
      <w:r>
        <w:t xml:space="preserve"> </w:t>
      </w:r>
      <w:r>
        <w:t xml:space="preserve">group parameters</w:t>
      </w:r>
      <w:r>
        <w:t xml:space="preserve"> </w:t>
      </w:r>
      <m:oMath>
        <m:sSub>
          <m:e>
            <m:acc>
              <m:accPr>
                <m:chr m:val="⃗"/>
              </m:accPr>
              <m:e>
                <m:r>
                  <m:t>q</m:t>
                </m:r>
              </m:e>
            </m:acc>
          </m:e>
          <m:sub>
            <m:r>
              <m:t>n</m:t>
            </m:r>
            <m:r>
              <m:t>e</m:t>
            </m:r>
            <m:r>
              <m:t>w</m:t>
            </m:r>
          </m:sub>
        </m:sSub>
        <m:r>
          <m:rPr>
            <m:sty m:val="p"/>
          </m:rPr>
          <m:t>∈</m:t>
        </m:r>
        <m:sSup>
          <m:e>
            <m:r>
              <m:rPr>
                <m:sty m:val="p"/>
                <m:scr m:val="double-struck"/>
              </m:rPr>
              <m:t>R</m:t>
            </m:r>
          </m:e>
          <m:sup>
            <m:sSub>
              <m:e>
                <m:r>
                  <m:t>g</m:t>
                </m:r>
              </m:e>
              <m:sub>
                <m:r>
                  <m:t>n</m:t>
                </m:r>
                <m:r>
                  <m:t>e</m:t>
                </m:r>
                <m:r>
                  <m:t>w</m:t>
                </m:r>
              </m:sub>
            </m:sSub>
          </m:sup>
        </m:sSup>
      </m:oMath>
      <w:r>
        <w:t xml:space="preserve"> </w:t>
      </w:r>
      <w:r>
        <w:t xml:space="preserve">based on the prior</w:t>
      </w:r>
      <w:r>
        <w:t xml:space="preserve"> </w:t>
      </w:r>
      <w:r>
        <w:t xml:space="preserve">distribution for</w:t>
      </w:r>
      <w:r>
        <w:t xml:space="preserve"> </w:t>
      </w:r>
      <m:oMath>
        <m:acc>
          <m:accPr>
            <m:chr m:val="⃗"/>
          </m:accPr>
          <m:e>
            <m:r>
              <m:t>q</m:t>
            </m:r>
          </m:e>
        </m:acc>
      </m:oMath>
      <w:r>
        <w:t xml:space="preserve">. Next find</w:t>
      </w:r>
      <w:r>
        <w:t xml:space="preserve"> </w:t>
      </w:r>
      <m:oMath>
        <m:sSub>
          <m:e>
            <m:r>
              <m:t>Δ</m:t>
            </m:r>
          </m:e>
          <m:sub>
            <m:r>
              <m:t>g</m:t>
            </m:r>
          </m:sub>
        </m:sSub>
        <m:sSub>
          <m:e>
            <m:r>
              <m:t>G</m:t>
            </m:r>
          </m:e>
          <m:sub>
            <m:r>
              <m:t>n</m:t>
            </m:r>
            <m:r>
              <m:t>e</m:t>
            </m:r>
            <m:r>
              <m:t>w</m:t>
            </m:r>
          </m:sub>
        </m:sSub>
      </m:oMath>
      <w:r>
        <w:t xml:space="preserve"> </w:t>
      </w:r>
      <w:r>
        <w:t xml:space="preserve">using equation</w:t>
      </w:r>
      <w:r>
        <w:t xml:space="preserve"> </w:t>
      </w:r>
      <w:r>
        <w:t xml:space="preserve">, then generate</w:t>
      </w:r>
      <w:r>
        <w:t xml:space="preserve"> </w:t>
      </w:r>
      <m:oMath>
        <m:sSub>
          <m:e>
            <m:r>
              <m:t>η</m:t>
            </m:r>
          </m:e>
          <m:sub>
            <m:r>
              <m:t>n</m:t>
            </m:r>
            <m:r>
              <m:t>e</m:t>
            </m:r>
            <m:r>
              <m:t>w</m:t>
            </m:r>
          </m:sub>
        </m:sSub>
      </m:oMath>
      <w:r>
        <w:t xml:space="preserve"> </w:t>
      </w:r>
      <w:r>
        <w:t xml:space="preserve">and recover</w:t>
      </w:r>
      <w:r>
        <w:t xml:space="preserve"> </w:t>
      </w:r>
      <m:oMath>
        <m:sSub>
          <m:e>
            <m:r>
              <m:t>Δ</m:t>
            </m:r>
          </m:e>
          <m:sub>
            <m:r>
              <m:t>f</m:t>
            </m:r>
          </m:sub>
        </m:sSub>
        <m:sSub>
          <m:e>
            <m:r>
              <m:t>G</m:t>
            </m:r>
          </m:e>
          <m:sub>
            <m:r>
              <m:t>n</m:t>
            </m:r>
            <m:r>
              <m:t>e</m:t>
            </m:r>
            <m:r>
              <m:t>w</m:t>
            </m:r>
          </m:sub>
        </m:sSub>
      </m:oMath>
      <w:r>
        <w:t xml:space="preserve"> </w:t>
      </w:r>
      <w:r>
        <w:t xml:space="preserve">using the same method as for case 2.</w:t>
      </w:r>
    </w:p>
    <w:p>
      <w:pPr>
        <w:pStyle w:val="FirstParagraph"/>
      </w:pPr>
      <w:r>
        <w:t xml:space="preserve">While it is possible, using this procedure, to generate formation energy</w:t>
      </w:r>
      <w:r>
        <w:t xml:space="preserve"> </w:t>
      </w:r>
      <w:r>
        <w:t xml:space="preserve">estimates for any compounds consistently with the information and assumptions</w:t>
      </w:r>
      <w:r>
        <w:t xml:space="preserve"> </w:t>
      </w:r>
      <w:r>
        <w:t xml:space="preserve">in our model, the accuracy of the resulting estimates is limited by the</w:t>
      </w:r>
      <w:r>
        <w:t xml:space="preserve"> </w:t>
      </w:r>
      <w:r>
        <w:t xml:space="preserve">information about the unmeasured or unmodelled compounds in the training data.</w:t>
      </w:r>
      <w:r>
        <w:t xml:space="preserve"> </w:t>
      </w:r>
      <w:r>
        <w:t xml:space="preserve">In particular, formation energy estimates for compounds that include unmeasured</w:t>
      </w:r>
      <w:r>
        <w:t xml:space="preserve"> </w:t>
      </w:r>
      <w:r>
        <w:t xml:space="preserve">chemical groups will typically be very wide, as our model assumes that there is</w:t>
      </w:r>
      <w:r>
        <w:t xml:space="preserve"> </w:t>
      </w:r>
      <w:r>
        <w:t xml:space="preserve">little information available about the parameters</w:t>
      </w:r>
      <w:r>
        <w:t xml:space="preserve"> </w:t>
      </w:r>
      <m:oMath>
        <m:sSub>
          <m:e>
            <m:acc>
              <m:accPr>
                <m:chr m:val="⃗"/>
              </m:accPr>
              <m:e>
                <m:r>
                  <m:t>q</m:t>
                </m:r>
              </m:e>
            </m:acc>
          </m:e>
          <m:sub>
            <m:r>
              <m:t>n</m:t>
            </m:r>
            <m:r>
              <m:t>e</m:t>
            </m:r>
            <m:r>
              <m:t>w</m:t>
            </m:r>
          </m:sub>
        </m:sSub>
      </m:oMath>
      <w:r>
        <w:t xml:space="preserve">.</w:t>
      </w:r>
    </w:p>
    <w:bookmarkEnd w:id="41"/>
    <w:bookmarkStart w:id="42" w:name="Xaa63339c3dc7228ce17ba93d3be123f637512c8"/>
    <w:p>
      <w:pPr>
        <w:pStyle w:val="Heading2"/>
      </w:pPr>
      <w:r>
        <w:t xml:space="preserve">Using our results for downstream modelling</w:t>
      </w:r>
    </w:p>
    <w:p>
      <w:pPr>
        <w:pStyle w:val="FirstParagraph"/>
      </w:pPr>
      <w:r>
        <w:t xml:space="preserve">In order to use our model results for downstream modelling, for example as a</w:t>
      </w:r>
      <w:r>
        <w:t xml:space="preserve"> </w:t>
      </w:r>
      <w:r>
        <w:t xml:space="preserve">prior distribution for thermodynamic parameters in a Bayesian kinetic model, we</w:t>
      </w:r>
      <w:r>
        <w:t xml:space="preserve"> </w:t>
      </w:r>
      <w:r>
        <w:t xml:space="preserve">suggest fitting a multivariate normal distribution to our model’s posterior</w:t>
      </w:r>
      <w:r>
        <w:t xml:space="preserve"> </w:t>
      </w:r>
      <m:oMath>
        <m:sSub>
          <m:e>
            <m:r>
              <m:t>Δ</m:t>
            </m:r>
          </m:e>
          <m:sub>
            <m:r>
              <m:t>f</m:t>
            </m:r>
          </m:sub>
        </m:sSub>
        <m:r>
          <m:t>G</m:t>
        </m:r>
      </m:oMath>
      <w:r>
        <w:t xml:space="preserve"> </w:t>
      </w:r>
      <w:r>
        <w:t xml:space="preserve">parameter samples. We have done this for our results and provide</w:t>
      </w:r>
      <w:r>
        <w:t xml:space="preserve"> </w:t>
      </w:r>
      <w:r>
        <w:t xml:space="preserve">the resulting tables in [TODO: SAY WHERE]. The code that produced these tables is</w:t>
      </w:r>
      <w:r>
        <w:t xml:space="preserve"> </w:t>
      </w:r>
      <w:r>
        <w:t xml:space="preserve">available at [TODO: SAY WHERE].</w:t>
      </w:r>
    </w:p>
    <w:bookmarkEnd w:id="42"/>
    <w:bookmarkStart w:id="43" w:name="sec-case-study"/>
    <w:p>
      <w:pPr>
        <w:pStyle w:val="Heading2"/>
      </w:pPr>
      <w:r>
        <w:t xml:space="preserve">Model evaluation</w:t>
      </w:r>
    </w:p>
    <w:p>
      <w:pPr>
        <w:pStyle w:val="FirstParagraph"/>
      </w:pPr>
      <w:r>
        <w:t xml:space="preserve">In order to compare our new model with the state of the art, we fit it to the</w:t>
      </w:r>
      <w:r>
        <w:t xml:space="preserve"> </w:t>
      </w:r>
      <w:r>
        <w:t xml:space="preserve">component contribution dataset. We compared our model’s estimates with those of</w:t>
      </w:r>
      <w:r>
        <w:t xml:space="preserve"> </w:t>
      </w:r>
      <w:r>
        <w:t xml:space="preserve">the component contribution model when fit to the same dataset. Next, we</w:t>
      </w:r>
      <w:r>
        <w:t xml:space="preserve"> </w:t>
      </w:r>
      <w:r>
        <w:t xml:space="preserve">constructed a test dataset by removing some reactions, then re-fit both our</w:t>
      </w:r>
      <w:r>
        <w:t xml:space="preserve"> </w:t>
      </w:r>
      <w:r>
        <w:t xml:space="preserve">model and the component contribution model to this dataset and compared the</w:t>
      </w:r>
      <w:r>
        <w:t xml:space="preserve"> </w:t>
      </w:r>
      <w:r>
        <w:t xml:space="preserve">resulting estimates.</w:t>
      </w:r>
    </w:p>
    <w:p>
      <w:pPr>
        <w:pStyle w:val="BodyText"/>
      </w:pPr>
      <w:r>
        <w:t xml:space="preserve">Specifically, we excluded from the test dataset all measurements of reactions</w:t>
      </w:r>
      <w:r>
        <w:t xml:space="preserve"> </w:t>
      </w:r>
      <w:r>
        <w:t xml:space="preserve">involving the compounds Acetyl CoA, PEP and G6P. There were 33 such reactions</w:t>
      </w:r>
      <w:r>
        <w:t xml:space="preserve"> </w:t>
      </w:r>
      <w:r>
        <w:t xml:space="preserve">and 370 measurements.</w:t>
      </w:r>
    </w:p>
    <w:bookmarkEnd w:id="43"/>
    <w:bookmarkStart w:id="44" w:name="software"/>
    <w:p>
      <w:pPr>
        <w:pStyle w:val="Heading2"/>
      </w:pPr>
      <w:r>
        <w:t xml:space="preserve">Software</w:t>
      </w:r>
    </w:p>
    <w:p>
      <w:pPr>
        <w:pStyle w:val="FirstParagraph"/>
      </w:pPr>
      <w:r>
        <w:t xml:space="preserve">We implemented our project using Python and structured it using the package</w:t>
      </w:r>
      <w:r>
        <w:t xml:space="preserve"> </w:t>
      </w:r>
      <w:r>
        <w:rPr>
          <w:rStyle w:val="VerbatimChar"/>
        </w:rPr>
        <w:t xml:space="preserve">bibat</w:t>
      </w:r>
      <w:r>
        <w:t xml:space="preserve"> </w:t>
      </w:r>
      <w:r>
        <w:t xml:space="preserve">[TODO: INSERT CITATION].</w:t>
      </w:r>
    </w:p>
    <w:p>
      <w:pPr>
        <w:pStyle w:val="BodyText"/>
      </w:pPr>
      <w:r>
        <w:t xml:space="preserve">We used the package</w:t>
      </w:r>
      <w:r>
        <w:t xml:space="preserve"> </w:t>
      </w:r>
      <w:r>
        <w:rPr>
          <w:rStyle w:val="VerbatimChar"/>
        </w:rPr>
        <w:t xml:space="preserve">equilibrator_api</w:t>
      </w:r>
      <w:r>
        <w:t xml:space="preserve"> </w:t>
      </w:r>
      <w:r>
        <w:t xml:space="preserve">to fetch the component contribution</w:t>
      </w:r>
      <w:r>
        <w:t xml:space="preserve"> </w:t>
      </w:r>
      <w:r>
        <w:t xml:space="preserve">dataset and</w:t>
      </w:r>
      <w:r>
        <w:t xml:space="preserve"> </w:t>
      </w:r>
      <w:r>
        <w:rPr>
          <w:rStyle w:val="VerbatimChar"/>
        </w:rPr>
        <w:t xml:space="preserve">cobrapy</w:t>
      </w:r>
      <w:r>
        <w:t xml:space="preserve"> </w:t>
      </w:r>
      <w:r>
        <w:t xml:space="preserve">to identify metabolites and reactions in the</w:t>
      </w:r>
      <w:r>
        <w:t xml:space="preserve"> </w:t>
      </w:r>
      <w:r>
        <w:rPr>
          <w:rStyle w:val="VerbatimChar"/>
        </w:rPr>
        <w:t xml:space="preserve">e_coli_core</w:t>
      </w:r>
      <w:r>
        <w:t xml:space="preserve"> </w:t>
      </w:r>
      <w:r>
        <w:t xml:space="preserve">model. We carried out data cleaning, structuring and validation</w:t>
      </w:r>
      <w:r>
        <w:t xml:space="preserve"> </w:t>
      </w:r>
      <w:r>
        <w:t xml:space="preserve">using</w:t>
      </w:r>
      <w:r>
        <w:t xml:space="preserve"> </w:t>
      </w:r>
      <w:r>
        <w:rPr>
          <w:rStyle w:val="VerbatimChar"/>
        </w:rPr>
        <w:t xml:space="preserve">pydantic</w:t>
      </w:r>
      <w:r>
        <w:t xml:space="preserve">,</w:t>
      </w:r>
      <w:r>
        <w:t xml:space="preserve"> </w:t>
      </w:r>
      <w:r>
        <w:rPr>
          <w:rStyle w:val="VerbatimChar"/>
        </w:rPr>
        <w:t xml:space="preserve">pandera</w:t>
      </w:r>
      <w:r>
        <w:t xml:space="preserve">,</w:t>
      </w:r>
      <w:r>
        <w:t xml:space="preserve"> </w:t>
      </w:r>
      <w:r>
        <w:rPr>
          <w:rStyle w:val="VerbatimChar"/>
        </w:rPr>
        <w:t xml:space="preserve">numpy</w:t>
      </w:r>
      <w:r>
        <w:t xml:space="preserve"> </w:t>
      </w:r>
      <w:r>
        <w:t xml:space="preserve">and</w:t>
      </w:r>
      <w:r>
        <w:t xml:space="preserve"> </w:t>
      </w:r>
      <w:r>
        <w:rPr>
          <w:rStyle w:val="VerbatimChar"/>
        </w:rPr>
        <w:t xml:space="preserve">pandas</w:t>
      </w:r>
      <w:r>
        <w:t xml:space="preserve">.</w:t>
      </w:r>
    </w:p>
    <w:p>
      <w:pPr>
        <w:pStyle w:val="BodyText"/>
      </w:pPr>
      <w:r>
        <w:t xml:space="preserve">Our statistical models were written in the probabilistic programming language</w:t>
      </w:r>
      <w:r>
        <w:t xml:space="preserve"> </w:t>
      </w:r>
      <w:r>
        <w:t xml:space="preserve">Stan</w:t>
      </w:r>
      <w:r>
        <w:t xml:space="preserve"> </w:t>
      </w:r>
      <w:r>
        <w:t xml:space="preserve">Carpenter et al. (2017)</w:t>
      </w:r>
      <w:r>
        <w:t xml:space="preserve">. Sampling was performed using</w:t>
      </w:r>
      <w:r>
        <w:t xml:space="preserve"> </w:t>
      </w:r>
      <w:r>
        <w:rPr>
          <w:rStyle w:val="VerbatimChar"/>
        </w:rPr>
        <w:t xml:space="preserve">cmdstan</w:t>
      </w:r>
      <w:r>
        <w:t xml:space="preserve"> </w:t>
      </w:r>
      <w:r>
        <w:t xml:space="preserve">via the</w:t>
      </w:r>
      <w:r>
        <w:t xml:space="preserve"> </w:t>
      </w:r>
      <w:r>
        <w:rPr>
          <w:rStyle w:val="VerbatimChar"/>
        </w:rPr>
        <w:t xml:space="preserve">cmdstanpy</w:t>
      </w:r>
      <w:r>
        <w:t xml:space="preserve"> </w:t>
      </w:r>
      <w:r>
        <w:t xml:space="preserve">interface. We used</w:t>
      </w:r>
      <w:r>
        <w:t xml:space="preserve"> </w:t>
      </w:r>
      <w:r>
        <w:rPr>
          <w:rStyle w:val="VerbatimChar"/>
        </w:rPr>
        <w:t xml:space="preserve">arviz</w:t>
      </w:r>
      <w:r>
        <w:t xml:space="preserve"> </w:t>
      </w:r>
      <w:r>
        <w:t xml:space="preserve">to diagnose, structure</w:t>
      </w:r>
      <w:r>
        <w:t xml:space="preserve"> </w:t>
      </w:r>
      <w:r>
        <w:t xml:space="preserve">and store our samples and for visualisation.</w:t>
      </w:r>
    </w:p>
    <w:p>
      <w:pPr>
        <w:pStyle w:val="BodyText"/>
      </w:pPr>
      <w:r>
        <w:t xml:space="preserve">All the code used to implement our analysis, and instructions for reproducing</w:t>
      </w:r>
      <w:r>
        <w:t xml:space="preserve"> </w:t>
      </w:r>
      <w:r>
        <w:t xml:space="preserve">it, can be found at</w:t>
      </w:r>
      <w:r>
        <w:t xml:space="preserve"> </w:t>
      </w:r>
      <w:hyperlink r:id="rId20">
        <w:r>
          <w:rPr>
            <w:rStyle w:val="Hyperlink"/>
          </w:rPr>
          <w:t xml:space="preserve">https://github.com/biosustain/dgfreg</w:t>
        </w:r>
      </w:hyperlink>
      <w:r>
        <w:t xml:space="preserve">.</w:t>
      </w:r>
    </w:p>
    <w:bookmarkEnd w:id="44"/>
    <w:bookmarkEnd w:id="45"/>
    <w:bookmarkStart w:id="90" w:name="results"/>
    <w:p>
      <w:pPr>
        <w:pStyle w:val="Heading1"/>
      </w:pPr>
      <w:r>
        <w:t xml:space="preserve">Results</w:t>
      </w:r>
    </w:p>
    <w:bookmarkStart w:id="46" w:name="mcmc-diagnostics"/>
    <w:p>
      <w:pPr>
        <w:pStyle w:val="Heading2"/>
      </w:pPr>
      <w:r>
        <w:t xml:space="preserve">MCMC diagnostics</w:t>
      </w:r>
    </w:p>
    <w:p>
      <w:pPr>
        <w:pStyle w:val="FirstParagraph"/>
      </w:pPr>
      <w:r>
        <w:t xml:space="preserve">For each of our models, we assessed convergence by running 4 MCMC chains and</w:t>
      </w:r>
      <w:r>
        <w:t xml:space="preserve"> </w:t>
      </w:r>
      <w:r>
        <w:t xml:space="preserve">monitoring the improved</w:t>
      </w:r>
      <w:r>
        <w:t xml:space="preserve"> </w:t>
      </w:r>
      <m:oMath>
        <m:acc>
          <m:accPr>
            <m:chr m:val="̂"/>
          </m:accPr>
          <m:e>
            <m:r>
              <m:t>R</m:t>
            </m:r>
          </m:e>
        </m:acc>
      </m:oMath>
      <w:r>
        <w:t xml:space="preserve"> </w:t>
      </w:r>
      <w:r>
        <w:t xml:space="preserve">statistic proposed in</w:t>
      </w:r>
      <w:r>
        <w:t xml:space="preserve"> </w:t>
      </w:r>
      <w:r>
        <w:t xml:space="preserve">Vehtari et al. (2021)</w:t>
      </w:r>
      <w:r>
        <w:t xml:space="preserve">, verifying that this number</w:t>
      </w:r>
      <w:r>
        <w:t xml:space="preserve"> </w:t>
      </w:r>
      <w:r>
        <w:t xml:space="preserve">was close to 1 for all variables. We also measured the effective sample size</w:t>
      </w:r>
      <w:r>
        <w:t xml:space="preserve"> </w:t>
      </w:r>
      <w:r>
        <w:t xml:space="preserve">per iteration, verifying that this was not low enough to indicate improper</w:t>
      </w:r>
      <w:r>
        <w:t xml:space="preserve"> </w:t>
      </w:r>
      <w:r>
        <w:t xml:space="preserve">sampling. We also checked that there were no post-warmup divergent transitions.</w:t>
      </w:r>
    </w:p>
    <w:bookmarkEnd w:id="46"/>
    <w:bookmarkStart w:id="57" w:name="assessment-of-model-specification"/>
    <w:p>
      <w:pPr>
        <w:pStyle w:val="Heading2"/>
      </w:pPr>
      <w:r>
        <w:t xml:space="preserve">Assessment of model specification</w:t>
      </w:r>
    </w:p>
    <w:p>
      <w:pPr>
        <w:pStyle w:val="FirstParagraph"/>
      </w:pPr>
      <w:r>
        <w:t xml:space="preserve">To assess model specification we performed a posterior predictive check as</w:t>
      </w:r>
      <w:r>
        <w:t xml:space="preserve"> </w:t>
      </w:r>
      <w:r>
        <w:t xml:space="preserve">shown in figure</w:t>
      </w:r>
      <w:r>
        <w:t xml:space="preserve"> </w:t>
      </w:r>
      <w:hyperlink w:anchor="fig-marginal-ppc">
        <w:r>
          <w:rPr>
            <w:rStyle w:val="Hyperlink"/>
          </w:rPr>
          <w:t xml:space="preserve">Figure 2</w:t>
        </w:r>
      </w:hyperlink>
      <w:r>
        <w:t xml:space="preserve">. Our model’s 1%-99% marginal posterior</w:t>
      </w:r>
      <w:r>
        <w:t xml:space="preserve"> </w:t>
      </w:r>
      <w:r>
        <w:t xml:space="preserve">predictive distributions contained the measured value for approximately 98% of</w:t>
      </w:r>
      <w:r>
        <w:t xml:space="preserve"> </w:t>
      </w:r>
      <w:r>
        <w:t xml:space="preserve">measurements, with no particular patterns in the deviations, indicating a</w:t>
      </w:r>
      <w:r>
        <w:t xml:space="preserve"> </w:t>
      </w:r>
      <w:r>
        <w:t xml:space="preserve">reasonably good. Figure</w:t>
      </w:r>
      <w:r>
        <w:t xml:space="preserve"> </w:t>
      </w:r>
      <w:hyperlink w:anchor="fig-ppc-kde">
        <w:r>
          <w:rPr>
            <w:rStyle w:val="Hyperlink"/>
          </w:rPr>
          <w:t xml:space="preserve">Figure 3</w:t>
        </w:r>
      </w:hyperlink>
      <w:r>
        <w:t xml:space="preserve"> </w:t>
      </w:r>
      <w:r>
        <w:t xml:space="preserve">shows that our model was able to achieve a</w:t>
      </w:r>
      <w:r>
        <w:t xml:space="preserve"> </w:t>
      </w:r>
      <w:r>
        <w:t xml:space="preserve">good fit despite a somewhat unbalanced distribution of measurements.</w:t>
      </w:r>
    </w:p>
    <w:tbl>
      <w:tblPr>
        <w:tblStyle w:val="Table"/>
        <w:tblW w:type="pct" w:w="5000"/>
        <w:tblLook w:firstRow="0" w:lastRow="0" w:firstColumn="0" w:lastColumn="0" w:noHBand="0" w:noVBand="0" w:val="0000"/>
        <w:jc w:val="start"/>
      </w:tblPr>
      <w:tblGrid>
        <w:gridCol w:w="7920"/>
      </w:tblGrid>
      <w:tr>
        <w:tc>
          <w:tcPr/>
          <w:bookmarkStart w:id="51" w:name="fig-marginal-ppc"/>
          <w:p>
            <w:pPr>
              <w:jc w:val="center"/>
            </w:pPr>
            <w:r>
              <w:drawing>
                <wp:inline>
                  <wp:extent cx="5334000" cy="3419846"/>
                  <wp:effectExtent b="0" l="0" r="0" t="0"/>
                  <wp:docPr descr="" title="" id="48" name="Picture"/>
                  <a:graphic>
                    <a:graphicData uri="http://schemas.openxmlformats.org/drawingml/2006/picture">
                      <pic:pic>
                        <pic:nvPicPr>
                          <pic:cNvPr descr="plots/marginal_ppc.svg" id="49" name="Picture"/>
                          <pic:cNvPicPr>
                            <a:picLocks noChangeArrowheads="1" noChangeAspect="1"/>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bwMode="auto">
                          <a:xfrm>
                            <a:off x="0" y="0"/>
                            <a:ext cx="5334000" cy="34198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Posterior predictive check</w:t>
            </w:r>
          </w:p>
          <w:bookmarkEnd w:id="51"/>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6" w:name="fig-ppc-kde"/>
          <w:p>
            <w:pPr>
              <w:jc w:val="center"/>
            </w:pPr>
            <w:r>
              <w:drawing>
                <wp:inline>
                  <wp:extent cx="5334000" cy="1992325"/>
                  <wp:effectExtent b="0" l="0" r="0" t="0"/>
                  <wp:docPr descr="" title="" id="53" name="Picture"/>
                  <a:graphic>
                    <a:graphicData uri="http://schemas.openxmlformats.org/drawingml/2006/picture">
                      <pic:pic>
                        <pic:nvPicPr>
                          <pic:cNvPr descr="plots/ppc_kde.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bwMode="auto">
                          <a:xfrm>
                            <a:off x="0" y="0"/>
                            <a:ext cx="5334000" cy="19923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Overall posterior predictive check</w:t>
            </w:r>
          </w:p>
          <w:bookmarkEnd w:id="56"/>
        </w:tc>
      </w:tr>
    </w:tbl>
    <w:bookmarkEnd w:id="57"/>
    <w:bookmarkStart w:id="63" w:name="X28f20d23d14ee8d3938f15582d6b3052f01dfcc"/>
    <w:p>
      <w:pPr>
        <w:pStyle w:val="Heading2"/>
      </w:pPr>
      <w:r>
        <w:t xml:space="preserve">Posterior distributions of interesting parameters</w:t>
      </w:r>
    </w:p>
    <w:p>
      <w:pPr>
        <w:pStyle w:val="FirstParagraph"/>
      </w:pPr>
      <w:hyperlink w:anchor="fig-posteriors">
        <w:r>
          <w:rPr>
            <w:rStyle w:val="Hyperlink"/>
          </w:rPr>
          <w:t xml:space="preserve">Figure 4</w:t>
        </w:r>
      </w:hyperlink>
      <w:r>
        <w:t xml:space="preserve"> </w:t>
      </w:r>
      <w:r>
        <w:t xml:space="preserve">shows the posterior distributions in our model for the</w:t>
      </w:r>
      <w:r>
        <w:t xml:space="preserve"> </w:t>
      </w:r>
      <w:r>
        <w:t xml:space="preserve">parameters</w:t>
      </w:r>
      <w:r>
        <w:t xml:space="preserve"> </w:t>
      </w:r>
      <m:oMath>
        <m:r>
          <m:t>μ</m:t>
        </m:r>
      </m:oMath>
      <w:r>
        <w:t xml:space="preserve">,</w:t>
      </w:r>
      <w:r>
        <w:t xml:space="preserve"> </w:t>
      </w:r>
      <m:oMath>
        <m:sSub>
          <m:e>
            <m:r>
              <m:t>τ</m:t>
            </m:r>
          </m:e>
          <m:sub>
            <m:r>
              <m:t>c</m:t>
            </m:r>
            <m:r>
              <m:t>o</m:t>
            </m:r>
            <m:r>
              <m:t>m</m:t>
            </m:r>
            <m:r>
              <m:t>p</m:t>
            </m:r>
            <m:r>
              <m:t>o</m:t>
            </m:r>
            <m:r>
              <m:t>u</m:t>
            </m:r>
            <m:r>
              <m:t>n</m:t>
            </m:r>
            <m:r>
              <m:t>d</m:t>
            </m:r>
          </m:sub>
        </m:sSub>
      </m:oMath>
      <w:r>
        <w:t xml:space="preserve"> </w:t>
      </w:r>
      <w:r>
        <w:t xml:space="preserve">and</w:t>
      </w:r>
      <w:r>
        <w:t xml:space="preserve"> </w:t>
      </w:r>
      <m:oMath>
        <m:sSub>
          <m:e>
            <m:r>
              <m:t>τ</m:t>
            </m:r>
          </m:e>
          <m:sub>
            <m:r>
              <m:t>g</m:t>
            </m:r>
            <m:r>
              <m:t>r</m:t>
            </m:r>
            <m:r>
              <m:t>o</m:t>
            </m:r>
            <m:r>
              <m:t>u</m:t>
            </m:r>
            <m:r>
              <m:t>p</m:t>
            </m:r>
          </m:sub>
        </m:sSub>
      </m:oMath>
      <w:r>
        <w:t xml:space="preserve">, alongside these</w:t>
      </w:r>
      <w:r>
        <w:t xml:space="preserve"> </w:t>
      </w:r>
      <w:r>
        <w:t xml:space="preserve">parameters’ prior distributions. The plots show that the model was able to</w:t>
      </w:r>
      <w:r>
        <w:t xml:space="preserve"> </w:t>
      </w:r>
      <w:r>
        <w:t xml:space="preserve">reconcile the data with our prior information, though it made</w:t>
      </w:r>
      <w:r>
        <w:t xml:space="preserve"> </w:t>
      </w:r>
      <m:oMath>
        <m:sSub>
          <m:e>
            <m:r>
              <m:t>τ</m:t>
            </m:r>
          </m:e>
          <m:sub>
            <m:r>
              <m:t>g</m:t>
            </m:r>
            <m:r>
              <m:t>r</m:t>
            </m:r>
            <m:r>
              <m:t>o</m:t>
            </m:r>
            <m:r>
              <m:t>u</m:t>
            </m:r>
            <m:r>
              <m:t>p</m:t>
            </m:r>
          </m:sub>
        </m:sSub>
      </m:oMath>
      <w:r>
        <w:t xml:space="preserve"> </w:t>
      </w:r>
      <w:r>
        <w:t xml:space="preserve">somewhat higher than we expected.</w:t>
      </w:r>
    </w:p>
    <w:tbl>
      <w:tblPr>
        <w:tblStyle w:val="Table"/>
        <w:tblW w:type="pct" w:w="5000"/>
        <w:tblLook w:firstRow="0" w:lastRow="0" w:firstColumn="0" w:lastColumn="0" w:noHBand="0" w:noVBand="0" w:val="0000"/>
        <w:jc w:val="start"/>
      </w:tblPr>
      <w:tblGrid>
        <w:gridCol w:w="7920"/>
      </w:tblGrid>
      <w:tr>
        <w:tc>
          <w:tcPr/>
          <w:bookmarkStart w:id="62" w:name="fig-posteriors"/>
          <w:p>
            <w:pPr>
              <w:jc w:val="center"/>
            </w:pPr>
            <w:r>
              <w:drawing>
                <wp:inline>
                  <wp:extent cx="5334000" cy="2288736"/>
                  <wp:effectExtent b="0" l="0" r="0" t="0"/>
                  <wp:docPr descr="" title="" id="59" name="Picture"/>
                  <a:graphic>
                    <a:graphicData uri="http://schemas.openxmlformats.org/drawingml/2006/picture">
                      <pic:pic>
                        <pic:nvPicPr>
                          <pic:cNvPr descr="plots/posteriors.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bwMode="auto">
                          <a:xfrm>
                            <a:off x="0" y="0"/>
                            <a:ext cx="5334000" cy="2288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Posterior distributions of univariate model parameters</w:t>
            </w:r>
          </w:p>
          <w:bookmarkEnd w:id="62"/>
        </w:tc>
      </w:tr>
    </w:tbl>
    <w:bookmarkEnd w:id="63"/>
    <w:bookmarkStart w:id="78" w:name="comparison-with-component-contribution"/>
    <w:p>
      <w:pPr>
        <w:pStyle w:val="Heading2"/>
      </w:pPr>
      <w:r>
        <w:t xml:space="preserve">Comparison with component contribution</w:t>
      </w:r>
    </w:p>
    <w:p>
      <w:pPr>
        <w:pStyle w:val="FirstParagraph"/>
      </w:pPr>
      <w:r>
        <w:t xml:space="preserve">Overall our model produced similar formation energy estimates with somewhat</w:t>
      </w:r>
      <w:r>
        <w:t xml:space="preserve"> </w:t>
      </w:r>
      <w:r>
        <w:t xml:space="preserve">larger marginal uncertainties compared with the component contribution model.</w:t>
      </w:r>
      <w:r>
        <w:t xml:space="preserve"> </w:t>
      </w:r>
      <w:r>
        <w:t xml:space="preserve">This can be seen from figure</w:t>
      </w:r>
      <w:r>
        <w:t xml:space="preserve"> </w:t>
      </w:r>
      <w:hyperlink w:anchor="fig-estimate-comparison">
        <w:r>
          <w:rPr>
            <w:rStyle w:val="Hyperlink"/>
          </w:rPr>
          <w:t xml:space="preserve">Figure 5</w:t>
        </w:r>
      </w:hyperlink>
      <w:r>
        <w:t xml:space="preserve">, which shows the marginal</w:t>
      </w:r>
      <w:r>
        <w:t xml:space="preserve"> </w:t>
      </w:r>
      <w:r>
        <w:t xml:space="preserve">1%-99% posterior intervals for our model alongside the 1%-99% quantiles of the</w:t>
      </w:r>
      <w:r>
        <w:t xml:space="preserve"> </w:t>
      </w:r>
      <w:r>
        <w:t xml:space="preserve">corresponding component contribution uncertainty intervals. Note that these</w:t>
      </w:r>
      <w:r>
        <w:t xml:space="preserve"> </w:t>
      </w:r>
      <w:r>
        <w:t xml:space="preserve">plots are normalised based on the central component contribution estimate. The</w:t>
      </w:r>
      <w:r>
        <w:t xml:space="preserve"> </w:t>
      </w:r>
      <w:r>
        <w:t xml:space="preserve">fact that the red horizontal lines center on the black vertical line indicates</w:t>
      </w:r>
      <w:r>
        <w:t xml:space="preserve"> </w:t>
      </w:r>
      <w:r>
        <w:t xml:space="preserve">that our model’s central estimates tend to be very close to those of the</w:t>
      </w:r>
      <w:r>
        <w:t xml:space="preserve"> </w:t>
      </w:r>
      <w:r>
        <w:t xml:space="preserve">component contribution model.</w:t>
      </w:r>
    </w:p>
    <w:tbl>
      <w:tblPr>
        <w:tblStyle w:val="Table"/>
        <w:tblW w:type="pct" w:w="5000"/>
        <w:tblLook w:firstRow="0" w:lastRow="0" w:firstColumn="0" w:lastColumn="0" w:noHBand="0" w:noVBand="0" w:val="0000"/>
        <w:jc w:val="start"/>
      </w:tblPr>
      <w:tblGrid>
        <w:gridCol w:w="7920"/>
      </w:tblGrid>
      <w:tr>
        <w:tc>
          <w:tcPr/>
          <w:bookmarkStart w:id="68" w:name="fig-estimate-comparison"/>
          <w:p>
            <w:pPr>
              <w:jc w:val="center"/>
            </w:pPr>
            <w:r>
              <w:drawing>
                <wp:inline>
                  <wp:extent cx="5334000" cy="3432634"/>
                  <wp:effectExtent b="0" l="0" r="0" t="0"/>
                  <wp:docPr descr="" title="" id="65" name="Picture"/>
                  <a:graphic>
                    <a:graphicData uri="http://schemas.openxmlformats.org/drawingml/2006/picture">
                      <pic:pic>
                        <pic:nvPicPr>
                          <pic:cNvPr descr="plots/marginal_dgf_comparison.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bwMode="auto">
                          <a:xfrm>
                            <a:off x="0" y="0"/>
                            <a:ext cx="5334000" cy="34326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component contribution estimates with our model</w:t>
            </w:r>
          </w:p>
          <w:bookmarkEnd w:id="68"/>
        </w:tc>
      </w:tr>
    </w:tbl>
    <w:p>
      <w:pPr>
        <w:pStyle w:val="BodyText"/>
      </w:pPr>
      <w:hyperlink w:anchor="fig-marginal-hist-widths">
        <w:r>
          <w:rPr>
            <w:rStyle w:val="Hyperlink"/>
          </w:rPr>
          <w:t xml:space="preserve">Figure 6</w:t>
        </w:r>
      </w:hyperlink>
      <w:r>
        <w:t xml:space="preserve"> </w:t>
      </w:r>
      <w:r>
        <w:t xml:space="preserve">shows histograms of the 1%-99% marginal posterior</w:t>
      </w:r>
      <w:r>
        <w:t xml:space="preserve"> </w:t>
      </w:r>
      <w:r>
        <w:t xml:space="preserve">widths for our model and the component contribution model. It shows more</w:t>
      </w:r>
      <w:r>
        <w:t xml:space="preserve"> </w:t>
      </w:r>
      <w:r>
        <w:t xml:space="preserve">explicitly than</w:t>
      </w:r>
      <w:r>
        <w:t xml:space="preserve"> </w:t>
      </w:r>
      <w:hyperlink w:anchor="fig-estimate-comparison">
        <w:r>
          <w:rPr>
            <w:rStyle w:val="Hyperlink"/>
          </w:rPr>
          <w:t xml:space="preserve">Figure 5</w:t>
        </w:r>
      </w:hyperlink>
      <w:r>
        <w:t xml:space="preserve"> </w:t>
      </w:r>
      <w:r>
        <w:t xml:space="preserve">that the new model tends to produce</w:t>
      </w:r>
      <w:r>
        <w:t xml:space="preserve"> </w:t>
      </w:r>
      <w:r>
        <w:t xml:space="preserve">more uncertain marginal formation energy estimates than the component</w:t>
      </w:r>
      <w:r>
        <w:t xml:space="preserve"> </w:t>
      </w:r>
      <w:r>
        <w:t xml:space="preserve">contribution model.</w:t>
      </w:r>
    </w:p>
    <w:tbl>
      <w:tblPr>
        <w:tblStyle w:val="Table"/>
        <w:tblW w:type="pct" w:w="5000"/>
        <w:tblLook w:firstRow="0" w:lastRow="0" w:firstColumn="0" w:lastColumn="0" w:noHBand="0" w:noVBand="0" w:val="0000"/>
        <w:jc w:val="start"/>
      </w:tblPr>
      <w:tblGrid>
        <w:gridCol w:w="7920"/>
      </w:tblGrid>
      <w:tr>
        <w:tc>
          <w:tcPr/>
          <w:bookmarkStart w:id="73" w:name="fig-marginal-hist-widths"/>
          <w:p>
            <w:pPr>
              <w:jc w:val="center"/>
            </w:pPr>
            <w:r>
              <w:drawing>
                <wp:inline>
                  <wp:extent cx="5334000" cy="3906959"/>
                  <wp:effectExtent b="0" l="0" r="0" t="0"/>
                  <wp:docPr descr="" title="" id="70" name="Picture"/>
                  <a:graphic>
                    <a:graphicData uri="http://schemas.openxmlformats.org/drawingml/2006/picture">
                      <pic:pic>
                        <pic:nvPicPr>
                          <pic:cNvPr descr="plots/marginal_width_hists.svg" id="71" name="Picture"/>
                          <pic:cNvPicPr>
                            <a:picLocks noChangeArrowheads="1" noChangeAspect="1"/>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5334000" cy="390695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 of component contribution uncertainty interval widths with our model</w:t>
            </w:r>
          </w:p>
          <w:bookmarkEnd w:id="73"/>
        </w:tc>
      </w:tr>
    </w:tbl>
    <w:p>
      <w:pPr>
        <w:pStyle w:val="BodyText"/>
      </w:pPr>
      <w:r>
        <w:t xml:space="preserve">To compare model fit between our model and the component contribution model we</w:t>
      </w:r>
      <w:r>
        <w:t xml:space="preserve"> </w:t>
      </w:r>
      <w:r>
        <w:t xml:space="preserve">found, for each measurement in the full dataset, the residual for the component</w:t>
      </w:r>
      <w:r>
        <w:t xml:space="preserve"> </w:t>
      </w:r>
      <w:r>
        <w:t xml:space="preserve">contribution</w:t>
      </w:r>
      <w:r>
        <w:t xml:space="preserve"> </w:t>
      </w:r>
      <m:oMath>
        <m:sSub>
          <m:e>
            <m:r>
              <m:t>Δ</m:t>
            </m:r>
          </m:e>
          <m:sub>
            <m:r>
              <m:t>r</m:t>
            </m:r>
          </m:sub>
        </m:sSub>
        <m:r>
          <m:t>G</m:t>
        </m:r>
      </m:oMath>
      <w:r>
        <w:t xml:space="preserve"> </w:t>
      </w:r>
      <w:r>
        <w:t xml:space="preserve">as well as the residual for our model’s marginal</w:t>
      </w:r>
      <w:r>
        <w:t xml:space="preserve"> </w:t>
      </w:r>
      <w:r>
        <w:t xml:space="preserve">posterior predictive mean. A histogram of the results is shown in</w:t>
      </w:r>
      <w:r>
        <w:t xml:space="preserve"> </w:t>
      </w:r>
      <w:hyperlink w:anchor="fig-residuals-full-dataset">
        <w:r>
          <w:rPr>
            <w:rStyle w:val="Hyperlink"/>
          </w:rPr>
          <w:t xml:space="preserve">Figure 7</w:t>
        </w:r>
      </w:hyperlink>
      <w:r>
        <w:t xml:space="preserve">, as well as the overall root mean squared error for</w:t>
      </w:r>
      <w:r>
        <w:t xml:space="preserve"> </w:t>
      </w:r>
      <w:r>
        <w:t xml:space="preserve">each model. These results show that the two models achieved about the same</w:t>
      </w:r>
      <w:r>
        <w:t xml:space="preserve"> </w:t>
      </w:r>
      <w:r>
        <w:t xml:space="preserve">level of fit to the data, with our model achieving slightly smaller errors on</w:t>
      </w:r>
      <w:r>
        <w:t xml:space="preserve"> </w:t>
      </w:r>
      <w:r>
        <w:t xml:space="preserve">average.</w:t>
      </w:r>
    </w:p>
    <w:tbl>
      <w:tblPr>
        <w:tblStyle w:val="Table"/>
        <w:tblW w:type="pct" w:w="5000"/>
        <w:tblLook w:firstRow="0" w:lastRow="0" w:firstColumn="0" w:lastColumn="0" w:noHBand="0" w:noVBand="0" w:val="0000"/>
        <w:jc w:val="start"/>
      </w:tblPr>
      <w:tblGrid>
        <w:gridCol w:w="7920"/>
      </w:tblGrid>
      <w:tr>
        <w:tc>
          <w:tcPr/>
          <w:bookmarkStart w:id="77" w:name="fig-residuals-full-dataset"/>
          <w:p>
            <w:pPr>
              <w:jc w:val="center"/>
            </w:pPr>
            <w:r>
              <w:drawing>
                <wp:inline>
                  <wp:extent cx="5334000" cy="1333500"/>
                  <wp:effectExtent b="0" l="0" r="0" t="0"/>
                  <wp:docPr descr="" title="" id="75" name="Picture"/>
                  <a:graphic>
                    <a:graphicData uri="http://schemas.openxmlformats.org/drawingml/2006/picture">
                      <pic:pic>
                        <pic:nvPicPr>
                          <pic:cNvPr descr="plots/posterior_predictive_comparison.png" id="76" name="Picture"/>
                          <pic:cNvPicPr>
                            <a:picLocks noChangeArrowheads="1" noChangeAspect="1"/>
                          </pic:cNvPicPr>
                        </pic:nvPicPr>
                        <pic:blipFill>
                          <a:blip r:embed="rId74"/>
                          <a:stretch>
                            <a:fillRect/>
                          </a:stretch>
                        </pic:blipFill>
                        <pic:spPr bwMode="auto">
                          <a:xfrm>
                            <a:off x="0" y="0"/>
                            <a:ext cx="5334000" cy="1333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 of residuals</w:t>
            </w:r>
          </w:p>
          <w:bookmarkEnd w:id="77"/>
        </w:tc>
      </w:tr>
    </w:tbl>
    <w:bookmarkEnd w:id="78"/>
    <w:bookmarkStart w:id="89" w:name="out-of-sample-predictions"/>
    <w:p>
      <w:pPr>
        <w:pStyle w:val="Heading2"/>
      </w:pPr>
      <w:r>
        <w:t xml:space="preserve">Out of sample predictions</w:t>
      </w:r>
    </w:p>
    <w:p>
      <w:pPr>
        <w:pStyle w:val="FirstParagraph"/>
      </w:pPr>
      <w:r>
        <w:t xml:space="preserve">The RMSE on test measurements for component contribution was 43.28 for</w:t>
      </w:r>
      <w:r>
        <w:t xml:space="preserve"> </w:t>
      </w:r>
      <w:r>
        <w:t xml:space="preserve">component contribution compared with 16.70 for our model. However, this figure</w:t>
      </w:r>
      <w:r>
        <w:t xml:space="preserve"> </w:t>
      </w:r>
      <w:r>
        <w:t xml:space="preserve">is somewhat misleading as it is dominated by a single outlier measurement of</w:t>
      </w:r>
      <w:r>
        <w:t xml:space="preserve"> </w:t>
      </w:r>
      <w:r>
        <w:t xml:space="preserve">the phosphoenolpyruvate mutase reaction. There is little information about this</w:t>
      </w:r>
      <w:r>
        <w:t xml:space="preserve"> </w:t>
      </w:r>
      <w:r>
        <w:t xml:space="preserve">reaction in the test dataset, whose marginal posterior predictive interval in</w:t>
      </w:r>
      <w:r>
        <w:t xml:space="preserve"> </w:t>
      </w:r>
      <w:r>
        <w:t xml:space="preserve">our model spans a range of about 4500 kJ/mol. The component contribution model</w:t>
      </w:r>
      <w:r>
        <w:t xml:space="preserve"> </w:t>
      </w:r>
      <w:r>
        <w:t xml:space="preserve">predicts a value of 771 kJ/mol, whereas our model’s posterior predictive mean</w:t>
      </w:r>
      <w:r>
        <w:t xml:space="preserve"> </w:t>
      </w:r>
      <w:r>
        <w:t xml:space="preserve">was 235 kJ/mol and the measured value was -28 kJ/mol. Excluding this</w:t>
      </w:r>
      <w:r>
        <w:t xml:space="preserve"> </w:t>
      </w:r>
      <w:r>
        <w:t xml:space="preserve">measurement the RMSE values are 12.01 for component contribution and 9.57 for</w:t>
      </w:r>
      <w:r>
        <w:t xml:space="preserve"> </w:t>
      </w:r>
      <w:r>
        <w:t xml:space="preserve">our model.</w:t>
      </w:r>
    </w:p>
    <w:p>
      <w:pPr>
        <w:pStyle w:val="BodyText"/>
      </w:pPr>
      <w:r>
        <w:t xml:space="preserve">Close inspection of the residuals reveals that this difference relects a</w:t>
      </w:r>
      <w:r>
        <w:t xml:space="preserve"> </w:t>
      </w:r>
      <w:r>
        <w:t xml:space="preserve">consistent improvement in our model’s predictions compared with component</w:t>
      </w:r>
      <w:r>
        <w:t xml:space="preserve"> </w:t>
      </w:r>
      <w:r>
        <w:t xml:space="preserve">contribution.</w:t>
      </w:r>
      <w:r>
        <w:t xml:space="preserve"> </w:t>
      </w:r>
      <w:hyperlink w:anchor="fig-residual-hist-test-dataset">
        <w:r>
          <w:rPr>
            <w:rStyle w:val="Hyperlink"/>
          </w:rPr>
          <w:t xml:space="preserve">Figure 8</w:t>
        </w:r>
      </w:hyperlink>
      <w:r>
        <w:t xml:space="preserve"> </w:t>
      </w:r>
      <w:r>
        <w:t xml:space="preserve">shows the distribution of</w:t>
      </w:r>
      <w:r>
        <w:t xml:space="preserve"> </w:t>
      </w:r>
      <w:r>
        <w:t xml:space="preserve">residual differences for test measurements between the two models. For most</w:t>
      </w:r>
      <w:r>
        <w:t xml:space="preserve"> </w:t>
      </w:r>
      <w:r>
        <w:t xml:space="preserve">test measurements our model made better predictions.</w:t>
      </w:r>
    </w:p>
    <w:tbl>
      <w:tblPr>
        <w:tblStyle w:val="Table"/>
        <w:tblW w:type="pct" w:w="5000"/>
        <w:tblLook w:firstRow="0" w:lastRow="0" w:firstColumn="0" w:lastColumn="0" w:noHBand="0" w:noVBand="0" w:val="0000"/>
        <w:jc w:val="start"/>
      </w:tblPr>
      <w:tblGrid>
        <w:gridCol w:w="7920"/>
      </w:tblGrid>
      <w:tr>
        <w:tc>
          <w:tcPr/>
          <w:bookmarkStart w:id="83" w:name="fig-residual-hist-test-dataset"/>
          <w:p>
            <w:pPr>
              <w:jc w:val="center"/>
            </w:pPr>
            <w:r>
              <w:drawing>
                <wp:inline>
                  <wp:extent cx="5334000" cy="4164020"/>
                  <wp:effectExtent b="0" l="0" r="0" t="0"/>
                  <wp:docPr descr="" title="" id="80" name="Picture"/>
                  <a:graphic>
                    <a:graphicData uri="http://schemas.openxmlformats.org/drawingml/2006/picture">
                      <pic:pic>
                        <pic:nvPicPr>
                          <pic:cNvPr descr="plots/out_of_sample_residual_hist.svg" id="81" name="Picture"/>
                          <pic:cNvPicPr>
                            <a:picLocks noChangeArrowheads="1" noChangeAspect="1"/>
                          </pic:cNvPicPr>
                        </pic:nvPicPr>
                        <pic:blipFill>
                          <a:blip r:embed="rId82">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bwMode="auto">
                          <a:xfrm>
                            <a:off x="0" y="0"/>
                            <a:ext cx="5334000" cy="41640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Distribution of out of sample absolute residual differences</w:t>
            </w:r>
          </w:p>
          <w:bookmarkEnd w:id="83"/>
        </w:tc>
      </w:tr>
    </w:tbl>
    <w:p>
      <w:pPr>
        <w:pStyle w:val="BodyText"/>
      </w:pPr>
      <w:hyperlink w:anchor="fig-test-reaction-residuals">
        <w:r>
          <w:rPr>
            <w:rStyle w:val="Hyperlink"/>
          </w:rPr>
          <w:t xml:space="preserve">Figure 9</w:t>
        </w:r>
      </w:hyperlink>
      <w:r>
        <w:t xml:space="preserve"> </w:t>
      </w:r>
      <w:r>
        <w:t xml:space="preserve">shows, for each reaction except</w:t>
      </w:r>
      <w:r>
        <w:t xml:space="preserve"> </w:t>
      </w:r>
      <w:r>
        <w:t xml:space="preserve">phosphoenolpyruvate mutase, our model’s 1%-99% residual interval with respect</w:t>
      </w:r>
      <w:r>
        <w:t xml:space="preserve"> </w:t>
      </w:r>
      <w:r>
        <w:t xml:space="preserve">to the observed average measurement for that reaction alongside the posterior</w:t>
      </w:r>
      <w:r>
        <w:t xml:space="preserve"> </w:t>
      </w:r>
      <w:r>
        <w:t xml:space="preserve">predictive mean residual and component contribution residual. This shows the</w:t>
      </w:r>
      <w:r>
        <w:t xml:space="preserve"> </w:t>
      </w:r>
      <w:r>
        <w:t xml:space="preserve">typical size of the difference in out of sample prediction accuracy between the</w:t>
      </w:r>
      <w:r>
        <w:t xml:space="preserve"> </w:t>
      </w:r>
      <w:r>
        <w:t xml:space="preserve">two models. It is clear from this plot that our model’s posterior predictive</w:t>
      </w:r>
      <w:r>
        <w:t xml:space="preserve"> </w:t>
      </w:r>
      <w:r>
        <w:t xml:space="preserve">means tended to make better out of sample predictions than component</w:t>
      </w:r>
      <w:r>
        <w:t xml:space="preserve"> </w:t>
      </w:r>
      <w:r>
        <w:t xml:space="preserve">contribution.</w:t>
      </w:r>
    </w:p>
    <w:tbl>
      <w:tblPr>
        <w:tblStyle w:val="Table"/>
        <w:tblW w:type="pct" w:w="5000"/>
        <w:tblLook w:firstRow="0" w:lastRow="0" w:firstColumn="0" w:lastColumn="0" w:noHBand="0" w:noVBand="0" w:val="0000"/>
        <w:jc w:val="start"/>
      </w:tblPr>
      <w:tblGrid>
        <w:gridCol w:w="7920"/>
      </w:tblGrid>
      <w:tr>
        <w:tc>
          <w:tcPr/>
          <w:bookmarkStart w:id="88" w:name="fig-test-reaction-residuals"/>
          <w:p>
            <w:pPr>
              <w:jc w:val="center"/>
            </w:pPr>
            <w:r>
              <w:drawing>
                <wp:inline>
                  <wp:extent cx="5334000" cy="3150437"/>
                  <wp:effectExtent b="0" l="0" r="0" t="0"/>
                  <wp:docPr descr="" title="" id="85" name="Picture"/>
                  <a:graphic>
                    <a:graphicData uri="http://schemas.openxmlformats.org/drawingml/2006/picture">
                      <pic:pic>
                        <pic:nvPicPr>
                          <pic:cNvPr descr="plots/out_of_sample_reaction_residuals.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84"/>
                              </a:ext>
                            </a:extLst>
                          </a:blip>
                          <a:stretch>
                            <a:fillRect/>
                          </a:stretch>
                        </pic:blipFill>
                        <pic:spPr bwMode="auto">
                          <a:xfrm>
                            <a:off x="0" y="0"/>
                            <a:ext cx="5334000" cy="31504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Comparison of residuals</w:t>
            </w:r>
          </w:p>
          <w:bookmarkEnd w:id="88"/>
        </w:tc>
      </w:tr>
    </w:tbl>
    <w:bookmarkEnd w:id="89"/>
    <w:bookmarkEnd w:id="90"/>
    <w:bookmarkStart w:id="111" w:name="discussion"/>
    <w:p>
      <w:pPr>
        <w:pStyle w:val="Heading1"/>
      </w:pPr>
      <w:r>
        <w:t xml:space="preserve">Discussion</w:t>
      </w:r>
    </w:p>
    <w:bookmarkStart w:id="91" w:name="comparison-with-state-of-the-art"/>
    <w:p>
      <w:pPr>
        <w:pStyle w:val="Heading2"/>
      </w:pPr>
      <w:r>
        <w:t xml:space="preserve">Comparison with state of the art</w:t>
      </w:r>
    </w:p>
    <w:p>
      <w:pPr>
        <w:pStyle w:val="FirstParagraph"/>
      </w:pPr>
      <w:r>
        <w:t xml:space="preserve">While our results show that our model improves on the state of the art in</w:t>
      </w:r>
      <w:r>
        <w:t xml:space="preserve"> </w:t>
      </w:r>
      <w:r>
        <w:t xml:space="preserve">out-of-sample predictive accuracy, the most important improvement is to produce</w:t>
      </w:r>
      <w:r>
        <w:t xml:space="preserve"> </w:t>
      </w:r>
      <w:r>
        <w:t xml:space="preserve">a plausible multivariate normal distribution with a full-rank covariance matrix</w:t>
      </w:r>
      <w:r>
        <w:t xml:space="preserve"> </w:t>
      </w:r>
      <w:r>
        <w:t xml:space="preserve">for biochemical formation energies. We expect that this will allow for better</w:t>
      </w:r>
      <w:r>
        <w:t xml:space="preserve"> </w:t>
      </w:r>
      <w:r>
        <w:t xml:space="preserve">prior distributions in future Bayesian thermokinetic models.</w:t>
      </w:r>
    </w:p>
    <w:bookmarkEnd w:id="91"/>
    <w:bookmarkStart w:id="92" w:name="limitations"/>
    <w:p>
      <w:pPr>
        <w:pStyle w:val="Heading2"/>
      </w:pPr>
      <w:r>
        <w:t xml:space="preserve">Limitations</w:t>
      </w:r>
    </w:p>
    <w:p>
      <w:pPr>
        <w:pStyle w:val="FirstParagraph"/>
      </w:pPr>
      <w:r>
        <w:t xml:space="preserve">Our model does not take into account adjustments for experimental conditions,</w:t>
      </w:r>
      <w:r>
        <w:t xml:space="preserve"> </w:t>
      </w:r>
      <w:r>
        <w:t xml:space="preserve">instead naiively modelling condition-adjusted measurements reported by</w:t>
      </w:r>
      <w:r>
        <w:t xml:space="preserve"> </w:t>
      </w:r>
      <w:r>
        <w:t xml:space="preserve">eQuilibrator. This is important as the adjustment for conditions is non-trivial</w:t>
      </w:r>
      <w:r>
        <w:t xml:space="preserve"> </w:t>
      </w:r>
      <w:r>
        <w:t xml:space="preserve">and different plausible modelling assumptions can lead to large changes in</w:t>
      </w:r>
      <w:r>
        <w:t xml:space="preserve"> </w:t>
      </w:r>
      <w:r>
        <w:t xml:space="preserve">adjusted measurements. See [CITATION HERE] for more discussion of this issue.</w:t>
      </w:r>
    </w:p>
    <w:p>
      <w:pPr>
        <w:pStyle w:val="BodyText"/>
      </w:pPr>
      <w:r>
        <w:t xml:space="preserve">We also used the same group decomposition matrix as eQuilibrator. An</w:t>
      </w:r>
      <w:r>
        <w:t xml:space="preserve"> </w:t>
      </w:r>
      <w:r>
        <w:t xml:space="preserve">alternative group decomposition matrix might yield more accurate results. [CITE</w:t>
      </w:r>
      <w:r>
        <w:t xml:space="preserve"> </w:t>
      </w:r>
      <w:r>
        <w:t xml:space="preserve">example paper]</w:t>
      </w:r>
    </w:p>
    <w:p>
      <w:pPr>
        <w:pStyle w:val="BodyText"/>
      </w:pPr>
      <w:r>
        <w:t xml:space="preserve">Another modelling approach that we did not explore attempts to infer formation</w:t>
      </w:r>
      <w:r>
        <w:t xml:space="preserve"> </w:t>
      </w:r>
      <w:r>
        <w:t xml:space="preserve">energies from chemical structures. [CITATION].</w:t>
      </w:r>
    </w:p>
    <w:bookmarkEnd w:id="92"/>
    <w:bookmarkStart w:id="110" w:name="extensions-and-future-work"/>
    <w:p>
      <w:pPr>
        <w:pStyle w:val="Heading2"/>
      </w:pPr>
      <w:r>
        <w:t xml:space="preserve">Extensions and future work</w:t>
      </w:r>
    </w:p>
    <w:p>
      <w:pPr>
        <w:pStyle w:val="FirstParagraph"/>
      </w:pPr>
      <w:r>
        <w:t xml:space="preserve">We plan to augment our model with an application that can generate posterior</w:t>
      </w:r>
      <w:r>
        <w:t xml:space="preserve"> </w:t>
      </w:r>
      <w:r>
        <w:t xml:space="preserve">summaries for unmodelled compounds as described in section</w:t>
      </w:r>
      <w:r>
        <w:t xml:space="preserve"> </w:t>
      </w:r>
      <w:hyperlink w:anchor="sec-unmodelled-compounds">
        <w:r>
          <w:rPr>
            <w:rStyle w:val="Hyperlink"/>
          </w:rPr>
          <w:t xml:space="preserve">Section 4.4</w:t>
        </w:r>
      </w:hyperlink>
      <w:r>
        <w:t xml:space="preserve">.</w:t>
      </w:r>
    </w:p>
    <w:bookmarkStart w:id="109" w:name="refs"/>
    <w:bookmarkStart w:id="94" w:name="X57a0143b9221ff936412697d60c41040d9589bf"/>
    <w:p>
      <w:pPr>
        <w:pStyle w:val="Bibliography"/>
      </w:pPr>
      <w:r>
        <w:t xml:space="preserve">Beber, Moritz E., Mattia G. Gollub, Dana Mozaffari, Kevin M. Shebek, and Elad Noor. 2021.</w:t>
      </w:r>
      <w:r>
        <w:t xml:space="preserve"> </w:t>
      </w:r>
      <w:r>
        <w:t xml:space="preserve">“</w:t>
      </w:r>
      <w:r>
        <w:t xml:space="preserve">eQuilibrator</w:t>
      </w:r>
      <w:r>
        <w:t xml:space="preserve"> </w:t>
      </w:r>
      <w:r>
        <w:t xml:space="preserve">3.0 – a Platform for the Estimation of Thermodynamic Constants.”</w:t>
      </w:r>
      <w:r>
        <w:t xml:space="preserve"> </w:t>
      </w:r>
      <w:r>
        <w:rPr>
          <w:iCs/>
          <w:i/>
        </w:rPr>
        <w:t xml:space="preserve">arXiv:2103.00621 [q-Bio]</w:t>
      </w:r>
      <w:r>
        <w:t xml:space="preserve">, February.</w:t>
      </w:r>
      <w:r>
        <w:t xml:space="preserve"> </w:t>
      </w:r>
      <w:hyperlink r:id="rId93">
        <w:r>
          <w:rPr>
            <w:rStyle w:val="Hyperlink"/>
          </w:rPr>
          <w:t xml:space="preserve">http://arxiv.org/abs/2103.00621</w:t>
        </w:r>
      </w:hyperlink>
      <w:r>
        <w:t xml:space="preserve">.</w:t>
      </w:r>
    </w:p>
    <w:bookmarkEnd w:id="94"/>
    <w:bookmarkStart w:id="96"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95">
        <w:r>
          <w:rPr>
            <w:rStyle w:val="Hyperlink"/>
          </w:rPr>
          <w:t xml:space="preserve">https://doi.org/10.18637/jss.v076.i01</w:t>
        </w:r>
      </w:hyperlink>
      <w:r>
        <w:t xml:space="preserve">.</w:t>
      </w:r>
    </w:p>
    <w:bookmarkEnd w:id="96"/>
    <w:bookmarkStart w:id="98" w:name="ref-duEstimatingMetabolicEquilibrium2018"/>
    <w:p>
      <w:pPr>
        <w:pStyle w:val="Bibliography"/>
      </w:pPr>
      <w:r>
        <w:t xml:space="preserve">Du, Bin, Daniel C. Zielinski, and Bernhard O. Palsson. 2018.</w:t>
      </w:r>
      <w:r>
        <w:t xml:space="preserve"> </w:t>
      </w:r>
      <w:r>
        <w:t xml:space="preserve">“Estimating</w:t>
      </w:r>
      <w:r>
        <w:t xml:space="preserve"> </w:t>
      </w:r>
      <w:r>
        <w:t xml:space="preserve">Metabolic Equilibrium Constants</w:t>
      </w:r>
      <w:r>
        <w:t xml:space="preserve">:</w:t>
      </w:r>
      <w:r>
        <w:t xml:space="preserve"> </w:t>
      </w:r>
      <w:r>
        <w:t xml:space="preserve">Progress</w:t>
      </w:r>
      <w:r>
        <w:t xml:space="preserve"> </w:t>
      </w:r>
      <w:r>
        <w:t xml:space="preserve">and</w:t>
      </w:r>
      <w:r>
        <w:t xml:space="preserve"> </w:t>
      </w:r>
      <w:r>
        <w:t xml:space="preserve">Future Challenges</w:t>
      </w:r>
      <w:r>
        <w:t xml:space="preserve">.”</w:t>
      </w:r>
      <w:r>
        <w:t xml:space="preserve"> </w:t>
      </w:r>
      <w:r>
        <w:rPr>
          <w:iCs/>
          <w:i/>
        </w:rPr>
        <w:t xml:space="preserve">Trends in Biochemical Sciences</w:t>
      </w:r>
      <w:r>
        <w:t xml:space="preserve"> </w:t>
      </w:r>
      <w:r>
        <w:t xml:space="preserve">43 (12): 960–69.</w:t>
      </w:r>
      <w:r>
        <w:t xml:space="preserve"> </w:t>
      </w:r>
      <w:hyperlink r:id="rId97">
        <w:r>
          <w:rPr>
            <w:rStyle w:val="Hyperlink"/>
          </w:rPr>
          <w:t xml:space="preserve">https://doi.org/10.1016/j.tibs.2018.09.009</w:t>
        </w:r>
      </w:hyperlink>
      <w:r>
        <w:t xml:space="preserve">.</w:t>
      </w:r>
    </w:p>
    <w:bookmarkEnd w:id="98"/>
    <w:bookmarkStart w:id="100" w:name="Xcfed40f75e0161af353477c454bc0e28b903e04"/>
    <w:p>
      <w:pPr>
        <w:pStyle w:val="Bibliography"/>
      </w:pPr>
      <w:r>
        <w:t xml:space="preserve">Ebrahim, Ali, Joshua A. Lerman, Bernhard O. Palsson, and Daniel R. Hyduke. 2013.</w:t>
      </w:r>
      <w:r>
        <w:t xml:space="preserve"> </w:t>
      </w:r>
      <w:r>
        <w:t xml:space="preserve">“</w:t>
      </w:r>
      <w:r>
        <w:t xml:space="preserve">COBRApy</w:t>
      </w:r>
      <w:r>
        <w:t xml:space="preserve">:</w:t>
      </w:r>
      <w:r>
        <w:t xml:space="preserve"> </w:t>
      </w:r>
      <w:r>
        <w:t xml:space="preserve">COnstraints-Based Reconstruction</w:t>
      </w:r>
      <w:r>
        <w:t xml:space="preserve"> </w:t>
      </w:r>
      <w:r>
        <w:t xml:space="preserve">and</w:t>
      </w:r>
      <w:r>
        <w:t xml:space="preserve"> </w:t>
      </w:r>
      <w:r>
        <w:t xml:space="preserve">Analysis</w:t>
      </w:r>
      <w:r>
        <w:t xml:space="preserve"> </w:t>
      </w:r>
      <w:r>
        <w:t xml:space="preserve">for</w:t>
      </w:r>
      <w:r>
        <w:t xml:space="preserve"> </w:t>
      </w:r>
      <w:r>
        <w:t xml:space="preserve">Python</w:t>
      </w:r>
      <w:r>
        <w:t xml:space="preserve">.”</w:t>
      </w:r>
      <w:r>
        <w:t xml:space="preserve"> </w:t>
      </w:r>
      <w:r>
        <w:rPr>
          <w:iCs/>
          <w:i/>
        </w:rPr>
        <w:t xml:space="preserve">BMC Systems Biology</w:t>
      </w:r>
      <w:r>
        <w:t xml:space="preserve"> </w:t>
      </w:r>
      <w:r>
        <w:t xml:space="preserve">7 (1): 74.</w:t>
      </w:r>
      <w:r>
        <w:t xml:space="preserve"> </w:t>
      </w:r>
      <w:hyperlink r:id="rId99">
        <w:r>
          <w:rPr>
            <w:rStyle w:val="Hyperlink"/>
          </w:rPr>
          <w:t xml:space="preserve">https://doi.org/10.1186/1752-0509-7-74</w:t>
        </w:r>
      </w:hyperlink>
      <w:r>
        <w:t xml:space="preserve">.</w:t>
      </w:r>
    </w:p>
    <w:bookmarkEnd w:id="100"/>
    <w:bookmarkStart w:id="102" w:name="Xe483ca0a75c840dc95003a4711e8019ec2d00da"/>
    <w:p>
      <w:pPr>
        <w:pStyle w:val="Bibliography"/>
      </w:pPr>
      <w:r>
        <w:t xml:space="preserve">Goldberg, Robert N., Yadu B. Tewari, and Talapady N. Bhat. 2004.</w:t>
      </w:r>
      <w:r>
        <w:t xml:space="preserve"> </w:t>
      </w:r>
      <w:r>
        <w:t xml:space="preserve">“Thermodynamics of Enzyme-Catalyzed Reactions</w:t>
      </w:r>
      <w:r>
        <w:t xml:space="preserve">a Database for Quantitative Biochemistry.”</w:t>
      </w:r>
      <w:r>
        <w:t xml:space="preserve"> </w:t>
      </w:r>
      <w:r>
        <w:rPr>
          <w:iCs/>
          <w:i/>
        </w:rPr>
        <w:t xml:space="preserve">Bioinformatics</w:t>
      </w:r>
      <w:r>
        <w:t xml:space="preserve"> </w:t>
      </w:r>
      <w:r>
        <w:t xml:space="preserve">20 (16): 2874–77.</w:t>
      </w:r>
      <w:r>
        <w:t xml:space="preserve"> </w:t>
      </w:r>
      <w:hyperlink r:id="rId101">
        <w:r>
          <w:rPr>
            <w:rStyle w:val="Hyperlink"/>
          </w:rPr>
          <w:t xml:space="preserve">https://doi.org/10.1093/bioinformatics/bth314</w:t>
        </w:r>
      </w:hyperlink>
      <w:r>
        <w:t xml:space="preserve">.</w:t>
      </w:r>
    </w:p>
    <w:bookmarkEnd w:id="102"/>
    <w:bookmarkStart w:id="104" w:name="ref-noorConsistentEstimationGibbs2013"/>
    <w:p>
      <w:pPr>
        <w:pStyle w:val="Bibliography"/>
      </w:pPr>
      <w:r>
        <w:t xml:space="preserve">Noor, Elad, Hulda S. Haraldsdóttir, Ron Milo, and Ronan M. T. Fleming. 2013.</w:t>
      </w:r>
      <w:r>
        <w:t xml:space="preserve"> </w:t>
      </w:r>
      <w:r>
        <w:t xml:space="preserve">“Consistent</w:t>
      </w:r>
      <w:r>
        <w:t xml:space="preserve"> </w:t>
      </w:r>
      <w:r>
        <w:t xml:space="preserve">Estimation</w:t>
      </w:r>
      <w:r>
        <w:t xml:space="preserve"> </w:t>
      </w:r>
      <w:r>
        <w:t xml:space="preserve">of</w:t>
      </w:r>
      <w:r>
        <w:t xml:space="preserve"> </w:t>
      </w:r>
      <w:r>
        <w:t xml:space="preserve">Gibbs Energy Using Component Contributions</w:t>
      </w:r>
      <w:r>
        <w:t xml:space="preserve">.”</w:t>
      </w:r>
      <w:r>
        <w:t xml:space="preserve"> </w:t>
      </w:r>
      <w:r>
        <w:t xml:space="preserve">Edited by Daniel A. Beard.</w:t>
      </w:r>
      <w:r>
        <w:t xml:space="preserve"> </w:t>
      </w:r>
      <w:r>
        <w:rPr>
          <w:iCs/>
          <w:i/>
        </w:rPr>
        <w:t xml:space="preserve">PLoS Computational Biology</w:t>
      </w:r>
      <w:r>
        <w:t xml:space="preserve"> </w:t>
      </w:r>
      <w:r>
        <w:t xml:space="preserve">9 (7): e1003098.</w:t>
      </w:r>
      <w:r>
        <w:t xml:space="preserve"> </w:t>
      </w:r>
      <w:hyperlink r:id="rId103">
        <w:r>
          <w:rPr>
            <w:rStyle w:val="Hyperlink"/>
          </w:rPr>
          <w:t xml:space="preserve">https://doi.org/10.1371/journal.pcbi.1003098</w:t>
        </w:r>
      </w:hyperlink>
      <w:r>
        <w:t xml:space="preserve">.</w:t>
      </w:r>
    </w:p>
    <w:bookmarkEnd w:id="104"/>
    <w:bookmarkStart w:id="106" w:name="ref-orthReconstructionUseMicrobial2010"/>
    <w:p>
      <w:pPr>
        <w:pStyle w:val="Bibliography"/>
      </w:pPr>
      <w:r>
        <w:t xml:space="preserve">Orth, Jeffrey D., R. M. T. Fleming, and Bernhard Ø. Palsson. 2010.</w:t>
      </w:r>
      <w:r>
        <w:t xml:space="preserve"> </w:t>
      </w:r>
      <w:r>
        <w:t xml:space="preserve">“Reconstruction and</w:t>
      </w:r>
      <w:r>
        <w:t xml:space="preserve"> </w:t>
      </w:r>
      <w:r>
        <w:t xml:space="preserve">Use</w:t>
      </w:r>
      <w:r>
        <w:t xml:space="preserve"> </w:t>
      </w:r>
      <w:r>
        <w:t xml:space="preserve">of</w:t>
      </w:r>
      <w:r>
        <w:t xml:space="preserve"> </w:t>
      </w:r>
      <w:r>
        <w:t xml:space="preserve">Microbial Metabolic Networks</w:t>
      </w:r>
      <w:r>
        <w:t xml:space="preserve">: The</w:t>
      </w:r>
      <w:r>
        <w:t xml:space="preserve"> </w:t>
      </w:r>
      <w:r>
        <w:t xml:space="preserve">Core Escherichia</w:t>
      </w:r>
      <w:r>
        <w:t xml:space="preserve"> </w:t>
      </w:r>
      <w:r>
        <w:t xml:space="preserve">Coli</w:t>
      </w:r>
      <w:r>
        <w:t xml:space="preserve"> </w:t>
      </w:r>
      <w:r>
        <w:t xml:space="preserve">Metabolic Model</w:t>
      </w:r>
      <w:r>
        <w:t xml:space="preserve"> </w:t>
      </w:r>
      <w:r>
        <w:t xml:space="preserve">as an</w:t>
      </w:r>
      <w:r>
        <w:t xml:space="preserve"> </w:t>
      </w:r>
      <w:r>
        <w:t xml:space="preserve">Educational Guide</w:t>
      </w:r>
      <w:r>
        <w:t xml:space="preserve">.”</w:t>
      </w:r>
      <w:r>
        <w:t xml:space="preserve"> </w:t>
      </w:r>
      <w:r>
        <w:rPr>
          <w:iCs/>
          <w:i/>
        </w:rPr>
        <w:t xml:space="preserve">EcoSal Plus</w:t>
      </w:r>
      <w:r>
        <w:t xml:space="preserve"> </w:t>
      </w:r>
      <w:r>
        <w:t xml:space="preserve">4 (1): 10.1128/ecosalplus.10.2.1.</w:t>
      </w:r>
      <w:r>
        <w:t xml:space="preserve"> </w:t>
      </w:r>
      <w:hyperlink r:id="rId105">
        <w:r>
          <w:rPr>
            <w:rStyle w:val="Hyperlink"/>
          </w:rPr>
          <w:t xml:space="preserve">https://doi.org/10.1128/ecosalplus.10.2.1</w:t>
        </w:r>
      </w:hyperlink>
      <w:r>
        <w:t xml:space="preserve">.</w:t>
      </w:r>
    </w:p>
    <w:bookmarkEnd w:id="106"/>
    <w:bookmarkStart w:id="108"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07">
        <w:r>
          <w:rPr>
            <w:rStyle w:val="Hyperlink"/>
          </w:rPr>
          <w:t xml:space="preserve">https://doi.org/10.1214/20-BA1221</w:t>
        </w:r>
      </w:hyperlink>
      <w:r>
        <w:t xml:space="preserve">.</w:t>
      </w:r>
    </w:p>
    <w:bookmarkEnd w:id="108"/>
    <w:bookmarkEnd w:id="109"/>
    <w:bookmarkEnd w:id="110"/>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svgz" /><Relationship Type="http://schemas.openxmlformats.org/officeDocument/2006/relationships/image" Id="rId32" Target="media/rId32.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64" Target="media/rId64.svgz" /><Relationship Type="http://schemas.openxmlformats.org/officeDocument/2006/relationships/image" Id="rId47" Target="media/rId47.svgz" /><Relationship Type="http://schemas.openxmlformats.org/officeDocument/2006/relationships/image" Id="rId69" Target="media/rId69.svgz" /><Relationship Type="http://schemas.openxmlformats.org/officeDocument/2006/relationships/image" Id="rId84" Target="media/rId84.svgz" /><Relationship Type="http://schemas.openxmlformats.org/officeDocument/2006/relationships/image" Id="rId79" Target="media/rId79.svgz" /><Relationship Type="http://schemas.openxmlformats.org/officeDocument/2006/relationships/image" Id="rId74" Target="media/rId74.png" /><Relationship Type="http://schemas.openxmlformats.org/officeDocument/2006/relationships/image" Id="rId58" Target="media/rId58.svgz" /><Relationship Type="http://schemas.openxmlformats.org/officeDocument/2006/relationships/image" Id="rId52" Target="media/rId52.svgz" /><Relationship Type="http://schemas.openxmlformats.org/officeDocument/2006/relationships/hyperlink" Id="rId93" Target="http://arxiv.org/abs/2103.00621" TargetMode="External" /><Relationship Type="http://schemas.openxmlformats.org/officeDocument/2006/relationships/hyperlink" Id="rId97" Target="https://doi.org/10.1016/j.tibs.2018.09.009" TargetMode="External" /><Relationship Type="http://schemas.openxmlformats.org/officeDocument/2006/relationships/hyperlink" Id="rId101" Target="https://doi.org/10.1093/bioinformatics/bth314" TargetMode="External" /><Relationship Type="http://schemas.openxmlformats.org/officeDocument/2006/relationships/hyperlink" Id="rId105" Target="https://doi.org/10.1128/ecosalplus.10.2.1" TargetMode="External" /><Relationship Type="http://schemas.openxmlformats.org/officeDocument/2006/relationships/hyperlink" Id="rId99" Target="https://doi.org/10.1186/1752-0509-7-74" TargetMode="External" /><Relationship Type="http://schemas.openxmlformats.org/officeDocument/2006/relationships/hyperlink" Id="rId107" Target="https://doi.org/10.1214/20-BA1221" TargetMode="External" /><Relationship Type="http://schemas.openxmlformats.org/officeDocument/2006/relationships/hyperlink" Id="rId103" Target="https://doi.org/10.1371/journal.pcbi.1003098" TargetMode="External" /><Relationship Type="http://schemas.openxmlformats.org/officeDocument/2006/relationships/hyperlink" Id="rId95" Target="https://doi.org/10.18637/jss.v076.i01" TargetMode="External" /><Relationship Type="http://schemas.openxmlformats.org/officeDocument/2006/relationships/hyperlink" Id="rId20" Target="https://github.com/biosustain/dgfreg" TargetMode="External" /><Relationship Type="http://schemas.openxmlformats.org/officeDocument/2006/relationships/hyperlink" Id="rId38" Target="https://github.com/stan-dev/docs/blob/6b68270529344a30821ea20ae4ccebd4c1c60362/src/stan-users-guide/regression.Rmd#L149" TargetMode="External" /></Relationships>
</file>

<file path=word/_rels/footnotes.xml.rels><?xml version="1.0" encoding="UTF-8"?><Relationships xmlns="http://schemas.openxmlformats.org/package/2006/relationships"><Relationship Type="http://schemas.openxmlformats.org/officeDocument/2006/relationships/hyperlink" Id="rId93" Target="http://arxiv.org/abs/2103.00621" TargetMode="External" /><Relationship Type="http://schemas.openxmlformats.org/officeDocument/2006/relationships/hyperlink" Id="rId97" Target="https://doi.org/10.1016/j.tibs.2018.09.009" TargetMode="External" /><Relationship Type="http://schemas.openxmlformats.org/officeDocument/2006/relationships/hyperlink" Id="rId101" Target="https://doi.org/10.1093/bioinformatics/bth314" TargetMode="External" /><Relationship Type="http://schemas.openxmlformats.org/officeDocument/2006/relationships/hyperlink" Id="rId105" Target="https://doi.org/10.1128/ecosalplus.10.2.1" TargetMode="External" /><Relationship Type="http://schemas.openxmlformats.org/officeDocument/2006/relationships/hyperlink" Id="rId99" Target="https://doi.org/10.1186/1752-0509-7-74" TargetMode="External" /><Relationship Type="http://schemas.openxmlformats.org/officeDocument/2006/relationships/hyperlink" Id="rId107" Target="https://doi.org/10.1214/20-BA1221" TargetMode="External" /><Relationship Type="http://schemas.openxmlformats.org/officeDocument/2006/relationships/hyperlink" Id="rId103" Target="https://doi.org/10.1371/journal.pcbi.1003098" TargetMode="External" /><Relationship Type="http://schemas.openxmlformats.org/officeDocument/2006/relationships/hyperlink" Id="rId95" Target="https://doi.org/10.18637/jss.v076.i01" TargetMode="External" /><Relationship Type="http://schemas.openxmlformats.org/officeDocument/2006/relationships/hyperlink" Id="rId20" Target="https://github.com/biosustain/dgfreg" TargetMode="External" /><Relationship Type="http://schemas.openxmlformats.org/officeDocument/2006/relationships/hyperlink" Id="rId38" Target="https://github.com/stan-dev/docs/blob/6b68270529344a30821ea20ae4ccebd4c1c60362/src/stan-users-guide/regression.Rmd#L14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Bayesian regression modelling predicts biochemical rection energies and facilitates quantitative modelling of cell metabolism</dc:title>
  <dc:creator>Teddy Groves; Jason Jooste; Lars Keld Nielsen</dc:creator>
  <cp:keywords/>
  <dcterms:created xsi:type="dcterms:W3CDTF">2023-08-11T15:35:05Z</dcterms:created>
  <dcterms:modified xsi:type="dcterms:W3CDTF">2023-08-11T15:35:05Z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thermodynamic effect on a biochemical reaction depends principally on the standard-condition Gibbs energy changes of the compounds that the reaction consumes and produces. The state of the art method for estimating these parameters involves a statistical model called group contribution. We highlight a problem with the group contribution model that limits its usefulness in downstream modelling applications: the group contribution model typically produces a rank-deficient uncertainty covariance matrix. We present a new model that avoids this issue, generates more accurate estimates than the current state of the art and has unlimited reaction coverage. Our model includes parameters for both chemical groups and compounds, using a hierarchical component to balance information pertaining to these two levels, and addresses the issue of stoichiometric collinearity using QR decomposition. We provide a Gaussian approximation to our model’s posterior distribution that can be used for downstream modelling. Our results can be replicated straightforwardly by following the instructions at https://github.com/biosustain/dgfreg.</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resource_path">
    <vt:lpwstr/>
  </property>
  <property fmtid="{D5CDD505-2E9C-101B-9397-08002B2CF9AE}" pid="14" name="toc-title">
    <vt:lpwstr>Table of contents</vt:lpwstr>
  </property>
</Properties>
</file>