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A5" w:rsidRPr="00D03E69" w:rsidRDefault="006826A5" w:rsidP="006826A5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D03E69">
        <w:rPr>
          <w:rFonts w:ascii="Times New Roman" w:hAnsi="Times New Roman"/>
          <w:b/>
          <w:sz w:val="24"/>
          <w:szCs w:val="24"/>
        </w:rPr>
        <w:t>Supplementary Data</w:t>
      </w:r>
      <w:r w:rsidR="001D48EA">
        <w:rPr>
          <w:rFonts w:ascii="Times New Roman" w:hAnsi="Times New Roman"/>
          <w:b/>
          <w:sz w:val="24"/>
          <w:szCs w:val="24"/>
        </w:rPr>
        <w:t xml:space="preserve"> </w:t>
      </w:r>
    </w:p>
    <w:p w:rsidR="006826A5" w:rsidRPr="006826A5" w:rsidRDefault="006826A5" w:rsidP="006826A5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26A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6826A5">
        <w:rPr>
          <w:rFonts w:ascii="Times New Roman" w:hAnsi="Times New Roman" w:cs="Times New Roman"/>
          <w:sz w:val="24"/>
          <w:szCs w:val="24"/>
        </w:rPr>
        <w:t xml:space="preserve">C-assisted metabolic flux analysis to investigate heterotrophic and mixotrophic metabolism in </w:t>
      </w:r>
      <w:r w:rsidRPr="006826A5">
        <w:rPr>
          <w:rFonts w:ascii="Times New Roman" w:hAnsi="Times New Roman" w:cs="Times New Roman"/>
          <w:i/>
          <w:sz w:val="24"/>
          <w:szCs w:val="24"/>
        </w:rPr>
        <w:t>Cupriavidus necator</w:t>
      </w:r>
      <w:r w:rsidRPr="006826A5">
        <w:rPr>
          <w:rFonts w:ascii="Times New Roman" w:hAnsi="Times New Roman" w:cs="Times New Roman"/>
          <w:sz w:val="24"/>
          <w:szCs w:val="24"/>
        </w:rPr>
        <w:t xml:space="preserve"> H16</w:t>
      </w:r>
    </w:p>
    <w:p w:rsidR="006826A5" w:rsidRDefault="006826A5" w:rsidP="006826A5">
      <w:pPr>
        <w:spacing w:line="480" w:lineRule="auto"/>
        <w:rPr>
          <w:rFonts w:ascii="Times New Roman" w:hAnsi="Times New Roman"/>
          <w:sz w:val="24"/>
          <w:szCs w:val="24"/>
        </w:rPr>
      </w:pPr>
      <w:r w:rsidRPr="00D03E69">
        <w:rPr>
          <w:rFonts w:ascii="Times New Roman" w:hAnsi="Times New Roman"/>
          <w:sz w:val="24"/>
          <w:szCs w:val="24"/>
        </w:rPr>
        <w:t>Swathi Alagesan, Nigel</w:t>
      </w:r>
      <w:r>
        <w:rPr>
          <w:rFonts w:ascii="Times New Roman" w:hAnsi="Times New Roman"/>
          <w:sz w:val="24"/>
          <w:szCs w:val="24"/>
        </w:rPr>
        <w:t xml:space="preserve"> P. Minton</w:t>
      </w:r>
      <w:r w:rsidR="00227859">
        <w:rPr>
          <w:rFonts w:ascii="Times New Roman" w:hAnsi="Times New Roman"/>
          <w:sz w:val="24"/>
          <w:szCs w:val="24"/>
        </w:rPr>
        <w:t>,</w:t>
      </w:r>
      <w:r w:rsidR="00227859" w:rsidRPr="00227859">
        <w:rPr>
          <w:rFonts w:ascii="Times New Roman" w:hAnsi="Times New Roman"/>
          <w:sz w:val="24"/>
          <w:szCs w:val="24"/>
        </w:rPr>
        <w:t xml:space="preserve"> </w:t>
      </w:r>
      <w:r w:rsidR="00227859" w:rsidRPr="00D03E69">
        <w:rPr>
          <w:rFonts w:ascii="Times New Roman" w:hAnsi="Times New Roman"/>
          <w:sz w:val="24"/>
          <w:szCs w:val="24"/>
        </w:rPr>
        <w:t>Naglis Malys</w:t>
      </w:r>
      <w:r>
        <w:rPr>
          <w:rFonts w:ascii="Times New Roman" w:hAnsi="Times New Roman"/>
          <w:sz w:val="24"/>
          <w:szCs w:val="24"/>
        </w:rPr>
        <w:t>*</w:t>
      </w:r>
    </w:p>
    <w:p w:rsidR="006826A5" w:rsidRDefault="006826A5" w:rsidP="006826A5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6826A5" w:rsidRDefault="006826A5" w:rsidP="006826A5">
      <w:pPr>
        <w:spacing w:line="480" w:lineRule="auto"/>
        <w:rPr>
          <w:rFonts w:ascii="Times New Roman" w:hAnsi="Times New Roman"/>
          <w:sz w:val="24"/>
          <w:szCs w:val="24"/>
        </w:rPr>
      </w:pPr>
      <w:r w:rsidRPr="00125FF9">
        <w:rPr>
          <w:rFonts w:ascii="Times New Roman" w:hAnsi="Times New Roman"/>
          <w:sz w:val="24"/>
          <w:szCs w:val="24"/>
        </w:rPr>
        <w:t xml:space="preserve">BBSRC/EPSRC Synthetic Biology Research Centre (SBRC), School of Life Sciences, Centre for Biomolecular Sciences, University Park,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125FF9">
        <w:rPr>
          <w:rFonts w:ascii="Times New Roman" w:hAnsi="Times New Roman"/>
          <w:sz w:val="24"/>
          <w:szCs w:val="24"/>
        </w:rPr>
        <w:t xml:space="preserve">University of Nottingham, Nottingham, NG7 2RD, </w:t>
      </w:r>
      <w:r>
        <w:rPr>
          <w:rFonts w:ascii="Times New Roman" w:hAnsi="Times New Roman"/>
          <w:sz w:val="24"/>
          <w:szCs w:val="24"/>
        </w:rPr>
        <w:t>United Kingdom</w:t>
      </w:r>
    </w:p>
    <w:p w:rsidR="006826A5" w:rsidRDefault="006826A5" w:rsidP="006826A5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6826A5" w:rsidRPr="003B214E" w:rsidRDefault="006826A5" w:rsidP="006826A5">
      <w:pPr>
        <w:spacing w:line="480" w:lineRule="auto"/>
        <w:rPr>
          <w:rFonts w:ascii="Times New Roman" w:hAnsi="Times New Roman"/>
        </w:rPr>
      </w:pPr>
      <w:r w:rsidRPr="003B214E">
        <w:rPr>
          <w:rFonts w:ascii="Times New Roman" w:eastAsia="Times New Roman" w:hAnsi="Times New Roman"/>
          <w:sz w:val="24"/>
          <w:szCs w:val="24"/>
        </w:rPr>
        <w:t xml:space="preserve">*Author to whom correspondence should be addressed; </w:t>
      </w:r>
      <w:r>
        <w:rPr>
          <w:rFonts w:ascii="Times New Roman" w:eastAsia="Times New Roman" w:hAnsi="Times New Roman"/>
          <w:sz w:val="24"/>
          <w:szCs w:val="24"/>
        </w:rPr>
        <w:t>e-m</w:t>
      </w:r>
      <w:r w:rsidRPr="003B214E">
        <w:rPr>
          <w:rFonts w:ascii="Times New Roman" w:eastAsia="Times New Roman" w:hAnsi="Times New Roman"/>
          <w:sz w:val="24"/>
          <w:szCs w:val="24"/>
        </w:rPr>
        <w:t xml:space="preserve">ail: </w:t>
      </w:r>
      <w:r w:rsidR="00227859">
        <w:rPr>
          <w:rFonts w:ascii="Times New Roman" w:eastAsia="Times New Roman" w:hAnsi="Times New Roman"/>
          <w:sz w:val="24"/>
          <w:szCs w:val="24"/>
        </w:rPr>
        <w:t>naglis.malys</w:t>
      </w:r>
      <w:r w:rsidRPr="003B214E">
        <w:rPr>
          <w:rFonts w:ascii="Times New Roman" w:eastAsia="Times New Roman" w:hAnsi="Times New Roman"/>
          <w:sz w:val="24"/>
          <w:szCs w:val="24"/>
        </w:rPr>
        <w:t>@nottingham.ac.uk</w:t>
      </w:r>
    </w:p>
    <w:p w:rsidR="006826A5" w:rsidRDefault="006826A5" w:rsidP="006826A5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6826A5" w:rsidRDefault="006826A5">
      <w:pPr>
        <w:rPr>
          <w:rFonts w:ascii="Times New Roman" w:hAnsi="Times New Roman"/>
          <w:noProof/>
          <w:sz w:val="24"/>
          <w:szCs w:val="24"/>
          <w:lang w:eastAsia="en-GB"/>
        </w:rPr>
      </w:pPr>
    </w:p>
    <w:p w:rsidR="006826A5" w:rsidRDefault="006826A5">
      <w:pPr>
        <w:rPr>
          <w:rFonts w:ascii="Times New Roman" w:hAnsi="Times New Roman"/>
          <w:noProof/>
          <w:sz w:val="24"/>
          <w:szCs w:val="24"/>
          <w:lang w:eastAsia="en-GB"/>
        </w:rPr>
      </w:pPr>
    </w:p>
    <w:p w:rsidR="006826A5" w:rsidRDefault="0022279D">
      <w:pPr>
        <w:rPr>
          <w:rFonts w:ascii="Times New Roman" w:hAnsi="Times New Roman"/>
          <w:noProof/>
          <w:sz w:val="24"/>
          <w:szCs w:val="24"/>
          <w:lang w:eastAsia="en-GB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27700" cy="5305425"/>
            <wp:effectExtent l="19050" t="0" r="6350" b="0"/>
            <wp:docPr id="1" name="Picture 2" descr="H:\MFA papers\Figures\fig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FA papers\Figures\fig1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D5" w:rsidRDefault="006562B3" w:rsidP="008A49D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562B3">
        <w:rPr>
          <w:rFonts w:ascii="Times New Roman" w:hAnsi="Times New Roman"/>
          <w:b/>
          <w:noProof/>
          <w:sz w:val="24"/>
          <w:szCs w:val="24"/>
          <w:lang w:eastAsia="en-GB"/>
        </w:rPr>
        <w:lastRenderedPageBreak/>
        <w:t xml:space="preserve">Supplementary </w:t>
      </w:r>
      <w:r w:rsidR="00D31E9E" w:rsidRPr="006562B3">
        <w:rPr>
          <w:rFonts w:ascii="Times New Roman" w:hAnsi="Times New Roman"/>
          <w:b/>
          <w:sz w:val="24"/>
          <w:szCs w:val="24"/>
        </w:rPr>
        <w:t xml:space="preserve">Figure </w:t>
      </w:r>
      <w:r w:rsidR="00FD0A3E" w:rsidRPr="006562B3">
        <w:rPr>
          <w:rFonts w:ascii="Times New Roman" w:hAnsi="Times New Roman"/>
          <w:b/>
          <w:sz w:val="24"/>
          <w:szCs w:val="24"/>
        </w:rPr>
        <w:t>S</w:t>
      </w:r>
      <w:r w:rsidR="00D31E9E" w:rsidRPr="006562B3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.</w:t>
      </w:r>
      <w:r w:rsidR="00B11229">
        <w:rPr>
          <w:rFonts w:ascii="Times New Roman" w:hAnsi="Times New Roman"/>
          <w:sz w:val="24"/>
          <w:szCs w:val="24"/>
        </w:rPr>
        <w:t xml:space="preserve"> </w:t>
      </w:r>
      <w:r w:rsidR="00B11229" w:rsidRPr="0022279D">
        <w:rPr>
          <w:rFonts w:ascii="Times New Roman" w:hAnsi="Times New Roman"/>
          <w:sz w:val="24"/>
          <w:szCs w:val="24"/>
        </w:rPr>
        <w:t xml:space="preserve">Corrected MID values for [M-85] fragment ions of TBDMCS-derivatized amino acids </w:t>
      </w:r>
      <w:r w:rsidR="008A49D5" w:rsidRPr="0022279D">
        <w:rPr>
          <w:rFonts w:ascii="Times New Roman" w:hAnsi="Times New Roman"/>
          <w:sz w:val="24"/>
          <w:szCs w:val="24"/>
        </w:rPr>
        <w:t>in the isotopic steady state under heterotrophic growth with D-[1-</w:t>
      </w:r>
      <w:r w:rsidR="008A49D5" w:rsidRPr="0022279D">
        <w:rPr>
          <w:rFonts w:ascii="Times New Roman" w:hAnsi="Times New Roman"/>
          <w:sz w:val="24"/>
          <w:szCs w:val="24"/>
          <w:vertAlign w:val="superscript"/>
        </w:rPr>
        <w:t>13</w:t>
      </w:r>
      <w:r w:rsidR="008A49D5" w:rsidRPr="0022279D">
        <w:rPr>
          <w:rFonts w:ascii="Times New Roman" w:hAnsi="Times New Roman"/>
          <w:sz w:val="24"/>
          <w:szCs w:val="24"/>
        </w:rPr>
        <w:t>C]fructose (black bars) or [1,2-</w:t>
      </w:r>
      <w:r w:rsidR="008A49D5" w:rsidRPr="0022279D">
        <w:rPr>
          <w:rFonts w:ascii="Times New Roman" w:hAnsi="Times New Roman"/>
          <w:sz w:val="24"/>
          <w:szCs w:val="24"/>
          <w:vertAlign w:val="superscript"/>
        </w:rPr>
        <w:t>13</w:t>
      </w:r>
      <w:r w:rsidR="008A49D5" w:rsidRPr="0022279D">
        <w:rPr>
          <w:rFonts w:ascii="Times New Roman" w:hAnsi="Times New Roman"/>
          <w:sz w:val="24"/>
          <w:szCs w:val="24"/>
        </w:rPr>
        <w:t>C]glycerol (red bars) and under mixotrophic growth with [1,2-</w:t>
      </w:r>
      <w:r w:rsidR="008A49D5" w:rsidRPr="0022279D">
        <w:rPr>
          <w:rFonts w:ascii="Times New Roman" w:hAnsi="Times New Roman"/>
          <w:sz w:val="24"/>
          <w:szCs w:val="24"/>
          <w:vertAlign w:val="superscript"/>
        </w:rPr>
        <w:t>13</w:t>
      </w:r>
      <w:r w:rsidR="008A49D5" w:rsidRPr="0022279D">
        <w:rPr>
          <w:rFonts w:ascii="Times New Roman" w:hAnsi="Times New Roman"/>
          <w:sz w:val="24"/>
          <w:szCs w:val="24"/>
        </w:rPr>
        <w:t>C]glycerol and unlabelled CO</w:t>
      </w:r>
      <w:r w:rsidR="008A49D5" w:rsidRPr="0022279D">
        <w:rPr>
          <w:rFonts w:ascii="Times New Roman" w:hAnsi="Times New Roman"/>
          <w:sz w:val="24"/>
          <w:szCs w:val="24"/>
          <w:vertAlign w:val="subscript"/>
        </w:rPr>
        <w:t>2</w:t>
      </w:r>
      <w:r w:rsidR="008A49D5" w:rsidRPr="0022279D">
        <w:rPr>
          <w:rFonts w:ascii="Times New Roman" w:hAnsi="Times New Roman"/>
          <w:sz w:val="24"/>
          <w:szCs w:val="24"/>
        </w:rPr>
        <w:t xml:space="preserve"> (blue bars). The y-axis represent the number of </w:t>
      </w:r>
      <w:r w:rsidR="008A49D5" w:rsidRPr="0022279D">
        <w:rPr>
          <w:rFonts w:ascii="Times New Roman" w:hAnsi="Times New Roman"/>
          <w:sz w:val="24"/>
          <w:szCs w:val="24"/>
          <w:vertAlign w:val="superscript"/>
        </w:rPr>
        <w:t>13</w:t>
      </w:r>
      <w:r w:rsidR="008A49D5" w:rsidRPr="0022279D">
        <w:rPr>
          <w:rFonts w:ascii="Times New Roman" w:hAnsi="Times New Roman"/>
          <w:sz w:val="24"/>
          <w:szCs w:val="24"/>
        </w:rPr>
        <w:t>C atoms incorporated into the amino acid molecule, increasing the m/z value by M+1, M+2 and so on. The MID of alanine, valine, serine, glycine, glutamate, proline, tyrosine, phenylalanine, aspartate, threonine, methionine, lysine, and histidine is mapped to their respective precursor molecules pyruvate (PYR), 3-phosphoglycerate (3-PG), alpha-ketoglutarate (AKG), erythrose-4phosphate (E4P), phosphoenolpyruvate (PEP), oxaloacetate (OAA) and ribose-5-phosphate (R5P).</w:t>
      </w:r>
      <w:r w:rsidR="008A49D5">
        <w:rPr>
          <w:rFonts w:ascii="Times New Roman" w:hAnsi="Times New Roman"/>
          <w:sz w:val="24"/>
          <w:szCs w:val="24"/>
        </w:rPr>
        <w:t xml:space="preserve"> </w:t>
      </w:r>
    </w:p>
    <w:p w:rsidR="006826A5" w:rsidRDefault="006826A5">
      <w:pPr>
        <w:rPr>
          <w:rFonts w:ascii="Times New Roman" w:hAnsi="Times New Roman"/>
          <w:sz w:val="24"/>
          <w:szCs w:val="24"/>
        </w:rPr>
      </w:pPr>
    </w:p>
    <w:p w:rsidR="006826A5" w:rsidRDefault="00D31E9E" w:rsidP="006826A5">
      <w:r>
        <w:rPr>
          <w:rFonts w:ascii="Times New Roman" w:hAnsi="Times New Roman"/>
          <w:sz w:val="24"/>
          <w:szCs w:val="24"/>
        </w:rPr>
        <w:br w:type="page"/>
      </w:r>
    </w:p>
    <w:p w:rsidR="006826A5" w:rsidRDefault="0022279D" w:rsidP="006826A5">
      <w:r>
        <w:rPr>
          <w:noProof/>
          <w:lang w:val="en-IN" w:eastAsia="en-IN"/>
        </w:rPr>
        <w:drawing>
          <wp:inline distT="0" distB="0" distL="0" distR="0">
            <wp:extent cx="5732780" cy="1552575"/>
            <wp:effectExtent l="19050" t="0" r="1270" b="0"/>
            <wp:docPr id="2" name="Picture 1" descr="H:\MFA papers\Figures\supp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FA papers\Figures\suppfig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6A5" w:rsidRPr="006562B3" w:rsidRDefault="006826A5" w:rsidP="008A49D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562B3">
        <w:rPr>
          <w:rFonts w:ascii="Times New Roman" w:hAnsi="Times New Roman"/>
          <w:b/>
          <w:sz w:val="24"/>
          <w:szCs w:val="24"/>
        </w:rPr>
        <w:t>Supplementary Figure S2</w:t>
      </w:r>
      <w:r>
        <w:rPr>
          <w:rFonts w:ascii="Times New Roman" w:hAnsi="Times New Roman"/>
          <w:sz w:val="24"/>
          <w:szCs w:val="24"/>
        </w:rPr>
        <w:t>.</w:t>
      </w:r>
      <w:r w:rsidRPr="006562B3">
        <w:rPr>
          <w:rFonts w:ascii="Times New Roman" w:hAnsi="Times New Roman"/>
          <w:sz w:val="24"/>
          <w:szCs w:val="24"/>
        </w:rPr>
        <w:t xml:space="preserve"> </w:t>
      </w:r>
      <w:r w:rsidR="00B11229" w:rsidRPr="0022279D">
        <w:rPr>
          <w:rFonts w:ascii="Times New Roman" w:hAnsi="Times New Roman"/>
          <w:sz w:val="24"/>
          <w:szCs w:val="24"/>
        </w:rPr>
        <w:t>Graph showing the c</w:t>
      </w:r>
      <w:r w:rsidRPr="0022279D">
        <w:rPr>
          <w:rFonts w:ascii="Times New Roman" w:hAnsi="Times New Roman"/>
          <w:sz w:val="24"/>
          <w:szCs w:val="24"/>
        </w:rPr>
        <w:t xml:space="preserve">orrelation between </w:t>
      </w:r>
      <w:r w:rsidR="00B11229" w:rsidRPr="0022279D">
        <w:rPr>
          <w:rFonts w:ascii="Times New Roman" w:hAnsi="Times New Roman"/>
          <w:sz w:val="24"/>
          <w:szCs w:val="24"/>
        </w:rPr>
        <w:t xml:space="preserve">experimentally </w:t>
      </w:r>
      <w:r w:rsidRPr="0022279D">
        <w:rPr>
          <w:rFonts w:ascii="Times New Roman" w:hAnsi="Times New Roman"/>
          <w:sz w:val="24"/>
          <w:szCs w:val="24"/>
        </w:rPr>
        <w:t xml:space="preserve">measured amino acid MIDs </w:t>
      </w:r>
      <w:r w:rsidR="00B11229" w:rsidRPr="0022279D">
        <w:rPr>
          <w:rFonts w:ascii="Times New Roman" w:hAnsi="Times New Roman"/>
          <w:sz w:val="24"/>
          <w:szCs w:val="24"/>
        </w:rPr>
        <w:t>and MID values predicted using</w:t>
      </w:r>
      <w:r w:rsidRPr="0022279D">
        <w:rPr>
          <w:rFonts w:ascii="Times New Roman" w:hAnsi="Times New Roman"/>
          <w:sz w:val="24"/>
          <w:szCs w:val="24"/>
        </w:rPr>
        <w:t xml:space="preserve"> </w:t>
      </w:r>
      <w:r w:rsidR="00B11229" w:rsidRPr="0022279D">
        <w:rPr>
          <w:rFonts w:ascii="Times New Roman" w:hAnsi="Times New Roman"/>
          <w:sz w:val="24"/>
          <w:szCs w:val="24"/>
        </w:rPr>
        <w:t>OpenFLUX</w:t>
      </w:r>
      <w:r w:rsidRPr="0022279D">
        <w:rPr>
          <w:rFonts w:ascii="Times New Roman" w:hAnsi="Times New Roman"/>
          <w:sz w:val="24"/>
          <w:szCs w:val="24"/>
        </w:rPr>
        <w:t xml:space="preserve">. </w:t>
      </w:r>
      <w:r w:rsidR="00B11229" w:rsidRPr="0022279D">
        <w:rPr>
          <w:rFonts w:ascii="Times New Roman" w:hAnsi="Times New Roman"/>
          <w:sz w:val="24"/>
          <w:szCs w:val="24"/>
        </w:rPr>
        <w:t>The minimal residual error of the OpenFLUX prediction was reduced by removing outlier MIDs obtained from the correlation.</w:t>
      </w:r>
      <w:r w:rsidRPr="006562B3">
        <w:rPr>
          <w:rFonts w:ascii="Times New Roman" w:hAnsi="Times New Roman"/>
          <w:sz w:val="24"/>
          <w:szCs w:val="24"/>
        </w:rPr>
        <w:t xml:space="preserve"> </w:t>
      </w:r>
    </w:p>
    <w:p w:rsidR="00385D49" w:rsidRPr="00385D49" w:rsidRDefault="006826A5">
      <w:pPr>
        <w:rPr>
          <w:rFonts w:ascii="Times New Roman" w:hAnsi="Times New Roman"/>
          <w:sz w:val="24"/>
          <w:szCs w:val="24"/>
        </w:rPr>
      </w:pPr>
      <w:r>
        <w:br w:type="page"/>
      </w:r>
      <w:r w:rsidR="006562B3" w:rsidRPr="006562B3">
        <w:rPr>
          <w:rFonts w:ascii="Times New Roman" w:hAnsi="Times New Roman"/>
          <w:b/>
          <w:sz w:val="24"/>
          <w:szCs w:val="24"/>
        </w:rPr>
        <w:lastRenderedPageBreak/>
        <w:t xml:space="preserve">Supplementary </w:t>
      </w:r>
      <w:r w:rsidR="00FD0A3E" w:rsidRPr="006562B3">
        <w:rPr>
          <w:rFonts w:ascii="Times New Roman" w:hAnsi="Times New Roman"/>
          <w:b/>
          <w:sz w:val="24"/>
          <w:szCs w:val="24"/>
        </w:rPr>
        <w:t>Table S1</w:t>
      </w:r>
      <w:r w:rsidR="006562B3">
        <w:rPr>
          <w:rFonts w:ascii="Times New Roman" w:hAnsi="Times New Roman"/>
          <w:b/>
          <w:sz w:val="24"/>
          <w:szCs w:val="24"/>
        </w:rPr>
        <w:t>.</w:t>
      </w:r>
      <w:r w:rsidR="00FD0A3E">
        <w:rPr>
          <w:rFonts w:ascii="Times New Roman" w:hAnsi="Times New Roman"/>
          <w:sz w:val="24"/>
          <w:szCs w:val="24"/>
        </w:rPr>
        <w:t xml:space="preserve"> </w:t>
      </w:r>
      <w:r w:rsidR="00D1373C">
        <w:rPr>
          <w:rFonts w:ascii="Times New Roman" w:hAnsi="Times New Roman"/>
          <w:sz w:val="24"/>
          <w:szCs w:val="24"/>
        </w:rPr>
        <w:t>The l</w:t>
      </w:r>
      <w:r w:rsidR="00385D49" w:rsidRPr="00385D49">
        <w:rPr>
          <w:rFonts w:ascii="Times New Roman" w:hAnsi="Times New Roman"/>
          <w:sz w:val="24"/>
          <w:szCs w:val="24"/>
        </w:rPr>
        <w:t xml:space="preserve">ist of </w:t>
      </w:r>
      <w:r w:rsidR="00D1373C">
        <w:rPr>
          <w:rFonts w:ascii="Times New Roman" w:hAnsi="Times New Roman"/>
          <w:sz w:val="24"/>
          <w:szCs w:val="24"/>
        </w:rPr>
        <w:t xml:space="preserve">oligonucleotide primers used for </w:t>
      </w:r>
      <w:r w:rsidR="00385D49" w:rsidRPr="00385D49">
        <w:rPr>
          <w:rFonts w:ascii="Times New Roman" w:hAnsi="Times New Roman"/>
          <w:sz w:val="24"/>
          <w:szCs w:val="24"/>
        </w:rPr>
        <w:t>RT-PCR</w:t>
      </w:r>
      <w:r w:rsidR="00D1373C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680" w:type="dxa"/>
        <w:tblLook w:val="04A0"/>
      </w:tblPr>
      <w:tblGrid>
        <w:gridCol w:w="960"/>
        <w:gridCol w:w="1360"/>
        <w:gridCol w:w="2560"/>
        <w:gridCol w:w="960"/>
        <w:gridCol w:w="1920"/>
        <w:gridCol w:w="960"/>
        <w:gridCol w:w="960"/>
      </w:tblGrid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ind w:left="-237" w:firstLine="237"/>
              <w:jc w:val="center"/>
              <w:rPr>
                <w:rFonts w:eastAsia="Times New Roman"/>
                <w:b/>
                <w:lang w:eastAsia="en-GB"/>
              </w:rPr>
            </w:pPr>
            <w:r w:rsidRPr="00E3108A">
              <w:rPr>
                <w:rFonts w:eastAsia="Times New Roman"/>
                <w:b/>
                <w:lang w:eastAsia="en-GB"/>
              </w:rPr>
              <w:t>Gene</w:t>
            </w:r>
            <w:r w:rsidR="009D2A49" w:rsidRPr="009D2A49">
              <w:rPr>
                <w:rFonts w:eastAsia="Times New Roman"/>
                <w:b/>
                <w:vertAlign w:val="superscript"/>
                <w:lang w:eastAsia="en-GB"/>
              </w:rPr>
              <w:t>1</w:t>
            </w:r>
            <w:r w:rsidRPr="00E3108A">
              <w:rPr>
                <w:rFonts w:eastAsia="Times New Roman"/>
                <w:b/>
                <w:lang w:eastAsia="en-GB"/>
              </w:rPr>
              <w:t xml:space="preserve"> 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GB"/>
              </w:rPr>
            </w:pPr>
            <w:r w:rsidRPr="00E3108A">
              <w:rPr>
                <w:rFonts w:eastAsia="Times New Roman"/>
                <w:b/>
                <w:color w:val="000000"/>
                <w:lang w:eastAsia="en-GB"/>
              </w:rPr>
              <w:t>Accession id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GB"/>
              </w:rPr>
            </w:pPr>
            <w:r w:rsidRPr="00E3108A">
              <w:rPr>
                <w:rFonts w:eastAsia="Times New Roman"/>
                <w:b/>
                <w:color w:val="000000"/>
                <w:lang w:eastAsia="en-GB"/>
              </w:rPr>
              <w:t>Reaction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GB"/>
              </w:rPr>
            </w:pPr>
          </w:p>
        </w:tc>
        <w:tc>
          <w:tcPr>
            <w:tcW w:w="192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b/>
                <w:lang w:eastAsia="en-GB"/>
              </w:rPr>
            </w:pPr>
            <w:r w:rsidRPr="00E3108A">
              <w:rPr>
                <w:rFonts w:eastAsia="Times New Roman"/>
                <w:b/>
                <w:lang w:eastAsia="en-GB"/>
              </w:rPr>
              <w:t>Sequence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GB"/>
              </w:rPr>
            </w:pP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tktA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H16_A3147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F6P + G3P = E4P + X5P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5'- GCGTGAACCCGAAGACCAAC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5'- TCCTGCTTGTCGAACACGGT- 3'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fbp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H16_A0999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F16P = F6P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ACCCGAAGGGCGAATACCTG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TGCAGCACCGAGAAGATGGT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cbbL2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H16_B1395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RUBP + CO2 = 3PG + 3PG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GCGACATGTACCGTGCCAAG - 3'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ATGATCGACGCGGTCAGGTT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pyk1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H16_A0567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PEP = PYR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AAGCCGAGAAGTCCGAGGTG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GCAATCGCCTTCACCTGCAA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glta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H16_A2627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ACCOA + OAA = CIT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AAGCTGATGCGCGAAACCTG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TCGTCTTCCAGCGCGATCTT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icd3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H16_B1016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ISCIT = AKG + CO2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GAATGGCCGGCGTCGAATAC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GCACATTGACCGAGCGGAAG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mdh1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H16_A2634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MAL = OAA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AGGGTATGGAGCGCAAGGAC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CATGGCGATGTAGGCGTTGG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pyc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H16_A1251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PYR + CO2 = OAA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GGAGATGGTCACCGGGATCG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GCGTGACCGTTGAGCGAAAT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maeB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H16_A1002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MAL = CO2 + PYR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AAGGACGTGGCCAAGGTGAA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CGCGGCCAACATAGATCACG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ppc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H16_A2921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PEP + CO2 = OAA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TGTCGGACCTGGTCGAAGTG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GGTCTCGAACAGCGGGATCA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pepck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H16_A3711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= PEP + CO2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CGACGGCTCCCAGGAAGAAT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CCGACAGTGCCAGGAAGGAA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iclA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H16_A2211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ISCIT = GLYOXY + SUC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CCCGTACTGATTCGCTGGGT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TGACGTCACCATTGCCCAGT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lastRenderedPageBreak/>
              <w:t>pgi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H16_A1501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F6P = G6P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GCCATGGACGAGCATTTCCG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CATGCAGCTGGTGGGCAAAT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pgam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H16_A0493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3PG = 2PG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GGTCTATGCCAGCGACCTGT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GGCTACTTCGGCGTAGGTCT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fba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H16_A0568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F16P = DHAP + G3P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TACGCCGGTGAGCATTTCCT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GAGCCGTCCATCATCACCGA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eda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H16_B1213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KDPG = G3P + PYR</w:t>
            </w: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GGTGATCCCGGTGCTGGAA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CTTGATCGCCTCCAGTGCCA -3'</w:t>
            </w:r>
          </w:p>
        </w:tc>
      </w:tr>
      <w:tr w:rsidR="00E3108A" w:rsidRPr="00E3108A" w:rsidTr="0022279D">
        <w:trPr>
          <w:trHeight w:val="315"/>
        </w:trPr>
        <w:tc>
          <w:tcPr>
            <w:tcW w:w="960" w:type="dxa"/>
            <w:noWrap/>
            <w:hideMark/>
          </w:tcPr>
          <w:p w:rsidR="00E3108A" w:rsidRPr="008A49D5" w:rsidRDefault="00E3108A" w:rsidP="00E3108A">
            <w:pPr>
              <w:spacing w:after="0" w:line="240" w:lineRule="auto"/>
              <w:jc w:val="center"/>
              <w:rPr>
                <w:rFonts w:eastAsia="Times New Roman"/>
                <w:i/>
                <w:lang w:eastAsia="en-GB"/>
              </w:rPr>
            </w:pPr>
            <w:r w:rsidRPr="008A49D5">
              <w:rPr>
                <w:rFonts w:eastAsia="Times New Roman"/>
                <w:i/>
                <w:lang w:eastAsia="en-GB"/>
              </w:rPr>
              <w:t>phaC1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E3108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H16_A1437</w:t>
            </w: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AGCGGCCAGGACAAGATCAA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GTGTCGGCAAAGTCCAGCAG -3'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16S</w:t>
            </w: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16S-27F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AGAGTTTGATCCTGGCTCAG - 3'</w:t>
            </w:r>
          </w:p>
        </w:tc>
      </w:tr>
      <w:tr w:rsidR="00E3108A" w:rsidRPr="00E3108A" w:rsidTr="0022279D">
        <w:trPr>
          <w:trHeight w:val="300"/>
        </w:trPr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</w:p>
        </w:tc>
        <w:tc>
          <w:tcPr>
            <w:tcW w:w="13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5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16S-533R</w:t>
            </w:r>
          </w:p>
        </w:tc>
        <w:tc>
          <w:tcPr>
            <w:tcW w:w="3840" w:type="dxa"/>
            <w:gridSpan w:val="3"/>
            <w:noWrap/>
            <w:hideMark/>
          </w:tcPr>
          <w:p w:rsidR="00E3108A" w:rsidRPr="00E3108A" w:rsidRDefault="00E3108A" w:rsidP="00E3108A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108A">
              <w:rPr>
                <w:rFonts w:eastAsia="Times New Roman"/>
                <w:lang w:eastAsia="en-GB"/>
              </w:rPr>
              <w:t>5' - TTACCGCGGCTGCTGGCAC - 3'</w:t>
            </w:r>
          </w:p>
        </w:tc>
      </w:tr>
    </w:tbl>
    <w:p w:rsidR="00385D49" w:rsidRDefault="00623462" w:rsidP="008A49D5">
      <w:pPr>
        <w:spacing w:afterLines="200" w:line="360" w:lineRule="auto"/>
        <w:jc w:val="both"/>
      </w:pPr>
      <w:r w:rsidRPr="0022279D">
        <w:rPr>
          <w:rFonts w:ascii="Times New Roman" w:hAnsi="Times New Roman"/>
          <w:sz w:val="24"/>
          <w:szCs w:val="24"/>
          <w:vertAlign w:val="superscript"/>
        </w:rPr>
        <w:t>1</w:t>
      </w:r>
      <w:r w:rsidRPr="0022279D">
        <w:rPr>
          <w:rFonts w:ascii="Times New Roman" w:hAnsi="Times New Roman"/>
          <w:sz w:val="24"/>
          <w:szCs w:val="24"/>
        </w:rPr>
        <w:t xml:space="preserve">Genes: </w:t>
      </w:r>
      <w:r w:rsidRPr="0022279D">
        <w:rPr>
          <w:rFonts w:ascii="Times New Roman" w:hAnsi="Times New Roman"/>
          <w:i/>
          <w:sz w:val="24"/>
          <w:szCs w:val="24"/>
        </w:rPr>
        <w:t xml:space="preserve">tktA </w:t>
      </w:r>
      <w:r w:rsidRPr="0022279D">
        <w:rPr>
          <w:rFonts w:ascii="Times New Roman" w:hAnsi="Times New Roman"/>
          <w:sz w:val="24"/>
          <w:szCs w:val="24"/>
        </w:rPr>
        <w:t xml:space="preserve">(transketolase); </w:t>
      </w:r>
      <w:r w:rsidRPr="0022279D">
        <w:rPr>
          <w:rFonts w:ascii="Times New Roman" w:hAnsi="Times New Roman"/>
          <w:i/>
          <w:sz w:val="24"/>
          <w:szCs w:val="24"/>
        </w:rPr>
        <w:t xml:space="preserve">fbp </w:t>
      </w:r>
      <w:r w:rsidRPr="0022279D">
        <w:rPr>
          <w:rFonts w:ascii="Times New Roman" w:hAnsi="Times New Roman"/>
          <w:sz w:val="24"/>
          <w:szCs w:val="24"/>
        </w:rPr>
        <w:t xml:space="preserve">(fructose bisphosphatase); </w:t>
      </w:r>
      <w:r w:rsidRPr="0022279D">
        <w:rPr>
          <w:rFonts w:ascii="Times New Roman" w:hAnsi="Times New Roman"/>
          <w:i/>
          <w:sz w:val="24"/>
          <w:szCs w:val="24"/>
        </w:rPr>
        <w:t>rbcL</w:t>
      </w:r>
      <w:r w:rsidRPr="0022279D">
        <w:rPr>
          <w:rFonts w:ascii="Times New Roman" w:hAnsi="Times New Roman"/>
          <w:sz w:val="24"/>
          <w:szCs w:val="24"/>
        </w:rPr>
        <w:t xml:space="preserve"> (ribulose-1,5,bisphosphate carboyxylase/oxygenase, large subunit)); </w:t>
      </w:r>
      <w:r w:rsidRPr="0022279D">
        <w:rPr>
          <w:rFonts w:ascii="Times New Roman" w:hAnsi="Times New Roman"/>
          <w:i/>
          <w:sz w:val="24"/>
          <w:szCs w:val="24"/>
        </w:rPr>
        <w:t>pyk</w:t>
      </w:r>
      <w:r w:rsidRPr="0022279D">
        <w:rPr>
          <w:rFonts w:ascii="Times New Roman" w:hAnsi="Times New Roman"/>
          <w:sz w:val="24"/>
          <w:szCs w:val="24"/>
        </w:rPr>
        <w:t xml:space="preserve"> (pyruvate kinase); </w:t>
      </w:r>
      <w:r w:rsidRPr="0022279D">
        <w:rPr>
          <w:rFonts w:ascii="Times New Roman" w:hAnsi="Times New Roman"/>
          <w:i/>
          <w:sz w:val="24"/>
          <w:szCs w:val="24"/>
        </w:rPr>
        <w:t>gltA</w:t>
      </w:r>
      <w:r w:rsidRPr="0022279D">
        <w:rPr>
          <w:rFonts w:ascii="Times New Roman" w:hAnsi="Times New Roman"/>
          <w:sz w:val="24"/>
          <w:szCs w:val="24"/>
        </w:rPr>
        <w:t xml:space="preserve"> (citrate-synthase); </w:t>
      </w:r>
      <w:r w:rsidRPr="0022279D">
        <w:rPr>
          <w:rFonts w:ascii="Times New Roman" w:hAnsi="Times New Roman"/>
          <w:i/>
          <w:sz w:val="24"/>
          <w:szCs w:val="24"/>
        </w:rPr>
        <w:t>icd3</w:t>
      </w:r>
      <w:r w:rsidRPr="0022279D">
        <w:rPr>
          <w:rFonts w:ascii="Times New Roman" w:hAnsi="Times New Roman"/>
          <w:sz w:val="24"/>
          <w:szCs w:val="24"/>
        </w:rPr>
        <w:t xml:space="preserve"> (isocitrate dehydrogenase); </w:t>
      </w:r>
      <w:r w:rsidRPr="0022279D">
        <w:rPr>
          <w:rFonts w:ascii="Times New Roman" w:hAnsi="Times New Roman"/>
          <w:i/>
          <w:sz w:val="24"/>
          <w:szCs w:val="24"/>
        </w:rPr>
        <w:t>mdh</w:t>
      </w:r>
      <w:r w:rsidRPr="0022279D">
        <w:rPr>
          <w:rFonts w:ascii="Times New Roman" w:hAnsi="Times New Roman"/>
          <w:sz w:val="24"/>
          <w:szCs w:val="24"/>
        </w:rPr>
        <w:t xml:space="preserve"> (malate dehydrogenase); </w:t>
      </w:r>
      <w:r w:rsidRPr="0022279D">
        <w:rPr>
          <w:rFonts w:ascii="Times New Roman" w:hAnsi="Times New Roman"/>
          <w:i/>
          <w:sz w:val="24"/>
          <w:szCs w:val="24"/>
        </w:rPr>
        <w:t>pyc</w:t>
      </w:r>
      <w:r w:rsidRPr="0022279D">
        <w:rPr>
          <w:rFonts w:ascii="Times New Roman" w:hAnsi="Times New Roman"/>
          <w:sz w:val="24"/>
          <w:szCs w:val="24"/>
        </w:rPr>
        <w:t xml:space="preserve"> (pyruvate carboxylase); </w:t>
      </w:r>
      <w:r w:rsidRPr="0022279D">
        <w:rPr>
          <w:rFonts w:ascii="Times New Roman" w:hAnsi="Times New Roman"/>
          <w:i/>
          <w:sz w:val="24"/>
          <w:szCs w:val="24"/>
        </w:rPr>
        <w:t>maeB</w:t>
      </w:r>
      <w:r w:rsidRPr="0022279D">
        <w:rPr>
          <w:rFonts w:ascii="Times New Roman" w:hAnsi="Times New Roman"/>
          <w:sz w:val="24"/>
          <w:szCs w:val="24"/>
        </w:rPr>
        <w:t xml:space="preserve"> (malate decarboxylase), </w:t>
      </w:r>
      <w:r w:rsidRPr="0022279D">
        <w:rPr>
          <w:rFonts w:ascii="Times New Roman" w:hAnsi="Times New Roman"/>
          <w:i/>
          <w:sz w:val="24"/>
          <w:szCs w:val="24"/>
        </w:rPr>
        <w:t>ppc</w:t>
      </w:r>
      <w:r w:rsidRPr="0022279D">
        <w:rPr>
          <w:rFonts w:ascii="Times New Roman" w:hAnsi="Times New Roman"/>
          <w:sz w:val="24"/>
          <w:szCs w:val="24"/>
        </w:rPr>
        <w:t xml:space="preserve"> (PEP carboxylase); </w:t>
      </w:r>
      <w:r w:rsidRPr="0022279D">
        <w:rPr>
          <w:rFonts w:ascii="Times New Roman" w:hAnsi="Times New Roman"/>
          <w:i/>
          <w:sz w:val="24"/>
          <w:szCs w:val="24"/>
        </w:rPr>
        <w:t>pck</w:t>
      </w:r>
      <w:r w:rsidRPr="0022279D">
        <w:rPr>
          <w:rFonts w:ascii="Times New Roman" w:hAnsi="Times New Roman"/>
          <w:sz w:val="24"/>
          <w:szCs w:val="24"/>
        </w:rPr>
        <w:t xml:space="preserve"> (PEP carboxykinase); </w:t>
      </w:r>
      <w:r w:rsidRPr="0022279D">
        <w:rPr>
          <w:rFonts w:ascii="Times New Roman" w:hAnsi="Times New Roman"/>
          <w:i/>
          <w:sz w:val="24"/>
          <w:szCs w:val="24"/>
        </w:rPr>
        <w:t>icl</w:t>
      </w:r>
      <w:r w:rsidRPr="0022279D">
        <w:rPr>
          <w:rFonts w:ascii="Times New Roman" w:hAnsi="Times New Roman"/>
          <w:sz w:val="24"/>
          <w:szCs w:val="24"/>
        </w:rPr>
        <w:t xml:space="preserve"> (isocitrate lyase); </w:t>
      </w:r>
      <w:r w:rsidRPr="0022279D">
        <w:rPr>
          <w:rFonts w:ascii="Times New Roman" w:hAnsi="Times New Roman"/>
          <w:i/>
          <w:sz w:val="24"/>
          <w:szCs w:val="24"/>
        </w:rPr>
        <w:t>pgi</w:t>
      </w:r>
      <w:r w:rsidRPr="0022279D">
        <w:rPr>
          <w:rFonts w:ascii="Times New Roman" w:hAnsi="Times New Roman"/>
          <w:sz w:val="24"/>
          <w:szCs w:val="24"/>
        </w:rPr>
        <w:t xml:space="preserve"> (phosphoglucose isomerase); </w:t>
      </w:r>
      <w:r w:rsidRPr="0022279D">
        <w:rPr>
          <w:rFonts w:ascii="Times New Roman" w:hAnsi="Times New Roman"/>
          <w:i/>
          <w:sz w:val="24"/>
          <w:szCs w:val="24"/>
        </w:rPr>
        <w:t>pgmA</w:t>
      </w:r>
      <w:r w:rsidRPr="0022279D">
        <w:rPr>
          <w:rFonts w:ascii="Times New Roman" w:hAnsi="Times New Roman"/>
          <w:sz w:val="24"/>
          <w:szCs w:val="24"/>
        </w:rPr>
        <w:t xml:space="preserve"> (phosphoglycerate mutase); </w:t>
      </w:r>
      <w:r w:rsidRPr="0022279D">
        <w:rPr>
          <w:rFonts w:ascii="Times New Roman" w:hAnsi="Times New Roman"/>
          <w:i/>
          <w:sz w:val="24"/>
          <w:szCs w:val="24"/>
        </w:rPr>
        <w:t>phaC1</w:t>
      </w:r>
      <w:r w:rsidRPr="0022279D">
        <w:rPr>
          <w:rFonts w:ascii="Times New Roman" w:hAnsi="Times New Roman"/>
          <w:sz w:val="24"/>
          <w:szCs w:val="24"/>
        </w:rPr>
        <w:t xml:space="preserve"> (polyhydroxyalkanoate synthase), </w:t>
      </w:r>
      <w:r w:rsidRPr="0022279D">
        <w:rPr>
          <w:rFonts w:ascii="Times New Roman" w:hAnsi="Times New Roman"/>
          <w:i/>
          <w:sz w:val="24"/>
          <w:szCs w:val="24"/>
        </w:rPr>
        <w:t>eda</w:t>
      </w:r>
      <w:r w:rsidRPr="0022279D">
        <w:rPr>
          <w:rFonts w:ascii="Times New Roman" w:hAnsi="Times New Roman"/>
          <w:sz w:val="24"/>
          <w:szCs w:val="24"/>
        </w:rPr>
        <w:t xml:space="preserve"> (2-keto-3-deoxyphosphogluconate aldolase); </w:t>
      </w:r>
      <w:r w:rsidRPr="0022279D">
        <w:rPr>
          <w:rFonts w:ascii="Times New Roman" w:hAnsi="Times New Roman"/>
          <w:i/>
          <w:sz w:val="24"/>
          <w:szCs w:val="24"/>
        </w:rPr>
        <w:t>fba</w:t>
      </w:r>
      <w:r w:rsidRPr="0022279D">
        <w:rPr>
          <w:rFonts w:ascii="Times New Roman" w:hAnsi="Times New Roman"/>
          <w:sz w:val="24"/>
          <w:szCs w:val="24"/>
        </w:rPr>
        <w:t xml:space="preserve"> (fructose bisphosphate aldolase).</w:t>
      </w:r>
      <w:r w:rsidR="009D2A49">
        <w:rPr>
          <w:rFonts w:ascii="Times New Roman" w:hAnsi="Times New Roman"/>
          <w:sz w:val="24"/>
          <w:szCs w:val="24"/>
        </w:rPr>
        <w:t xml:space="preserve"> </w:t>
      </w:r>
    </w:p>
    <w:p w:rsidR="00D31E9E" w:rsidRPr="006562B3" w:rsidRDefault="006562B3">
      <w:pPr>
        <w:rPr>
          <w:rFonts w:ascii="Times New Roman" w:hAnsi="Times New Roman"/>
          <w:sz w:val="24"/>
          <w:szCs w:val="24"/>
        </w:rPr>
      </w:pPr>
      <w:r w:rsidRPr="006562B3">
        <w:rPr>
          <w:rFonts w:ascii="Times New Roman" w:hAnsi="Times New Roman"/>
          <w:b/>
          <w:sz w:val="24"/>
          <w:szCs w:val="24"/>
        </w:rPr>
        <w:t xml:space="preserve">Supplementary </w:t>
      </w:r>
      <w:r w:rsidR="00D31E9E" w:rsidRPr="006562B3">
        <w:rPr>
          <w:rFonts w:ascii="Times New Roman" w:hAnsi="Times New Roman"/>
          <w:b/>
          <w:sz w:val="24"/>
          <w:szCs w:val="24"/>
        </w:rPr>
        <w:t xml:space="preserve">Table </w:t>
      </w:r>
      <w:r w:rsidR="00FD0A3E" w:rsidRPr="006562B3">
        <w:rPr>
          <w:rFonts w:ascii="Times New Roman" w:hAnsi="Times New Roman"/>
          <w:b/>
          <w:sz w:val="24"/>
          <w:szCs w:val="24"/>
        </w:rPr>
        <w:t>S</w:t>
      </w:r>
      <w:r w:rsidR="00D31E9E" w:rsidRPr="006562B3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.</w:t>
      </w:r>
      <w:r w:rsidR="00D31E9E" w:rsidRPr="006562B3">
        <w:rPr>
          <w:rFonts w:ascii="Times New Roman" w:hAnsi="Times New Roman"/>
          <w:sz w:val="24"/>
          <w:szCs w:val="24"/>
        </w:rPr>
        <w:t xml:space="preserve"> Metabolic model for central carbon metabolism with the carbon atom transition used as input for </w:t>
      </w:r>
      <w:r w:rsidR="009D2A49" w:rsidRPr="006562B3">
        <w:rPr>
          <w:rFonts w:ascii="Times New Roman" w:hAnsi="Times New Roman"/>
          <w:sz w:val="24"/>
          <w:szCs w:val="24"/>
        </w:rPr>
        <w:t>Open</w:t>
      </w:r>
      <w:r w:rsidR="009D2A49">
        <w:rPr>
          <w:rFonts w:ascii="Times New Roman" w:hAnsi="Times New Roman"/>
          <w:sz w:val="24"/>
          <w:szCs w:val="24"/>
        </w:rPr>
        <w:t>FLUX</w:t>
      </w:r>
      <w:r w:rsidR="009D2A49" w:rsidRPr="006562B3">
        <w:rPr>
          <w:rFonts w:ascii="Times New Roman" w:hAnsi="Times New Roman"/>
          <w:sz w:val="24"/>
          <w:szCs w:val="24"/>
        </w:rPr>
        <w:t xml:space="preserve"> </w:t>
      </w:r>
      <w:r w:rsidR="009D2A49">
        <w:rPr>
          <w:rFonts w:ascii="Times New Roman" w:hAnsi="Times New Roman"/>
          <w:sz w:val="24"/>
          <w:szCs w:val="24"/>
        </w:rPr>
        <w:t xml:space="preserve">analysis. </w:t>
      </w:r>
    </w:p>
    <w:tbl>
      <w:tblPr>
        <w:tblW w:w="9515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4160"/>
        <w:gridCol w:w="4395"/>
      </w:tblGrid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GLY = DHAP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F6P = G6P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abcdef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G6P = F6P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abcdef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F16P = F6P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abcdef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lastRenderedPageBreak/>
              <w:t>R5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F16P = DHAP + G3P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cba + 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DHAP + G3P = F16P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cba + def = abcdef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R7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DHAP = G3P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R8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G3P = DHAP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R9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G3P = 3PG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R10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3PG = G3P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R11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3PG = PEP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R12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PEP = 3PG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R13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PEP = PYR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R14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PYR = PEP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R15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PYR = ACCOA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bc + a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R16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+ ACCOA = CIT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+ ef = dcbfea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R17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CIT = ISCIT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abcdef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R18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ISCIT = CIT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abcdef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R19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ISCIT = AKG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abcde + 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R20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AKG = 0.5 SUCOA + 0.5 SUCOA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= 0.5 bcde + 0.5 edcb + a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R21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SUCOA = 0.5 SUC + 0.5 SUC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0.5 abcd + 0.5 dcba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R22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SUC = MAL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R23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 xml:space="preserve">MAL = SUC 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 xml:space="preserve">abcd = abcd 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R24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MAL = OAA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R25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= MAL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R26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G6P = 6PG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abcdef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R27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6PG = PYR + G3P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abc + 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R28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ISCIT = GLYOXY + 0.5 SUC + 0.5 SUC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 = ab + 0.5 edcf + 0.5 fcde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R29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GLYOXY + ACCOA = MAL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 + cd = abdc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R30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MAL = PYR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abc + 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R31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PEP + CO2 = OAA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+ d = abcd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R32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= PEP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abc + 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R33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= PYR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abc + 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lastRenderedPageBreak/>
              <w:t>R34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RU5P = R5P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=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R35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R5P = RU5P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=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R36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RU5P = X5P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=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R37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X5P = RU5P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=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R38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X5P + R5P = G3P + S7P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+ fghij = cde + abfghij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R39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G3P + S7P = X5P + R5P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cde + abfghij = abcde + fghij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R40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S7P + G3P = E4P + F6P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abcdefg + hij = defg + abchij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R41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E4P + F6P = S7P + G3P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defg + abchij = abcdefg + hij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R42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E4P + X5P = F6P + G3P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fghi + abcde = abfghi + 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R43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F6P + G3P = E4P + X5P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abfghi + cde = fghi +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R44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DHAP + E4P = S7P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efg + abcd = gfeabcd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R45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RU5P = RUBP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=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R46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RUBP + CO2 = 3PG + 3PG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+ f = fba + 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R47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AKG = GLU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=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R48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AKG = PRO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=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R49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AKG + CO2 = ARG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+ f = abcdef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R50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= ASP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R51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PYR = ALA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R52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3PG = SER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R53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3PG = CYS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R54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3PG = GL + MTHF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= ab + c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R55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= GL + ACCOA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 + 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R56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= THR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= abcd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R57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+ MTHF = MET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+ e = abcde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R58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+ PYR = LYS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+ efg = bcdgfe + a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R59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PYR + PYR = VAL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+ def = abcef + 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R60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PYR + PYR = ISV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 + def = abefc + 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R61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ISV + ACCOA = LEU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+ fg = fgbcde + a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R62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OAA + PYR = ILE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+ efg = abfcdg + 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lastRenderedPageBreak/>
              <w:t>R63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E4P + PEP = SHKM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 + efg = efgabcd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R64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SHKM + PEP = CHRM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abcdefg + hij = abcdefghij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R65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CHRM = PHE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abcdefghij = hijbcdefg + a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R66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CHRM = TYR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abcdefghij = hijbcdefg + a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R67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CHRM = ANTHR + G3P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abcdefghij = abcdefg + hij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R68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ANTHR + R5P = CPADR5P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abcdefg + hijkl = abcdefghijkl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R69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CPADR5P = INDG + CO2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abcdefghijkl = abcdfghijkl + e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R70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INDG = TRP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abcdfghijkl = abcdfghijkl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R71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R5P + MTHF = HIS</w:t>
            </w:r>
          </w:p>
        </w:tc>
        <w:tc>
          <w:tcPr>
            <w:tcW w:w="4395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abcde + f = edcbaf</w:t>
            </w:r>
          </w:p>
        </w:tc>
      </w:tr>
      <w:tr w:rsidR="00E3108A" w:rsidRPr="00E3108A" w:rsidTr="001D48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R72</w:t>
            </w:r>
          </w:p>
        </w:tc>
        <w:tc>
          <w:tcPr>
            <w:tcW w:w="8555" w:type="dxa"/>
            <w:gridSpan w:val="2"/>
            <w:shd w:val="clear" w:color="auto" w:fill="auto"/>
            <w:noWrap/>
            <w:vAlign w:val="bottom"/>
            <w:hideMark/>
          </w:tcPr>
          <w:p w:rsidR="00E3108A" w:rsidRPr="00E3108A" w:rsidRDefault="00E3108A" w:rsidP="00E3108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108A">
              <w:rPr>
                <w:rFonts w:eastAsia="Times New Roman"/>
                <w:color w:val="000000"/>
                <w:lang w:eastAsia="en-GB"/>
              </w:rPr>
              <w:t>ACCOA = PHB_B</w:t>
            </w:r>
          </w:p>
        </w:tc>
      </w:tr>
    </w:tbl>
    <w:p w:rsidR="00D31E9E" w:rsidRDefault="00D31E9E"/>
    <w:p w:rsidR="00385D49" w:rsidRDefault="00385D49"/>
    <w:p w:rsidR="00303EE9" w:rsidRPr="006562B3" w:rsidRDefault="006562B3">
      <w:pPr>
        <w:rPr>
          <w:rFonts w:ascii="Times New Roman" w:hAnsi="Times New Roman"/>
          <w:sz w:val="24"/>
          <w:szCs w:val="24"/>
        </w:rPr>
      </w:pPr>
      <w:r w:rsidRPr="006562B3">
        <w:rPr>
          <w:rFonts w:ascii="Times New Roman" w:hAnsi="Times New Roman"/>
          <w:b/>
          <w:sz w:val="24"/>
          <w:szCs w:val="24"/>
        </w:rPr>
        <w:t xml:space="preserve">Supplementary </w:t>
      </w:r>
      <w:r w:rsidR="00FD0A3E" w:rsidRPr="006562B3">
        <w:rPr>
          <w:rFonts w:ascii="Times New Roman" w:hAnsi="Times New Roman"/>
          <w:b/>
          <w:sz w:val="24"/>
          <w:szCs w:val="24"/>
        </w:rPr>
        <w:t>Table S3</w:t>
      </w:r>
      <w:r w:rsidRPr="006562B3">
        <w:rPr>
          <w:rFonts w:ascii="Times New Roman" w:hAnsi="Times New Roman"/>
          <w:b/>
          <w:sz w:val="24"/>
          <w:szCs w:val="24"/>
        </w:rPr>
        <w:t>.</w:t>
      </w:r>
      <w:r w:rsidR="008B126B" w:rsidRPr="006562B3">
        <w:rPr>
          <w:rFonts w:ascii="Times New Roman" w:hAnsi="Times New Roman"/>
          <w:sz w:val="24"/>
          <w:szCs w:val="24"/>
        </w:rPr>
        <w:t xml:space="preserve"> 95% </w:t>
      </w:r>
      <w:r w:rsidR="009D2A49">
        <w:rPr>
          <w:rFonts w:ascii="Times New Roman" w:hAnsi="Times New Roman"/>
          <w:sz w:val="24"/>
          <w:szCs w:val="24"/>
        </w:rPr>
        <w:t>c</w:t>
      </w:r>
      <w:r w:rsidR="009D2A49" w:rsidRPr="006562B3">
        <w:rPr>
          <w:rFonts w:ascii="Times New Roman" w:hAnsi="Times New Roman"/>
          <w:sz w:val="24"/>
          <w:szCs w:val="24"/>
        </w:rPr>
        <w:t xml:space="preserve">onfidence </w:t>
      </w:r>
      <w:r w:rsidR="009D2A49">
        <w:rPr>
          <w:rFonts w:ascii="Times New Roman" w:hAnsi="Times New Roman"/>
          <w:sz w:val="24"/>
          <w:szCs w:val="24"/>
        </w:rPr>
        <w:t>i</w:t>
      </w:r>
      <w:r w:rsidR="009D2A49" w:rsidRPr="006562B3">
        <w:rPr>
          <w:rFonts w:ascii="Times New Roman" w:hAnsi="Times New Roman"/>
          <w:sz w:val="24"/>
          <w:szCs w:val="24"/>
        </w:rPr>
        <w:t xml:space="preserve">nterval </w:t>
      </w:r>
      <w:r w:rsidR="008B126B" w:rsidRPr="006562B3">
        <w:rPr>
          <w:rFonts w:ascii="Times New Roman" w:hAnsi="Times New Roman"/>
          <w:sz w:val="24"/>
          <w:szCs w:val="24"/>
        </w:rPr>
        <w:t>estimates for the flux predictions of selected reactions</w:t>
      </w:r>
      <w:r w:rsidR="009D2A49">
        <w:rPr>
          <w:rFonts w:ascii="Times New Roman" w:hAnsi="Times New Roman"/>
          <w:sz w:val="24"/>
          <w:szCs w:val="24"/>
        </w:rPr>
        <w:t>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0"/>
        <w:gridCol w:w="3473"/>
        <w:gridCol w:w="1837"/>
        <w:gridCol w:w="1843"/>
        <w:gridCol w:w="1701"/>
      </w:tblGrid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bookmarkStart w:id="0" w:name="OLE_LINK1"/>
            <w:r w:rsidRPr="00E3108A">
              <w:t>s.no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Reactions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Hetero-Fructose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 xml:space="preserve">Hetero- glycerol 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Mixo-glycerol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1.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G3P ↔ 3PG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(0.90,1.08)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(-1.05, -0.94)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(-5.84,-5.08)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2.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3PG ↔ PEP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(0.80, 0.96)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(-0.3,-0.06)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(-0.03,0.0)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3.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PYR → ACCOA + CO2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(0.38,0.50)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(0.009, 0.15)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(1.09,1.3)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4.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OAA + ACCOA → CIT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(0.39, 0.6)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(0.01,0.04)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(0.9,1.1)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5.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ISCIT → AKG + CO2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(0.38,0.45)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(0.007,0.01)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(0.75, 1.0)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6.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6PG → PYR + G3P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(0.96,1.27)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(0.87,0.96)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(1.71,2.13)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7.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ISCIT → GLYOXY + 0.5 SUC + 0.5 SUC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(0.0,0.0)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(0.0,0.001)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(0.22,0.32)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lastRenderedPageBreak/>
              <w:t>8.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PEP + CO2 ↔ OAA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(1.26, 2.36)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(0.001,0.09)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(0.88,1.01)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9.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 xml:space="preserve">OAA → PYR + CO2  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(1.18,2.77)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(0.0,0.003)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(0.27,0.44)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10.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 xml:space="preserve">F6P + G3P ↔ E4P + X5P 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(0.0,0.03)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(0.32,0.35)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(0.9, 0.99)</w:t>
            </w:r>
          </w:p>
        </w:tc>
      </w:tr>
      <w:tr w:rsidR="00E3108A" w:rsidRPr="00E3108A" w:rsidTr="001D48EA">
        <w:tc>
          <w:tcPr>
            <w:tcW w:w="610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11.</w:t>
            </w:r>
          </w:p>
        </w:tc>
        <w:tc>
          <w:tcPr>
            <w:tcW w:w="3473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RUBP + CO2 → 3PG + 3PG</w:t>
            </w:r>
          </w:p>
        </w:tc>
        <w:tc>
          <w:tcPr>
            <w:tcW w:w="1837" w:type="dxa"/>
            <w:vAlign w:val="bottom"/>
          </w:tcPr>
          <w:p w:rsidR="00E3108A" w:rsidRPr="00E3108A" w:rsidRDefault="00E3108A" w:rsidP="00E3108A">
            <w:pPr>
              <w:jc w:val="center"/>
              <w:rPr>
                <w:color w:val="000000"/>
              </w:rPr>
            </w:pPr>
            <w:r w:rsidRPr="00E3108A">
              <w:rPr>
                <w:color w:val="000000"/>
              </w:rPr>
              <w:t>(0.0,0.03)</w:t>
            </w:r>
          </w:p>
        </w:tc>
        <w:tc>
          <w:tcPr>
            <w:tcW w:w="1843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(0.2, 0.44)</w:t>
            </w:r>
          </w:p>
        </w:tc>
        <w:tc>
          <w:tcPr>
            <w:tcW w:w="1701" w:type="dxa"/>
            <w:vAlign w:val="bottom"/>
          </w:tcPr>
          <w:p w:rsidR="00E3108A" w:rsidRPr="00E3108A" w:rsidRDefault="00E3108A" w:rsidP="00E3108A">
            <w:pPr>
              <w:jc w:val="center"/>
            </w:pPr>
            <w:r w:rsidRPr="00E3108A">
              <w:t>(2.7, 2.96)</w:t>
            </w:r>
          </w:p>
        </w:tc>
      </w:tr>
      <w:bookmarkEnd w:id="0"/>
    </w:tbl>
    <w:p w:rsidR="00E3108A" w:rsidRDefault="00E3108A">
      <w:pPr>
        <w:rPr>
          <w:rFonts w:ascii="Times New Roman" w:hAnsi="Times New Roman"/>
          <w:sz w:val="24"/>
          <w:szCs w:val="24"/>
        </w:rPr>
      </w:pPr>
    </w:p>
    <w:p w:rsidR="00B90696" w:rsidRDefault="00B90696" w:rsidP="00B9069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B90696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Supplementary Table S4.</w:t>
      </w:r>
      <w:r w:rsidRPr="00B90696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Mass Isotopomer Distribution of amino acids under hete</w:t>
      </w:r>
      <w:r w:rsidR="009D2A49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ro</w:t>
      </w:r>
      <w:r w:rsidRPr="00B90696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trophic </w:t>
      </w:r>
      <w:r w:rsidR="009D2A49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growth</w:t>
      </w:r>
      <w:r w:rsidRPr="00B90696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with</w:t>
      </w:r>
      <w:r w:rsidR="00B11229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="00B11229" w:rsidRPr="00F45343">
        <w:rPr>
          <w:rFonts w:ascii="Times New Roman" w:hAnsi="Times New Roman"/>
          <w:sz w:val="24"/>
          <w:szCs w:val="24"/>
        </w:rPr>
        <w:t>D-</w:t>
      </w:r>
      <w:r w:rsidR="00B11229">
        <w:rPr>
          <w:rFonts w:ascii="Times New Roman" w:hAnsi="Times New Roman"/>
          <w:sz w:val="24"/>
          <w:szCs w:val="24"/>
        </w:rPr>
        <w:t>[1-</w:t>
      </w:r>
      <w:r w:rsidR="00B11229" w:rsidRPr="00F45343">
        <w:rPr>
          <w:rFonts w:ascii="Times New Roman" w:hAnsi="Times New Roman"/>
          <w:sz w:val="24"/>
          <w:szCs w:val="24"/>
          <w:vertAlign w:val="superscript"/>
        </w:rPr>
        <w:t>13</w:t>
      </w:r>
      <w:r w:rsidR="00B11229" w:rsidRPr="00F45343">
        <w:rPr>
          <w:rFonts w:ascii="Times New Roman" w:hAnsi="Times New Roman"/>
          <w:sz w:val="24"/>
          <w:szCs w:val="24"/>
        </w:rPr>
        <w:t>C</w:t>
      </w:r>
      <w:r w:rsidR="00B11229">
        <w:rPr>
          <w:rFonts w:ascii="Times New Roman" w:hAnsi="Times New Roman"/>
          <w:sz w:val="24"/>
          <w:szCs w:val="24"/>
        </w:rPr>
        <w:t>]fructose.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8"/>
        <w:gridCol w:w="1069"/>
        <w:gridCol w:w="1069"/>
        <w:gridCol w:w="1069"/>
        <w:gridCol w:w="1068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 w:rsidP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Amino Acid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m/z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M+1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M+3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M+4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M+5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M+6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M+7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M+9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Alanine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232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0.9759 ± 0.0027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0.0230 ± 0.0035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0.0011 ± 0.0009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0.3509 ± 0.0135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0.6407 ± 0.0138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0.0078 ± 0.0003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0.0006 ± 0.0006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Glycine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218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0.9950 ± 0.0021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0.0049 ± 0.0021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246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0.9357 ± 0.0068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0.0638 ± 0.0072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0.0005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Valine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0.9513 ± 0.0058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0.0436 ± 0.0057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0.0049 ± 0.0005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0.00003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288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0.3314 ± 0.0117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0.6486 ± 0.0148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0.0194 ± 0.0028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0.0006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0.00002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0.00001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Leucine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274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0.9364 ± 0.0068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0.0620 ± 0.0067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0.0013 ± 0.0002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0.0002 + 0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0.00001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Isoleucine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274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 xml:space="preserve">0.8210975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± 0.0120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0.1654325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± 0.0083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0.01305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0.0040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0.0003375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Methionine 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292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0.8280 ± 0.0094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0.1671 ± 0.0112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320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0.7391 ± 0.0183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0.2339 ± 0.0158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0.0239 ± 0.0044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0.0029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Serine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362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0.9378 ± 0.0109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0.0619 ± 0.0105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0.0003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390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0.9064 ± 0.0159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0.0789 ± 0.0155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0.0146 ± 0.0014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Threonine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376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0.8401 ± 0.0089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0.1544 ± 0.0098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0.0055 ± 0.0016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404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0.7867 ± 0.0107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0.1954 ± 0.0125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0.0161 ± 0.0056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0.0017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Phenylalanine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0.9390 ± 0.0068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0.0590 ± 0.0069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0.00195 ± 0.008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0.8456 ± 0.0215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0.1394 ± 0.0191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0.0125 ± 0.0037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0.0022 ± 0.0001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0.0002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336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0.8209 ± 0.0256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0.1435 ± 0.0182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0.0327 ± 0.0082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0.0028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Aspartic acid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0.8938 ± 0.0062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0.0929 ± 0.0029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0.0132 ± 0.0035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390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0.8415 ± 0.0102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0.1486 ± 0.0085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0.0094 ± 0.0017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0.0004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418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0.7777 ± 0.0107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0.2021 ±0.0077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0.0189 ± 0.0023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0.0011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0.0002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Glutamic acid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0.9176 ± 0.0118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0.0784 ± 0.0112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0.0031 ±.0006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0.0008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0.00005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432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0.8192 ± 0.0129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0.1679 ± 0.0102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0.0125 ± .0028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0.0002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0.0001 ±0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Histidine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338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0.4626 ± 0.0091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0.4672 ± 0.0173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0.0427 ± 0.0119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0.0255 ± 0.0030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0.0008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0.0009 ± 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22279D">
        <w:trPr>
          <w:trHeight w:val="300"/>
        </w:trPr>
        <w:tc>
          <w:tcPr>
            <w:tcW w:w="1324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440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0.4600 ± 0.0100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0.4884 ± 0.0228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0.0432 ± 0.0130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0.0082 ±0.0039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B90696" w:rsidRPr="00B90696" w:rsidRDefault="00B90696" w:rsidP="00B90696">
      <w:pPr>
        <w:rPr>
          <w:rFonts w:ascii="Times New Roman" w:hAnsi="Times New Roman"/>
          <w:sz w:val="20"/>
          <w:szCs w:val="20"/>
        </w:rPr>
      </w:pPr>
    </w:p>
    <w:p w:rsidR="00B90696" w:rsidRDefault="00140266">
      <w:pPr>
        <w:rPr>
          <w:rFonts w:ascii="Times New Roman" w:hAnsi="Times New Roman"/>
          <w:sz w:val="24"/>
          <w:szCs w:val="24"/>
        </w:rPr>
      </w:pPr>
      <w:r w:rsidRPr="00140266">
        <w:rPr>
          <w:rFonts w:ascii="Times New Roman" w:hAnsi="Times New Roman"/>
          <w:b/>
          <w:sz w:val="24"/>
          <w:szCs w:val="24"/>
        </w:rPr>
        <w:t>Supplementary Table S5.</w:t>
      </w:r>
      <w:r w:rsidRPr="00140266">
        <w:rPr>
          <w:rFonts w:ascii="Times New Roman" w:hAnsi="Times New Roman"/>
          <w:sz w:val="24"/>
          <w:szCs w:val="24"/>
        </w:rPr>
        <w:t xml:space="preserve"> Mass Isotopomer Distribution of amino acids under hete</w:t>
      </w:r>
      <w:r w:rsidR="009D2A49">
        <w:rPr>
          <w:rFonts w:ascii="Times New Roman" w:hAnsi="Times New Roman"/>
          <w:sz w:val="24"/>
          <w:szCs w:val="24"/>
        </w:rPr>
        <w:t>ro</w:t>
      </w:r>
      <w:r w:rsidRPr="00140266">
        <w:rPr>
          <w:rFonts w:ascii="Times New Roman" w:hAnsi="Times New Roman"/>
          <w:sz w:val="24"/>
          <w:szCs w:val="24"/>
        </w:rPr>
        <w:t xml:space="preserve">trophic </w:t>
      </w:r>
      <w:r w:rsidR="00B11229">
        <w:rPr>
          <w:rFonts w:ascii="Times New Roman" w:hAnsi="Times New Roman"/>
          <w:sz w:val="24"/>
          <w:szCs w:val="24"/>
        </w:rPr>
        <w:t>growth</w:t>
      </w:r>
      <w:r w:rsidRPr="00140266">
        <w:rPr>
          <w:rFonts w:ascii="Times New Roman" w:hAnsi="Times New Roman"/>
          <w:sz w:val="24"/>
          <w:szCs w:val="24"/>
        </w:rPr>
        <w:t xml:space="preserve"> with </w:t>
      </w:r>
      <w:r w:rsidR="009D2A49">
        <w:rPr>
          <w:rFonts w:ascii="Times New Roman" w:hAnsi="Times New Roman"/>
          <w:sz w:val="24"/>
          <w:szCs w:val="24"/>
        </w:rPr>
        <w:t>[1,2-</w:t>
      </w:r>
      <w:r w:rsidR="009D2A49" w:rsidRPr="00F45343">
        <w:rPr>
          <w:rFonts w:ascii="Times New Roman" w:hAnsi="Times New Roman"/>
          <w:sz w:val="24"/>
          <w:szCs w:val="24"/>
          <w:vertAlign w:val="superscript"/>
        </w:rPr>
        <w:t>13</w:t>
      </w:r>
      <w:r w:rsidR="009D2A49">
        <w:rPr>
          <w:rFonts w:ascii="Times New Roman" w:hAnsi="Times New Roman"/>
          <w:sz w:val="24"/>
          <w:szCs w:val="24"/>
        </w:rPr>
        <w:t>C]g</w:t>
      </w:r>
      <w:r w:rsidR="009D2A49" w:rsidRPr="00F45343">
        <w:rPr>
          <w:rFonts w:ascii="Times New Roman" w:hAnsi="Times New Roman"/>
          <w:sz w:val="24"/>
          <w:szCs w:val="24"/>
        </w:rPr>
        <w:t>lycerol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1"/>
        <w:gridCol w:w="1091"/>
        <w:gridCol w:w="1091"/>
        <w:gridCol w:w="1091"/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090"/>
      </w:tblGrid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 w:rsidP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Amino Acid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m/z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M+9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Alanine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0.0495 ± 0.0022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0.5002 ± 0.0009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0.4504 ± 0.0023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0.0221 ± 0.0013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0.1317 ± 0.0056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0.7290 ± 0.0131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0.117145 ± 0.0070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Glycine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0.1025 ± 0.0052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0.8974 ± 0.0052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246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0.0432 ± 0.0025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0.4732 ± 0.0035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0.4835 ± 0.0041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Valine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 xml:space="preserve">0.0046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0.0001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0.0488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0.0022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0.2918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0.0021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0.4519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0.0025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0.2029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0.0024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288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0.0029 ± 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0.0169 ± 0.0011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0.1079 ± 0.0040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0.4304 ± 0.0026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0.3897 ± 0.0045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0.0521 ± 0.0023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Leucine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274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0.0022 ± 0.0001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0.0248 ± 0.0011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0.1678 ± 0.0012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0.3708 ± 0.0010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0.3302 ± 0.0012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0.1041 ± 0.0005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Isoleucine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274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0.0039 ± 0.0001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0.0279 ± 0.0006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0.1532 ± 0.0024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0.3613 ± 0.0011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0.3435 ± 0.0008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0.1103 ± 0.0035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 xml:space="preserve">Methionine 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292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0.0152 ± 0.0016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0.1277 ± 0.0009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0.3585 ± 0.0012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0.3735 ± 0.0012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0.1249 ± 0.0022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320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0.0066 ± 0.0002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0.0418 ± 0.0018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0.2062 ± 0.0012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0.3885 ± 0.0032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0.2921 ± 0.0024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0.0647 ± 0.0032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Serine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362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0.0474 ± 0.0027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0.4949 ± 0.0019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0.4577 ± 0.0027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390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0.0217 ± 0.0013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0.1540 ± 0.0086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0.6809 ± 0.0186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0.1434 ± 0.0093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Threonine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376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0.0342 ± 0.0017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0.2322 ± 0.0028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0.4928 ± 0.0048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0.2407 ± 0.0066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404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0.0100 ± 0.0003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0.0777 ± 0.0017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0.3444 ± 0.0029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0.4406 ± 0.0048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0.1272 ± 0.0024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Phenylalanine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0.0428 ± 0.0011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0.4737 ± 0.004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0.4834 ± 0.0038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0.0029 ± 0.0002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0.0001 ± 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0.0056 ± 0.0005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0.0405 ± 0.0019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0.1772 ± 0.0016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0.3472 ± 0.0015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0.3098 ± 0.0032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0.1092 ± 0.0009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0.0073 ± 0.0008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0.0004 ± 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0.0027 ± 0.0003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0.0171 ± 0.0017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0.0821 ± 0.0027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0.2639 ± 0.0026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0.3745 ± 0.0058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0.2175 ± 0.0025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0.0396 ± 0.0036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0.0020 ± 0.0004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Aspartic acid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0.0879 ± 0.002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0.4883 ± 0.0007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0.4238 ± 0.0021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390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0.0326 ± 0.0008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0.2335 ± 0.0029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0.4937 ± 0.0021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0.2401 ± 0.0018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0.0130 ± 0.0007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0.0827 ± 0.0018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0.3460 ± 0.0031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0.4339 ± 0.0033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0.1243 ± 0.0014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Glutamic acid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0.0113 ± 0.0003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0.0865 ± 0.0007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0.3197 ± 0.0015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0.4128 ± 0.0016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0.1697 ± 0.0005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0.0037 ± 0.0004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0.0279 ± 0.0003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0.1568 ± 0.0017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0.3639 ± 0.0013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0.3418 ± 0.0019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0.1059 ± 0.0013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Histidine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0.0018 ± 0.0001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0.0368 ± 0.0030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0.1722 ± 0.0042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0.3640 ± 0.0047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0.3136 ± 0.0037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0.1114 ± 0.0027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B9069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440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0.0016 ± 0.0012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0.0137 ± 0.0021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0.0754 ± 0.0036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0.2825 ± 0.0029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0.4047 ± 0.0087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0.2061 ± 0.0014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0.0158 ± 0.0035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B90696" w:rsidRPr="00140266" w:rsidRDefault="00B9069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B90696" w:rsidRDefault="00B90696">
      <w:pPr>
        <w:rPr>
          <w:rFonts w:ascii="Times New Roman" w:hAnsi="Times New Roman"/>
          <w:sz w:val="20"/>
          <w:szCs w:val="20"/>
        </w:rPr>
      </w:pPr>
    </w:p>
    <w:p w:rsidR="00140266" w:rsidRPr="00140266" w:rsidRDefault="00140266">
      <w:pPr>
        <w:rPr>
          <w:rFonts w:ascii="Times New Roman" w:hAnsi="Times New Roman"/>
          <w:sz w:val="24"/>
          <w:szCs w:val="24"/>
        </w:rPr>
      </w:pPr>
      <w:r w:rsidRPr="00140266">
        <w:rPr>
          <w:rFonts w:ascii="Times New Roman" w:hAnsi="Times New Roman"/>
          <w:b/>
          <w:sz w:val="24"/>
          <w:szCs w:val="24"/>
        </w:rPr>
        <w:t>Supplementary Table S6.</w:t>
      </w:r>
      <w:r w:rsidRPr="00140266">
        <w:rPr>
          <w:rFonts w:ascii="Times New Roman" w:hAnsi="Times New Roman"/>
          <w:sz w:val="24"/>
          <w:szCs w:val="24"/>
        </w:rPr>
        <w:t xml:space="preserve"> Mass Isotopomer Distribution of amino acids under mixotrophic </w:t>
      </w:r>
      <w:r w:rsidR="00B11229">
        <w:rPr>
          <w:rFonts w:ascii="Times New Roman" w:hAnsi="Times New Roman"/>
          <w:sz w:val="24"/>
          <w:szCs w:val="24"/>
        </w:rPr>
        <w:t>growth</w:t>
      </w:r>
      <w:r w:rsidRPr="00140266">
        <w:rPr>
          <w:rFonts w:ascii="Times New Roman" w:hAnsi="Times New Roman"/>
          <w:sz w:val="24"/>
          <w:szCs w:val="24"/>
        </w:rPr>
        <w:t xml:space="preserve"> with </w:t>
      </w:r>
      <w:r w:rsidR="009D2A49">
        <w:rPr>
          <w:rFonts w:ascii="Times New Roman" w:hAnsi="Times New Roman"/>
          <w:sz w:val="24"/>
          <w:szCs w:val="24"/>
        </w:rPr>
        <w:t>[1,2-</w:t>
      </w:r>
      <w:r w:rsidR="009D2A49" w:rsidRPr="00F45343">
        <w:rPr>
          <w:rFonts w:ascii="Times New Roman" w:hAnsi="Times New Roman"/>
          <w:sz w:val="24"/>
          <w:szCs w:val="24"/>
          <w:vertAlign w:val="superscript"/>
        </w:rPr>
        <w:t>13</w:t>
      </w:r>
      <w:r w:rsidR="009D2A49">
        <w:rPr>
          <w:rFonts w:ascii="Times New Roman" w:hAnsi="Times New Roman"/>
          <w:sz w:val="24"/>
          <w:szCs w:val="24"/>
        </w:rPr>
        <w:t>C]g</w:t>
      </w:r>
      <w:r w:rsidR="009D2A49" w:rsidRPr="00F45343">
        <w:rPr>
          <w:rFonts w:ascii="Times New Roman" w:hAnsi="Times New Roman"/>
          <w:sz w:val="24"/>
          <w:szCs w:val="24"/>
        </w:rPr>
        <w:t>lycerol</w:t>
      </w:r>
      <w:r w:rsidR="009D2A49">
        <w:rPr>
          <w:rFonts w:ascii="Times New Roman" w:hAnsi="Times New Roman"/>
          <w:sz w:val="24"/>
          <w:szCs w:val="24"/>
        </w:rPr>
        <w:t xml:space="preserve"> and CO</w:t>
      </w:r>
      <w:r w:rsidR="009D2A49" w:rsidRPr="00DE5197">
        <w:rPr>
          <w:rFonts w:ascii="Times New Roman" w:hAnsi="Times New Roman"/>
          <w:sz w:val="24"/>
          <w:szCs w:val="24"/>
          <w:vertAlign w:val="subscript"/>
        </w:rPr>
        <w:t>2</w:t>
      </w:r>
      <w:r w:rsidR="009D2A49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1"/>
        <w:gridCol w:w="1091"/>
        <w:gridCol w:w="1091"/>
        <w:gridCol w:w="1091"/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090"/>
      </w:tblGrid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 w:rsidP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Amino Acid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m/z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M+9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Alanine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0.2128 ± 0.0341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0.4596 ± 0.0103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0.3275 ± 0.0239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 xml:space="preserve">0.1996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0.0337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0.3592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0.0214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0.4174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0.0544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0.0238 ± </w:t>
            </w: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0.0124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lastRenderedPageBreak/>
              <w:t>Glycine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0.3111 ± 0.0365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0.6889 ± 0.0365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246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0.3019 ± 0.0322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0.6202 ± 0.0331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0.0778 ± 0.0263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Valine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0.0680 ± 0.0141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0.1824 ± 0.0264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0.3352 ± 0.0050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0.3045 ± 0.0294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0.1097 ± 0.0156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288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0.0652 ± 0.0132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0.1620 ± 0.0281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0.2968 ± 0.0182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0.3150 ± 0.0292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0.1526 ± 0.0299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0.0083 ± 0.0003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Leucine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274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0.0467 ± 0.0098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0.1282 ± 0.0227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0.2652 ± 0.0169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0.3132 ± 0.0143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0.1966 ± 0.0253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0.0501 ± 0.0093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Isoleucine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274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0.0630 ± 0.0123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0.1669 ± 0.0247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0.3057 ± 0.0141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0.3023 ± 0.0226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0.1426 ± 0.0239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0.0194 ± 0.0052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 xml:space="preserve">Methionine 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292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0.1252 ± 0.0184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0.2987 ± 0.0191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0.3709 ± 0.0131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0.1813 ± 0.0240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0.0238 ± 0.0059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320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0.1144 ± 0.0203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0.2522 ± 0.0259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0.3458 ± 0.0147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0.2137 ± 0.0306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0.0634 ± 0.0147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0.0105 ± 0.0009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Serine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362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0.2083 ± 0.0329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0.4664 ± 0.0091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0.3252 ± 0.0249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390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0.2044 ± 0.0301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0.3962 ± 0.0085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0.3813 ± 0.0359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0.0180 ± 0.0016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Threonine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376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0.1956 ± 0.0318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0.3937 ± 0.0144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0.3530 ± 0.0287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0.0576 ± 0.0137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404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0.1695 ± 0.0243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0.3279 ± 0.0245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0.3661 ± 0.0266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0.1113 ± 0.0236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0.0250 ± 0.0009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Phenylalanine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0.2943 ± 0.0338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0.6091 ± 0.0236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0.0965 ± 0.0242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0.0279 ± 0.0061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0.0491 ± 0.0130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0.1184 ± 0.0245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0.2083 ± 0.0237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0.2584 ± 0.0085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0.2121 ± 0.0303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0.1038 ± 0.0242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0.0213 ± 0.0066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0.0004 ± 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0.0268 ± 0.0062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0.0480 ± 0.0130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0.1133 ± 0.0233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0.1965 ± 0.0244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0.2459 ± 0.0120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0.2168 ± 0.0282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0.1202 ± 0.0307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0.0307 ± 0.0099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0.0015 ± 0.0002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0.0002 ± 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Aspartic acid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0.3550 ± 0.0410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0.5093 ± 0.0131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0.1357 ± 0.0307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390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0.1958 ± 0.0287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0.3921 ± 0.0086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0.3582 ± 0.0218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0.0539 ± 0.0185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0.1767 ± 0.0303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0.3209 ± 0.0211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0.3703 ± 0.0257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0.1034 ± 0.0311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0.0286 ± 0.0075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Glutamic acid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0.0769 ± 0.0149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0.2009 ± 0.0203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0.3411 ± 0.0046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0.2860 ± 0.0248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0.0950 ± 0.0112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0.0644 ± 0.0204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0.1618 ± 0.0302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0.3047 ± 0.0222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0.3044 ± 0.0255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0.1451 ± 0.0376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0.0196 ± 0.0011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Histidine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[M-85]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338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0.0797 ± 0.0183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0.2241 ± 0.0347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0.3013 ± 0.0174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0.2613 ± 0.0420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0.1017 ± 0.0200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0.0319 ± 0.0087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40266" w:rsidRPr="00140266" w:rsidTr="00140266">
        <w:trPr>
          <w:trHeight w:val="300"/>
        </w:trPr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[M-57]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440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0.0634 ± 0.0149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0.1595 ± 0.0277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0.2636 ± 0.0223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0.2882 ± 0.0203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0.1752 ± 0.0333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0.0473 ± 0.0118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0.0027 ± 0.0032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:rsidR="00140266" w:rsidRPr="00140266" w:rsidRDefault="00140266">
            <w:pPr>
              <w:rPr>
                <w:rFonts w:ascii="Times New Roman" w:hAnsi="Times New Roman"/>
                <w:sz w:val="20"/>
                <w:szCs w:val="20"/>
              </w:rPr>
            </w:pPr>
            <w:r w:rsidRPr="00140266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140266" w:rsidRDefault="00140266">
      <w:pPr>
        <w:rPr>
          <w:rFonts w:ascii="Times New Roman" w:hAnsi="Times New Roman"/>
          <w:sz w:val="20"/>
          <w:szCs w:val="20"/>
        </w:rPr>
      </w:pPr>
    </w:p>
    <w:sectPr w:rsidR="00140266" w:rsidSect="00B90696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90"/>
  <w:defaultTabStop w:val="720"/>
  <w:characterSpacingControl w:val="doNotCompress"/>
  <w:compat/>
  <w:rsids>
    <w:rsidRoot w:val="00385D49"/>
    <w:rsid w:val="00045CCB"/>
    <w:rsid w:val="00065A39"/>
    <w:rsid w:val="00140266"/>
    <w:rsid w:val="001B7A63"/>
    <w:rsid w:val="001D48EA"/>
    <w:rsid w:val="0022279D"/>
    <w:rsid w:val="00227859"/>
    <w:rsid w:val="00255096"/>
    <w:rsid w:val="00303EE9"/>
    <w:rsid w:val="00385D49"/>
    <w:rsid w:val="00393E68"/>
    <w:rsid w:val="00395CFB"/>
    <w:rsid w:val="003F2C67"/>
    <w:rsid w:val="00430976"/>
    <w:rsid w:val="00623462"/>
    <w:rsid w:val="006562B3"/>
    <w:rsid w:val="006765ED"/>
    <w:rsid w:val="006826A5"/>
    <w:rsid w:val="006E7A17"/>
    <w:rsid w:val="008A49D5"/>
    <w:rsid w:val="008B126B"/>
    <w:rsid w:val="009877D3"/>
    <w:rsid w:val="009D2A49"/>
    <w:rsid w:val="00A16C05"/>
    <w:rsid w:val="00B05B33"/>
    <w:rsid w:val="00B11229"/>
    <w:rsid w:val="00B90696"/>
    <w:rsid w:val="00B97FD7"/>
    <w:rsid w:val="00C43790"/>
    <w:rsid w:val="00C55756"/>
    <w:rsid w:val="00CB411E"/>
    <w:rsid w:val="00D1373C"/>
    <w:rsid w:val="00D2627F"/>
    <w:rsid w:val="00D31E9E"/>
    <w:rsid w:val="00D83237"/>
    <w:rsid w:val="00D8604A"/>
    <w:rsid w:val="00E3108A"/>
    <w:rsid w:val="00F611D0"/>
    <w:rsid w:val="00FD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7F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5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826A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Revision">
    <w:name w:val="Revision"/>
    <w:hidden/>
    <w:uiPriority w:val="99"/>
    <w:semiHidden/>
    <w:rsid w:val="009D2A49"/>
    <w:rPr>
      <w:sz w:val="22"/>
      <w:szCs w:val="22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Naglis Malys</dc:creator>
  <cp:lastModifiedBy>0012435</cp:lastModifiedBy>
  <cp:revision>2</cp:revision>
  <dcterms:created xsi:type="dcterms:W3CDTF">2017-11-23T13:42:00Z</dcterms:created>
  <dcterms:modified xsi:type="dcterms:W3CDTF">2017-11-23T13:42:00Z</dcterms:modified>
</cp:coreProperties>
</file>