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9" w:name="manual-de-usuario-bioszen-español"/>
    <w:p>
      <w:pPr>
        <w:pStyle w:val="Heading1"/>
      </w:pPr>
      <w:r>
        <w:t xml:space="preserve">Manual de Usuario BIOSZEN (Español)</w:t>
      </w:r>
    </w:p>
    <w:p>
      <w:pPr>
        <w:pStyle w:val="FirstParagraph"/>
      </w:pPr>
      <w:r>
        <w:t xml:space="preserve">Guía práctica para usar BIOSZEN desde archivos crudos hasta salidas reproducibles.</w:t>
      </w:r>
    </w:p>
    <w:p>
      <w:pPr>
        <w:pStyle w:val="BodyText"/>
      </w:pPr>
      <w:r>
        <w:drawing>
          <wp:inline>
            <wp:extent cx="5334000" cy="2341239"/>
            <wp:effectExtent b="0" l="0" r="0" t="0"/>
            <wp:docPr descr="Vista general de BIOSZEN" title="" id="80" name="Picture"/>
            <a:graphic>
              <a:graphicData uri="http://schemas.openxmlformats.org/drawingml/2006/picture">
                <pic:pic>
                  <pic:nvPicPr>
                    <pic:cNvPr descr="manual_images/01_app_home_overview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412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rPr>
          <w:b/>
          <w:bCs/>
        </w:rPr>
        <w:t xml:space="preserve">IMPORTANT:</w:t>
      </w:r>
      <w:r>
        <w:t xml:space="preserve"> </w:t>
      </w:r>
      <w:r>
        <w:t xml:space="preserve">Si es posible, usa el modo</w:t>
      </w:r>
      <w:r>
        <w:t xml:space="preserve"> </w:t>
      </w:r>
      <w:r>
        <w:rPr>
          <w:b/>
          <w:bCs/>
        </w:rPr>
        <w:t xml:space="preserve">Platemap + Curvas</w:t>
      </w:r>
      <w:r>
        <w:t xml:space="preserve">. Es el flujo con mejor soporte para estadística, control de calidad de réplicas y exportaciones completas.</w:t>
      </w:r>
    </w:p>
    <w:p>
      <w:pPr>
        <w:pStyle w:val="BlockText"/>
      </w:pPr>
      <w:r>
        <w:rPr>
          <w:b/>
          <w:bCs/>
        </w:rPr>
        <w:t xml:space="preserve">TIP:</w:t>
      </w:r>
      <w:r>
        <w:t xml:space="preserve"> </w:t>
      </w:r>
      <w:r>
        <w:t xml:space="preserve">Mantén este manual abierto mientras trabajas. Cada sección incluye acciones rápidas y referencia técnica.</w:t>
      </w:r>
    </w:p>
    <w:bookmarkStart w:id="82" w:name="mapa-del-manual"/>
    <w:p>
      <w:pPr>
        <w:pStyle w:val="Heading2"/>
      </w:pPr>
      <w:r>
        <w:t xml:space="preserve">Mapa del Manual</w:t>
      </w:r>
    </w:p>
    <w:p>
      <w:pPr>
        <w:pStyle w:val="Compact"/>
        <w:numPr>
          <w:ilvl w:val="0"/>
          <w:numId w:val="1001"/>
        </w:numPr>
      </w:pPr>
      <w:hyperlink w:anchor="Xfa07d81b5028cbd5b0e841e8fb030e9e91246a4">
        <w:r>
          <w:rPr>
            <w:rStyle w:val="Hyperlink"/>
          </w:rPr>
          <w:t xml:space="preserve">1. Antes de Empezar</w:t>
        </w:r>
      </w:hyperlink>
    </w:p>
    <w:p>
      <w:pPr>
        <w:pStyle w:val="Compact"/>
        <w:numPr>
          <w:ilvl w:val="0"/>
          <w:numId w:val="1001"/>
        </w:numPr>
      </w:pPr>
      <w:hyperlink w:anchor="X9fb895dda62211d8c48fb9835c8aff5234266cd">
        <w:r>
          <w:rPr>
            <w:rStyle w:val="Hyperlink"/>
          </w:rPr>
          <w:t xml:space="preserve">2. Inicio Rápido por Escenario</w:t>
        </w:r>
      </w:hyperlink>
    </w:p>
    <w:p>
      <w:pPr>
        <w:pStyle w:val="Compact"/>
        <w:numPr>
          <w:ilvl w:val="0"/>
          <w:numId w:val="1001"/>
        </w:numPr>
      </w:pPr>
      <w:hyperlink w:anchor="X1091fe1583fe3857e5eb63f1db55c9abd452c2a">
        <w:r>
          <w:rPr>
            <w:rStyle w:val="Hyperlink"/>
          </w:rPr>
          <w:t xml:space="preserve">3. Elegir un Modo de Entrada</w:t>
        </w:r>
      </w:hyperlink>
    </w:p>
    <w:p>
      <w:pPr>
        <w:pStyle w:val="Compact"/>
        <w:numPr>
          <w:ilvl w:val="0"/>
          <w:numId w:val="1001"/>
        </w:numPr>
      </w:pPr>
      <w:hyperlink w:anchor="Xbe7d00576ea19b5f785210b268d589dfe016b9b">
        <w:r>
          <w:rPr>
            <w:rStyle w:val="Hyperlink"/>
          </w:rPr>
          <w:t xml:space="preserve">4. Especificaciones de Entrada</w:t>
        </w:r>
      </w:hyperlink>
    </w:p>
    <w:p>
      <w:pPr>
        <w:pStyle w:val="Compact"/>
        <w:numPr>
          <w:ilvl w:val="0"/>
          <w:numId w:val="1001"/>
        </w:numPr>
      </w:pPr>
      <w:hyperlink w:anchor="Xae12b15562da4a61da4abe7db29e767bcfa80b7">
        <w:r>
          <w:rPr>
            <w:rStyle w:val="Hyperlink"/>
          </w:rPr>
          <w:t xml:space="preserve">5. Flujo Estándar</w:t>
        </w:r>
      </w:hyperlink>
    </w:p>
    <w:p>
      <w:pPr>
        <w:pStyle w:val="Compact"/>
        <w:numPr>
          <w:ilvl w:val="0"/>
          <w:numId w:val="1001"/>
        </w:numPr>
      </w:pPr>
      <w:hyperlink w:anchor="Xaf81bc0f9fdfe300180131f47955cd5d6f20688">
        <w:r>
          <w:rPr>
            <w:rStyle w:val="Hyperlink"/>
          </w:rPr>
          <w:t xml:space="preserve">6. Tipos de Gráfico y Controles</w:t>
        </w:r>
      </w:hyperlink>
    </w:p>
    <w:p>
      <w:pPr>
        <w:pStyle w:val="Compact"/>
        <w:numPr>
          <w:ilvl w:val="0"/>
          <w:numId w:val="1001"/>
        </w:numPr>
      </w:pPr>
      <w:hyperlink w:anchor="X784a3f1f5904a93f9634a04c4f667f10394c63c">
        <w:r>
          <w:rPr>
            <w:rStyle w:val="Hyperlink"/>
          </w:rPr>
          <w:t xml:space="preserve">7. Normalización</w:t>
        </w:r>
      </w:hyperlink>
    </w:p>
    <w:p>
      <w:pPr>
        <w:pStyle w:val="Compact"/>
        <w:numPr>
          <w:ilvl w:val="0"/>
          <w:numId w:val="1001"/>
        </w:numPr>
      </w:pPr>
      <w:hyperlink w:anchor="X08b670b6b7f9a75f2188e36fdc7de5816db16f1">
        <w:r>
          <w:rPr>
            <w:rStyle w:val="Hyperlink"/>
          </w:rPr>
          <w:t xml:space="preserve">8. Estadística</w:t>
        </w:r>
      </w:hyperlink>
    </w:p>
    <w:p>
      <w:pPr>
        <w:pStyle w:val="Compact"/>
        <w:numPr>
          <w:ilvl w:val="0"/>
          <w:numId w:val="1001"/>
        </w:numPr>
      </w:pPr>
      <w:hyperlink w:anchor="Xfd951e1857e16be0fbfbc51e6054c4da8871e10">
        <w:r>
          <w:rPr>
            <w:rStyle w:val="Hyperlink"/>
          </w:rPr>
          <w:t xml:space="preserve">9. Anotaciones de Significancia</w:t>
        </w:r>
      </w:hyperlink>
    </w:p>
    <w:p>
      <w:pPr>
        <w:pStyle w:val="Compact"/>
        <w:numPr>
          <w:ilvl w:val="0"/>
          <w:numId w:val="1001"/>
        </w:numPr>
      </w:pPr>
      <w:hyperlink w:anchor="Xc2b86501cc804adc80e56831b8510edbedb0cab">
        <w:r>
          <w:rPr>
            <w:rStyle w:val="Hyperlink"/>
          </w:rPr>
          <w:t xml:space="preserve">10. Control de Calidad y Réplicas</w:t>
        </w:r>
      </w:hyperlink>
    </w:p>
    <w:p>
      <w:pPr>
        <w:pStyle w:val="Compact"/>
        <w:numPr>
          <w:ilvl w:val="0"/>
          <w:numId w:val="1001"/>
        </w:numPr>
      </w:pPr>
      <w:hyperlink w:anchor="Xfea01682663a764101ef30ec6c870560247e7f1">
        <w:r>
          <w:rPr>
            <w:rStyle w:val="Hyperlink"/>
          </w:rPr>
          <w:t xml:space="preserve">11. Metadatos y Reproducibilidad</w:t>
        </w:r>
      </w:hyperlink>
    </w:p>
    <w:p>
      <w:pPr>
        <w:pStyle w:val="Compact"/>
        <w:numPr>
          <w:ilvl w:val="0"/>
          <w:numId w:val="1001"/>
        </w:numPr>
      </w:pPr>
      <w:hyperlink w:anchor="X218df2ee725d0504d93acc386923c3d90ed9ec6">
        <w:r>
          <w:rPr>
            <w:rStyle w:val="Hyperlink"/>
          </w:rPr>
          <w:t xml:space="preserve">12. Descargas</w:t>
        </w:r>
      </w:hyperlink>
    </w:p>
    <w:p>
      <w:pPr>
        <w:pStyle w:val="Compact"/>
        <w:numPr>
          <w:ilvl w:val="0"/>
          <w:numId w:val="1001"/>
        </w:numPr>
      </w:pPr>
      <w:hyperlink w:anchor="X08302a07caa98f2a5467429728a16104e228911">
        <w:r>
          <w:rPr>
            <w:rStyle w:val="Hyperlink"/>
          </w:rPr>
          <w:t xml:space="preserve">13. Módulo de Crecimiento</w:t>
        </w:r>
      </w:hyperlink>
    </w:p>
    <w:p>
      <w:pPr>
        <w:pStyle w:val="Compact"/>
        <w:numPr>
          <w:ilvl w:val="0"/>
          <w:numId w:val="1001"/>
        </w:numPr>
      </w:pPr>
      <w:hyperlink w:anchor="X44a0d0ba4189ec8e25809d14d8a3a2c3cd163ae">
        <w:r>
          <w:rPr>
            <w:rStyle w:val="Hyperlink"/>
          </w:rPr>
          <w:t xml:space="preserve">14. Guía de Solución de Problemas</w:t>
        </w:r>
      </w:hyperlink>
    </w:p>
    <w:p>
      <w:pPr>
        <w:pStyle w:val="Compact"/>
        <w:numPr>
          <w:ilvl w:val="0"/>
          <w:numId w:val="1001"/>
        </w:numPr>
      </w:pPr>
      <w:hyperlink w:anchor="X8b3f1f11e9cb04fc73976d75c0f04065017c149">
        <w:r>
          <w:rPr>
            <w:rStyle w:val="Hyperlink"/>
          </w:rPr>
          <w:t xml:space="preserve">15. Soporte</w:t>
        </w:r>
      </w:hyperlink>
    </w:p>
    <w:bookmarkEnd w:id="82"/>
    <w:bookmarkStart w:id="87" w:name="Xfa07d81b5028cbd5b0e841e8fb030e9e91246a4"/>
    <w:p>
      <w:pPr>
        <w:pStyle w:val="Heading2"/>
      </w:pPr>
      <w:r>
        <w:t xml:space="preserve">1. Antes de Empezar</w:t>
      </w:r>
    </w:p>
    <w:p>
      <w:pPr>
        <w:pStyle w:val="FirstParagraph"/>
      </w:pPr>
      <w:r>
        <w:t xml:space="preserve">Requisitos:</w:t>
      </w:r>
    </w:p>
    <w:p>
      <w:pPr>
        <w:pStyle w:val="Compact"/>
        <w:numPr>
          <w:ilvl w:val="0"/>
          <w:numId w:val="1002"/>
        </w:numPr>
      </w:pPr>
      <w:r>
        <w:t xml:space="preserve">R &gt;= 4.1.</w:t>
      </w:r>
    </w:p>
    <w:p>
      <w:pPr>
        <w:pStyle w:val="Compact"/>
        <w:numPr>
          <w:ilvl w:val="0"/>
          <w:numId w:val="1002"/>
        </w:numPr>
      </w:pPr>
      <w:r>
        <w:t xml:space="preserve">BIOSZEN ejecutado desde</w:t>
      </w:r>
      <w:r>
        <w:t xml:space="preserve"> </w:t>
      </w:r>
      <w:r>
        <w:rPr>
          <w:rStyle w:val="VerbatimChar"/>
        </w:rPr>
        <w:t xml:space="preserve">app.R</w:t>
      </w:r>
      <w:r>
        <w:t xml:space="preserve">,</w:t>
      </w:r>
      <w:r>
        <w:t xml:space="preserve"> </w:t>
      </w:r>
      <w:r>
        <w:rPr>
          <w:rStyle w:val="VerbatimChar"/>
        </w:rPr>
        <w:t xml:space="preserve">BIOSZEN::BIOSZEN()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BIOSZEN::run_app()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Archivo de datos para</w:t>
      </w:r>
      <w:r>
        <w:t xml:space="preserve"> </w:t>
      </w:r>
      <w:r>
        <w:rPr>
          <w:b/>
          <w:bCs/>
        </w:rPr>
        <w:t xml:space="preserve">Cargar datos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Excel</w:t>
      </w:r>
      <w:r>
        <w:t xml:space="preserve"> </w:t>
      </w:r>
      <w:r>
        <w:t xml:space="preserve">(</w:t>
      </w:r>
      <w:r>
        <w:rPr>
          <w:rStyle w:val="VerbatimChar"/>
        </w:rPr>
        <w:t xml:space="preserve">.xlsx</w:t>
      </w:r>
      <w:r>
        <w:t xml:space="preserve">,</w:t>
      </w:r>
      <w:r>
        <w:t xml:space="preserve"> </w:t>
      </w:r>
      <w:r>
        <w:rPr>
          <w:rStyle w:val="VerbatimChar"/>
        </w:rPr>
        <w:t xml:space="preserve">.xls</w:t>
      </w:r>
      <w:r>
        <w:t xml:space="preserve">) o</w:t>
      </w:r>
      <w:r>
        <w:t xml:space="preserve"> </w:t>
      </w:r>
      <w:r>
        <w:rPr>
          <w:rStyle w:val="VerbatimChar"/>
        </w:rPr>
        <w:t xml:space="preserve">CSV</w:t>
      </w:r>
      <w:r>
        <w:t xml:space="preserve"> </w:t>
      </w:r>
      <w:r>
        <w:t xml:space="preserve">(</w:t>
      </w:r>
      <w:r>
        <w:rPr>
          <w:rStyle w:val="VerbatimChar"/>
        </w:rPr>
        <w:t xml:space="preserve">.csv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Archivo de curvas para</w:t>
      </w:r>
      <w:r>
        <w:t xml:space="preserve"> </w:t>
      </w:r>
      <w:r>
        <w:rPr>
          <w:b/>
          <w:bCs/>
        </w:rPr>
        <w:t xml:space="preserve">Cargar curvas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Excel</w:t>
      </w:r>
      <w:r>
        <w:t xml:space="preserve"> </w:t>
      </w:r>
      <w:r>
        <w:t xml:space="preserve">(</w:t>
      </w:r>
      <w:r>
        <w:rPr>
          <w:rStyle w:val="VerbatimChar"/>
        </w:rPr>
        <w:t xml:space="preserve">.xlsx</w:t>
      </w:r>
      <w:r>
        <w:t xml:space="preserve">,</w:t>
      </w:r>
      <w:r>
        <w:t xml:space="preserve"> </w:t>
      </w:r>
      <w:r>
        <w:rPr>
          <w:rStyle w:val="VerbatimChar"/>
        </w:rPr>
        <w:t xml:space="preserve">.xls</w:t>
      </w:r>
      <w:r>
        <w:t xml:space="preserve">) o</w:t>
      </w:r>
      <w:r>
        <w:t xml:space="preserve"> </w:t>
      </w:r>
      <w:r>
        <w:rPr>
          <w:rStyle w:val="VerbatimChar"/>
        </w:rPr>
        <w:t xml:space="preserve">CSV</w:t>
      </w:r>
      <w:r>
        <w:t xml:space="preserve"> </w:t>
      </w:r>
      <w:r>
        <w:t xml:space="preserve">(</w:t>
      </w:r>
      <w:r>
        <w:rPr>
          <w:rStyle w:val="VerbatimChar"/>
        </w:rPr>
        <w:t xml:space="preserve">.csv</w:t>
      </w:r>
      <w:r>
        <w:t xml:space="preserve">) cuando las curvas no vienen embebidas en el workbook principal.</w:t>
      </w:r>
    </w:p>
    <w:p>
      <w:pPr>
        <w:pStyle w:val="FirstParagraph"/>
      </w:pPr>
      <w:r>
        <w:t xml:space="preserve">Instala el paquete estable desde R-universe con:</w:t>
      </w:r>
    </w:p>
    <w:p>
      <w:pPr>
        <w:pStyle w:val="SourceCode"/>
      </w:pP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"BIOSZEN"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repos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"https://bioszen.r-universe.dev"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"https://cloud.r-project.org"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BIOSZEN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BIOSZEN</w:t>
      </w:r>
      <w:r>
        <w:rPr>
          <w:rStyle w:val="NormalTok"/>
        </w:rPr>
        <w:t xml:space="preserve">()</w:t>
      </w:r>
    </w:p>
    <w:p>
      <w:pPr>
        <w:pStyle w:val="FirstParagraph"/>
      </w:pPr>
      <w:r>
        <w:t xml:space="preserve">El lanzador del paquete abre el navegador configurado como predeterminado en el</w:t>
      </w:r>
      <w:r>
        <w:t xml:space="preserve"> </w:t>
      </w:r>
      <w:r>
        <w:t xml:space="preserve">sistema operativo. Usa</w:t>
      </w:r>
      <w:r>
        <w:t xml:space="preserve"> </w:t>
      </w:r>
      <w:r>
        <w:rPr>
          <w:rStyle w:val="VerbatimChar"/>
        </w:rPr>
        <w:t xml:space="preserve">BIOSZEN::BIOSZEN(app_window = TRUE)</w:t>
      </w:r>
      <w:r>
        <w:t xml:space="preserve"> </w:t>
      </w:r>
      <w:r>
        <w:t xml:space="preserve">para solicitar una</w:t>
      </w:r>
      <w:r>
        <w:t xml:space="preserve"> </w:t>
      </w:r>
      <w:r>
        <w:t xml:space="preserve">ventana de aplicación independiente de un navegador Chromium. El Addin de</w:t>
      </w:r>
      <w:r>
        <w:t xml:space="preserve"> </w:t>
      </w:r>
      <w:r>
        <w:t xml:space="preserve">RStudio se instala y registra automáticamente con BIOSZEN; no es necesario</w:t>
      </w:r>
      <w:r>
        <w:t xml:space="preserve"> </w:t>
      </w:r>
      <w:r>
        <w:t xml:space="preserve">copiar archivos del Addin manualmente. Reinicia RStudio después de instalar o</w:t>
      </w:r>
      <w:r>
        <w:t xml:space="preserve"> </w:t>
      </w:r>
      <w:r>
        <w:t xml:space="preserve">actualizar BIOSZEN y usa</w:t>
      </w:r>
      <w:r>
        <w:t xml:space="preserve"> </w:t>
      </w:r>
      <w:r>
        <w:rPr>
          <w:b/>
          <w:bCs/>
        </w:rPr>
        <w:t xml:space="preserve">Addins &gt; Launch BIOSZEN in Browser</w:t>
      </w:r>
      <w:r>
        <w:t xml:space="preserve"> </w:t>
      </w:r>
      <w:r>
        <w:t xml:space="preserve">para iniciar la</w:t>
      </w:r>
      <w:r>
        <w:t xml:space="preserve"> </w:t>
      </w:r>
      <w:r>
        <w:t xml:space="preserve">app sin escribir un comando. Opcionalmente, puedes asignar un atajo en **Addins</w:t>
      </w:r>
    </w:p>
    <w:p>
      <w:pPr>
        <w:pStyle w:val="BlockText"/>
      </w:pPr>
      <w:r>
        <w:t xml:space="preserve">Browse Addins &gt; Keyboard Shortcuts**. Usa</w:t>
      </w:r>
      <w:r>
        <w:t xml:space="preserve"> </w:t>
      </w:r>
      <w:r>
        <w:rPr>
          <w:rStyle w:val="VerbatimChar"/>
        </w:rPr>
        <w:t xml:space="preserve">launch.browser = FALSE</w:t>
      </w:r>
      <w:r>
        <w:t xml:space="preserve"> </w:t>
      </w:r>
      <w:r>
        <w:t xml:space="preserve">solo si no</w:t>
      </w:r>
      <w:r>
        <w:t xml:space="preserve"> </w:t>
      </w:r>
      <w:r>
        <w:t xml:space="preserve">deseas que el navegador se abra automáticamente.</w:t>
      </w:r>
    </w:p>
    <w:p>
      <w:pPr>
        <w:pStyle w:val="FirstParagraph"/>
      </w:pPr>
      <w:r>
        <w:t xml:space="preserve">Los métodos independientes mediante</w:t>
      </w:r>
      <w:r>
        <w:t xml:space="preserve"> </w:t>
      </w:r>
      <w:r>
        <w:rPr>
          <w:rStyle w:val="VerbatimChar"/>
        </w:rPr>
        <w:t xml:space="preserve">App.R</w:t>
      </w:r>
      <w:r>
        <w:t xml:space="preserve"> </w:t>
      </w:r>
      <w:r>
        <w:t xml:space="preserve">y el bundle siguen disponibles</w:t>
      </w:r>
      <w:r>
        <w:t xml:space="preserve"> </w:t>
      </w:r>
      <w:r>
        <w:t xml:space="preserve">para quienes prefieran no instalar BIOSZEN desde un repositorio de paquetes.</w:t>
      </w:r>
    </w:p>
    <w:p>
      <w:pPr>
        <w:pStyle w:val="BodyText"/>
      </w:pPr>
      <w:r>
        <w:t xml:space="preserve">Plantillas de referencia disponibles en la app (</w:t>
      </w:r>
      <w:r>
        <w:rPr>
          <w:b/>
          <w:bCs/>
        </w:rPr>
        <w:t xml:space="preserve">Archivos de entrada de referencia (descargar)</w:t>
      </w:r>
      <w:r>
        <w:t xml:space="preserve">) y en: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inst/app/www/reference_files/</w:t>
      </w:r>
    </w:p>
    <w:p>
      <w:pPr>
        <w:pStyle w:val="FirstParagraph"/>
      </w:pPr>
      <w:r>
        <w:t xml:space="preserve">Archivos de plantilla:</w:t>
      </w:r>
    </w:p>
    <w:p>
      <w:pPr>
        <w:pStyle w:val="Compact"/>
        <w:numPr>
          <w:ilvl w:val="0"/>
          <w:numId w:val="1004"/>
        </w:numPr>
      </w:pPr>
      <w:hyperlink r:id="rId83">
        <w:r>
          <w:rPr>
            <w:rStyle w:val="Hyperlink"/>
          </w:rPr>
          <w:t xml:space="preserve">Ejemplo_platemap_parametros.xlsx</w:t>
        </w:r>
      </w:hyperlink>
    </w:p>
    <w:p>
      <w:pPr>
        <w:pStyle w:val="Compact"/>
        <w:numPr>
          <w:ilvl w:val="0"/>
          <w:numId w:val="1004"/>
        </w:numPr>
      </w:pPr>
      <w:hyperlink r:id="rId84">
        <w:r>
          <w:rPr>
            <w:rStyle w:val="Hyperlink"/>
          </w:rPr>
          <w:t xml:space="preserve">Ejemplo_curvas.xlsx</w:t>
        </w:r>
      </w:hyperlink>
    </w:p>
    <w:p>
      <w:pPr>
        <w:pStyle w:val="Compact"/>
        <w:numPr>
          <w:ilvl w:val="0"/>
          <w:numId w:val="1004"/>
        </w:numPr>
      </w:pPr>
      <w:hyperlink r:id="rId85">
        <w:r>
          <w:rPr>
            <w:rStyle w:val="Hyperlink"/>
          </w:rPr>
          <w:t xml:space="preserve">Ejemplo_parametros_agrupados.xlsx</w:t>
        </w:r>
      </w:hyperlink>
    </w:p>
    <w:p>
      <w:pPr>
        <w:pStyle w:val="Compact"/>
        <w:numPr>
          <w:ilvl w:val="0"/>
          <w:numId w:val="1004"/>
        </w:numPr>
      </w:pPr>
      <w:hyperlink r:id="rId86">
        <w:r>
          <w:rPr>
            <w:rStyle w:val="Hyperlink"/>
          </w:rPr>
          <w:t xml:space="preserve">Ejemplo_input_summary_mean_sd.xlsx</w:t>
        </w:r>
      </w:hyperlink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En la primera ejecución se pueden instalar dependencias en</w:t>
      </w:r>
      <w:r>
        <w:t xml:space="preserve"> </w:t>
      </w:r>
      <w:r>
        <w:rPr>
          <w:rStyle w:val="VerbatimChar"/>
        </w:rPr>
        <w:t xml:space="preserve">R_libs</w:t>
      </w:r>
      <w:r>
        <w:t xml:space="preserve">. Conserva esa carpeta para evitar reinstalaciones.</w:t>
      </w:r>
    </w:p>
    <w:bookmarkEnd w:id="87"/>
    <w:bookmarkStart w:id="95" w:name="X9fb895dda62211d8c48fb9835c8aff5234266cd"/>
    <w:p>
      <w:pPr>
        <w:pStyle w:val="Heading2"/>
      </w:pPr>
      <w:r>
        <w:t xml:space="preserve">2. Inicio Rápido por Escenario</w:t>
      </w:r>
    </w:p>
    <w:bookmarkStart w:id="88" w:name="X2321f1725a28bb077f5deafe205ec5296906e73"/>
    <w:p>
      <w:pPr>
        <w:pStyle w:val="Heading3"/>
      </w:pPr>
      <w:r>
        <w:t xml:space="preserve">Escenario A: Tengo datos crudos de placa y curvas (recomendado)</w:t>
      </w:r>
    </w:p>
    <w:p>
      <w:pPr>
        <w:pStyle w:val="Compact"/>
        <w:numPr>
          <w:ilvl w:val="0"/>
          <w:numId w:val="1005"/>
        </w:numPr>
      </w:pPr>
      <w:r>
        <w:t xml:space="preserve">Carga el platemap en</w:t>
      </w:r>
      <w:r>
        <w:t xml:space="preserve"> </w:t>
      </w:r>
      <w:r>
        <w:rPr>
          <w:b/>
          <w:bCs/>
        </w:rPr>
        <w:t xml:space="preserve">Cargar datos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Carga el archivo de curvas en</w:t>
      </w:r>
      <w:r>
        <w:t xml:space="preserve"> </w:t>
      </w:r>
      <w:r>
        <w:rPr>
          <w:b/>
          <w:bCs/>
        </w:rPr>
        <w:t xml:space="preserve">Cargar curvas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Selecciona alcance y tipo de gráfico.</w:t>
      </w:r>
    </w:p>
    <w:p>
      <w:pPr>
        <w:pStyle w:val="Compact"/>
        <w:numPr>
          <w:ilvl w:val="0"/>
          <w:numId w:val="1005"/>
        </w:numPr>
      </w:pPr>
      <w:r>
        <w:t xml:space="preserve">Aplica filtros y QC de réplicas.</w:t>
      </w:r>
    </w:p>
    <w:p>
      <w:pPr>
        <w:pStyle w:val="Compact"/>
        <w:numPr>
          <w:ilvl w:val="0"/>
          <w:numId w:val="1005"/>
        </w:numPr>
      </w:pPr>
      <w:r>
        <w:t xml:space="preserve">Ejecuta estadística y anotaciones.</w:t>
      </w:r>
    </w:p>
    <w:p>
      <w:pPr>
        <w:pStyle w:val="Compact"/>
        <w:numPr>
          <w:ilvl w:val="0"/>
          <w:numId w:val="1005"/>
        </w:numPr>
      </w:pPr>
      <w:r>
        <w:t xml:space="preserve">Exporta gráfico, tablas, metadatos y bundle ZIP.</w:t>
      </w:r>
    </w:p>
    <w:bookmarkEnd w:id="88"/>
    <w:bookmarkStart w:id="89" w:name="Xcf545a811cd07656e0055dc2381ada816e3363b"/>
    <w:p>
      <w:pPr>
        <w:pStyle w:val="Heading3"/>
      </w:pPr>
      <w:r>
        <w:t xml:space="preserve">Escenario B: Solo tengo datos agrupados o resumen</w:t>
      </w:r>
    </w:p>
    <w:p>
      <w:pPr>
        <w:pStyle w:val="Compact"/>
        <w:numPr>
          <w:ilvl w:val="0"/>
          <w:numId w:val="1006"/>
        </w:numPr>
      </w:pPr>
      <w:r>
        <w:t xml:space="preserve">Carga el archivo agrupado/resumen en</w:t>
      </w:r>
      <w:r>
        <w:t xml:space="preserve"> </w:t>
      </w:r>
      <w:r>
        <w:rPr>
          <w:b/>
          <w:bCs/>
        </w:rPr>
        <w:t xml:space="preserve">Cargar datos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Configura gráficos y filtros.</w:t>
      </w:r>
    </w:p>
    <w:p>
      <w:pPr>
        <w:pStyle w:val="Compact"/>
        <w:numPr>
          <w:ilvl w:val="0"/>
          <w:numId w:val="1006"/>
        </w:numPr>
      </w:pPr>
      <w:r>
        <w:t xml:space="preserve">Ejecuta la estadística disponible para ese modo.</w:t>
      </w:r>
    </w:p>
    <w:p>
      <w:pPr>
        <w:pStyle w:val="Compact"/>
        <w:numPr>
          <w:ilvl w:val="0"/>
          <w:numId w:val="1006"/>
        </w:numPr>
      </w:pPr>
      <w:r>
        <w:t xml:space="preserve">Exporta gráficos y metadatos.</w:t>
      </w:r>
    </w:p>
    <w:bookmarkEnd w:id="89"/>
    <w:bookmarkStart w:id="90" w:name="X086db0decf77911936b72506b859d7bedfa829a"/>
    <w:p>
      <w:pPr>
        <w:pStyle w:val="Heading3"/>
      </w:pPr>
      <w:r>
        <w:t xml:space="preserve">Escenario C: Necesito mejor rendimiento con alto volumen</w:t>
      </w:r>
    </w:p>
    <w:p>
      <w:pPr>
        <w:pStyle w:val="Compact"/>
        <w:numPr>
          <w:ilvl w:val="0"/>
          <w:numId w:val="1007"/>
        </w:numPr>
      </w:pPr>
      <w:r>
        <w:t xml:space="preserve">Comienza con</w:t>
      </w:r>
      <w:r>
        <w:t xml:space="preserve"> </w:t>
      </w:r>
      <w:r>
        <w:rPr>
          <w:rStyle w:val="VerbatimChar"/>
        </w:rPr>
        <w:t xml:space="preserve">.csv</w:t>
      </w:r>
      <w:r>
        <w:t xml:space="preserve"> </w:t>
      </w:r>
      <w:r>
        <w:t xml:space="preserve">en</w:t>
      </w:r>
      <w:r>
        <w:t xml:space="preserve"> </w:t>
      </w:r>
      <w:r>
        <w:rPr>
          <w:b/>
          <w:bCs/>
        </w:rPr>
        <w:t xml:space="preserve">Cargar datos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Mantén pocos parámetros seleccionados durante iteración.</w:t>
      </w:r>
    </w:p>
    <w:p>
      <w:pPr>
        <w:pStyle w:val="Compact"/>
        <w:numPr>
          <w:ilvl w:val="0"/>
          <w:numId w:val="1007"/>
        </w:numPr>
      </w:pPr>
      <w:r>
        <w:t xml:space="preserve">Activa capas avanzadas solo al final.</w:t>
      </w:r>
    </w:p>
    <w:bookmarkEnd w:id="90"/>
    <w:bookmarkStart w:id="94" w:name="X4db9812a0bf1faf805046245ea70fc9be790166"/>
    <w:p>
      <w:pPr>
        <w:pStyle w:val="Heading3"/>
      </w:pPr>
      <w:r>
        <w:t xml:space="preserve">Escenario D: Necesito un script reproducible en R</w:t>
      </w:r>
    </w:p>
    <w:p>
      <w:pPr>
        <w:pStyle w:val="Compact"/>
        <w:numPr>
          <w:ilvl w:val="0"/>
          <w:numId w:val="1008"/>
        </w:numPr>
      </w:pPr>
      <w:r>
        <w:t xml:space="preserve">Inicia la misma app con</w:t>
      </w:r>
      <w:r>
        <w:t xml:space="preserve"> </w:t>
      </w:r>
      <w:r>
        <w:rPr>
          <w:rStyle w:val="VerbatimChar"/>
        </w:rPr>
        <w:t xml:space="preserve">BIOSZEN::BIOSZEN()</w:t>
      </w:r>
      <w:r>
        <w:t xml:space="preserve">;</w:t>
      </w:r>
      <w:r>
        <w:t xml:space="preserve"> </w:t>
      </w:r>
      <w:r>
        <w:rPr>
          <w:rStyle w:val="VerbatimChar"/>
        </w:rPr>
        <w:t xml:space="preserve">BIOSZEN::run_app()</w:t>
      </w:r>
      <w:r>
        <w:t xml:space="preserve"> </w:t>
      </w:r>
      <w:r>
        <w:t xml:space="preserve">sigue disponible.</w:t>
      </w:r>
    </w:p>
    <w:p>
      <w:pPr>
        <w:pStyle w:val="Compact"/>
        <w:numPr>
          <w:ilvl w:val="0"/>
          <w:numId w:val="1008"/>
        </w:numPr>
      </w:pPr>
      <w:r>
        <w:t xml:space="preserve">En RStudio, el comando instalado automáticamente</w:t>
      </w:r>
      <w:r>
        <w:t xml:space="preserve"> </w:t>
      </w:r>
      <w:r>
        <w:rPr>
          <w:b/>
          <w:bCs/>
        </w:rPr>
        <w:t xml:space="preserve">Addins &gt; Launch BIOSZEN in Browser</w:t>
      </w:r>
      <w:r>
        <w:t xml:space="preserve"> </w:t>
      </w:r>
      <w:r>
        <w:t xml:space="preserve">ofrece el mismo inicio con un clic y abre el navegador predeterminado del sistema operativo.</w:t>
      </w:r>
    </w:p>
    <w:p>
      <w:pPr>
        <w:pStyle w:val="Compact"/>
        <w:numPr>
          <w:ilvl w:val="0"/>
          <w:numId w:val="1008"/>
        </w:numPr>
      </w:pPr>
      <w:r>
        <w:t xml:space="preserve">Usa</w:t>
      </w:r>
      <w:r>
        <w:t xml:space="preserve"> </w:t>
      </w:r>
      <w:r>
        <w:rPr>
          <w:rStyle w:val="VerbatimChar"/>
        </w:rPr>
        <w:t xml:space="preserve">BIOSZEN::growth_parameters()</w:t>
      </w:r>
      <w:r>
        <w:t xml:space="preserve"> </w:t>
      </w:r>
      <w:r>
        <w:t xml:space="preserve">para obtener los mismos parámetros de crecimiento que la pestaña de crecimiento sin abrir la interfaz visual.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growth_parameters()</w:t>
      </w:r>
      <w:r>
        <w:t xml:space="preserve"> </w:t>
      </w:r>
      <w:r>
        <w:t xml:space="preserve">acepta data frames anchos/ordenados, uno o más archivos</w:t>
      </w:r>
      <w:r>
        <w:t xml:space="preserve"> </w:t>
      </w:r>
      <w:r>
        <w:rPr>
          <w:rStyle w:val="VerbatimChar"/>
        </w:rPr>
        <w:t xml:space="preserve">.xlsx</w:t>
      </w:r>
      <w:r>
        <w:t xml:space="preserve">/</w:t>
      </w:r>
      <w:r>
        <w:rPr>
          <w:rStyle w:val="VerbatimChar"/>
        </w:rPr>
        <w:t xml:space="preserve">.xls</w:t>
      </w:r>
      <w:r>
        <w:t xml:space="preserve">/</w:t>
      </w:r>
      <w:r>
        <w:rPr>
          <w:rStyle w:val="VerbatimChar"/>
        </w:rPr>
        <w:t xml:space="preserve">.csv</w:t>
      </w:r>
      <w:r>
        <w:t xml:space="preserve">, o una carpeta. No escribe archivos salvo que se indique</w:t>
      </w:r>
      <w:r>
        <w:t xml:space="preserve"> </w:t>
      </w:r>
      <w:r>
        <w:rPr>
          <w:rStyle w:val="VerbatimChar"/>
        </w:rPr>
        <w:t xml:space="preserve">output_dir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Usa</w:t>
      </w:r>
      <w:r>
        <w:t xml:space="preserve"> </w:t>
      </w:r>
      <w:r>
        <w:rPr>
          <w:rStyle w:val="VerbatimChar"/>
        </w:rPr>
        <w:t xml:space="preserve">BIOSZEN::bioszen_update_available()</w:t>
      </w:r>
      <w:r>
        <w:t xml:space="preserve"> </w:t>
      </w:r>
      <w:r>
        <w:t xml:space="preserve">para revisar actualizaciones y</w:t>
      </w:r>
      <w:r>
        <w:t xml:space="preserve"> </w:t>
      </w:r>
      <w:r>
        <w:rPr>
          <w:rStyle w:val="VerbatimChar"/>
        </w:rPr>
        <w:t xml:space="preserve">BIOSZEN::bioszen_update()</w:t>
      </w:r>
      <w:r>
        <w:t xml:space="preserve"> </w:t>
      </w:r>
      <w:r>
        <w:t xml:space="preserve">para instalar una después de confirmarla y cerrar la app.</w:t>
      </w:r>
    </w:p>
    <w:p>
      <w:pPr>
        <w:pStyle w:val="Compact"/>
        <w:numPr>
          <w:ilvl w:val="0"/>
          <w:numId w:val="1008"/>
        </w:numPr>
      </w:pPr>
      <w:r>
        <w:t xml:space="preserve">Cuando BIOSZEN se inicia como paquete de R instalado, el botón azul</w:t>
      </w:r>
      <w:r>
        <w:t xml:space="preserve"> </w:t>
      </w:r>
      <w:r>
        <w:rPr>
          <w:b/>
          <w:bCs/>
        </w:rPr>
        <w:t xml:space="preserve">Actualizar</w:t>
      </w:r>
      <w:r>
        <w:t xml:space="preserve"> </w:t>
      </w:r>
      <w:r>
        <w:t xml:space="preserve">mantiene el mismo flujo de actualización: informa si no existe una versión estable más reciente y, si existe, muestra ambas versiones antes de solicitar confirmación.</w:t>
      </w:r>
    </w:p>
    <w:p>
      <w:pPr>
        <w:pStyle w:val="Compact"/>
        <w:numPr>
          <w:ilvl w:val="0"/>
          <w:numId w:val="1008"/>
        </w:numPr>
      </w:pPr>
      <w:r>
        <w:t xml:space="preserve">Cuando BIOSZEN se inicia desde el bundle standalone local, el botón cambia a</w:t>
      </w:r>
      <w:r>
        <w:t xml:space="preserve"> </w:t>
      </w:r>
      <w:r>
        <w:rPr>
          <w:b/>
          <w:bCs/>
        </w:rPr>
        <w:t xml:space="preserve">Instalar paquete</w:t>
      </w:r>
      <w:r>
        <w:t xml:space="preserve">. Después de confirmar, BIOSZEN se cierra e instala el paquete estable de R-universe en la biblioteca personal de R. Reinicia R y luego usa</w:t>
      </w:r>
      <w:r>
        <w:t xml:space="preserve"> </w:t>
      </w:r>
      <w:r>
        <w:rPr>
          <w:rStyle w:val="VerbatimChar"/>
        </w:rPr>
        <w:t xml:space="preserve">BIOSZEN::BIOSZEN()</w:t>
      </w:r>
      <w:r>
        <w:t xml:space="preserve">. Si ya existe una instalación normal del paquete, BIOSZEN lo informa en lugar de instalarlo nuevamente.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Seguridad de instalación y actualización:</w:t>
      </w:r>
      <w:r>
        <w:t xml:space="preserve"> </w:t>
      </w:r>
      <w:r>
        <w:t xml:space="preserve">ninguna acción instala silenciosamente. Guarda o descarga el trabajo no guardado antes de confirmar. BIOSZEN cierra Shiny antes de modificar archivos del paquete, y las comprobaciones no envían datos experimentales cargados, información personal ni credenciales. Si se interrumpe la descarga o la biblioteca de R está bloqueada, el launcher standalone continúa disponible; reinicia R y vuelve a intentarlo o ejecuta</w:t>
      </w:r>
      <w:r>
        <w:t xml:space="preserve"> </w:t>
      </w:r>
      <w:r>
        <w:rPr>
          <w:rStyle w:val="VerbatimChar"/>
        </w:rPr>
        <w:t xml:space="preserve">BIOSZEN::bioszen_update()</w:t>
      </w:r>
      <w:r>
        <w:t xml:space="preserve"> </w:t>
      </w:r>
      <w:r>
        <w:t xml:space="preserve">para una instalación existente.</w:t>
      </w:r>
    </w:p>
    <w:p>
      <w:pPr>
        <w:pStyle w:val="Compact"/>
        <w:numPr>
          <w:ilvl w:val="0"/>
          <w:numId w:val="1008"/>
        </w:numPr>
      </w:pPr>
      <w:r>
        <w:t xml:space="preserve">Usa</w:t>
      </w:r>
      <w:r>
        <w:t xml:space="preserve"> </w:t>
      </w:r>
      <w:r>
        <w:rPr>
          <w:rStyle w:val="VerbatimChar"/>
        </w:rPr>
        <w:t xml:space="preserve">BIOSZEN::bioszen_citation()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citation("BIOSZEN")</w:t>
      </w:r>
      <w:r>
        <w:t xml:space="preserve"> </w:t>
      </w:r>
      <w:r>
        <w:t xml:space="preserve">para la cita oficial.</w:t>
      </w:r>
    </w:p>
    <w:p>
      <w:pPr>
        <w:pStyle w:val="FirstParagraph"/>
      </w:pPr>
      <w:r>
        <w:drawing>
          <wp:inline>
            <wp:extent cx="5334000" cy="2133600"/>
            <wp:effectExtent b="0" l="0" r="0" t="0"/>
            <wp:docPr descr="Configuración de gráficos y capas" title="" id="92" name="Picture"/>
            <a:graphic>
              <a:graphicData uri="http://schemas.openxmlformats.org/drawingml/2006/picture">
                <pic:pic>
                  <pic:nvPicPr>
                    <pic:cNvPr descr="manual_images/02_plot_setup_layers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94"/>
    <w:bookmarkEnd w:id="95"/>
    <w:bookmarkStart w:id="96" w:name="X1091fe1583fe3857e5eb63f1db55c9abd452c2a"/>
    <w:p>
      <w:pPr>
        <w:pStyle w:val="Heading2"/>
      </w:pPr>
      <w:r>
        <w:t xml:space="preserve">3. Elegir un Modo de Entrada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Platemap + Curvas</w:t>
      </w:r>
      <w:r>
        <w:br/>
      </w:r>
      <w:r>
        <w:t xml:space="preserve">Ideal cuando: Necesitas el flujo más completo.</w:t>
      </w:r>
      <w:r>
        <w:br/>
      </w:r>
      <w:r>
        <w:t xml:space="preserve">Limitaciones principales: Requiere mapeo estricto de wells y estructura de hojas.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Parámetros agrupados</w:t>
      </w:r>
      <w:r>
        <w:br/>
      </w:r>
      <w:r>
        <w:t xml:space="preserve">Ideal cuando: Solo necesitas parámetros y estadística.</w:t>
      </w:r>
      <w:r>
        <w:br/>
      </w:r>
      <w:r>
        <w:t xml:space="preserve">Limitaciones principales: Curvas requiere hojas embebidas tipo</w:t>
      </w:r>
      <w:r>
        <w:t xml:space="preserve"> </w:t>
      </w:r>
      <w:r>
        <w:rPr>
          <w:rStyle w:val="VerbatimChar"/>
        </w:rPr>
        <w:t xml:space="preserve">Curves_Summary</w:t>
      </w:r>
      <w:r>
        <w:t xml:space="preserve"> </w:t>
      </w:r>
      <w:r>
        <w:t xml:space="preserve">(o cargar un archivo aparte en</w:t>
      </w:r>
      <w:r>
        <w:t xml:space="preserve"> </w:t>
      </w:r>
      <w:r>
        <w:rPr>
          <w:b/>
          <w:bCs/>
        </w:rPr>
        <w:t xml:space="preserve">Cargar curvas</w:t>
      </w:r>
      <w:r>
        <w:t xml:space="preserve">).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Resumen (Media/SD/N)</w:t>
      </w:r>
      <w:r>
        <w:br/>
      </w:r>
      <w:r>
        <w:t xml:space="preserve">Ideal cuando: No dispones de réplicas crudas por fila.</w:t>
      </w:r>
      <w:r>
        <w:br/>
      </w:r>
      <w:r>
        <w:t xml:space="preserve">Limitaciones principales: Algunas rutas de normalidad/no paramétrica pueden limitarse.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Modo CSV</w:t>
      </w:r>
      <w:r>
        <w:br/>
      </w:r>
      <w:r>
        <w:t xml:space="preserve">Ideal cuando: Tienes datasets grandes y buscas IO más liviano.</w:t>
      </w:r>
      <w:r>
        <w:br/>
      </w:r>
      <w:r>
        <w:t xml:space="preserve">Limitaciones principales: Metadatos siguen en</w:t>
      </w:r>
      <w:r>
        <w:t xml:space="preserve"> </w:t>
      </w:r>
      <w:r>
        <w:rPr>
          <w:rStyle w:val="VerbatimChar"/>
        </w:rPr>
        <w:t xml:space="preserve">.xlsx</w:t>
      </w:r>
      <w:r>
        <w:t xml:space="preserve">.</w:t>
      </w:r>
    </w:p>
    <w:bookmarkEnd w:id="96"/>
    <w:bookmarkStart w:id="105" w:name="Xbe7d00576ea19b5f785210b268d589dfe016b9b"/>
    <w:p>
      <w:pPr>
        <w:pStyle w:val="Heading2"/>
      </w:pPr>
      <w:r>
        <w:t xml:space="preserve">4. Especificaciones de Entrada</w:t>
      </w:r>
    </w:p>
    <w:bookmarkStart w:id="97" w:name="Xf68407b5dd2b5ce153fdc68437af388089e5a16"/>
    <w:p>
      <w:pPr>
        <w:pStyle w:val="Heading3"/>
      </w:pPr>
      <w:r>
        <w:t xml:space="preserve">4.1 Workbook de platemap</w:t>
      </w:r>
    </w:p>
    <w:p>
      <w:pPr>
        <w:pStyle w:val="FirstParagraph"/>
      </w:pPr>
      <w:r>
        <w:t xml:space="preserve">Hojas requeridas: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Datos</w:t>
      </w:r>
      <w:r>
        <w:t xml:space="preserve">: metadata + parámetros.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PlotSettings</w:t>
      </w:r>
      <w:r>
        <w:t xml:space="preserve">: configuración de ejes por parámetro.</w:t>
      </w:r>
    </w:p>
    <w:p>
      <w:pPr>
        <w:pStyle w:val="FirstParagraph"/>
      </w:pPr>
      <w:r>
        <w:t xml:space="preserve">Columnas esperadas en</w:t>
      </w:r>
      <w:r>
        <w:t xml:space="preserve"> </w:t>
      </w:r>
      <w:r>
        <w:rPr>
          <w:rStyle w:val="VerbatimChar"/>
        </w:rPr>
        <w:t xml:space="preserve">Datos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Well</w:t>
      </w:r>
      <w:r>
        <w:t xml:space="preserve">: ID de pocillo (</w:t>
      </w:r>
      <w:r>
        <w:rPr>
          <w:rStyle w:val="VerbatimChar"/>
        </w:rPr>
        <w:t xml:space="preserve">A1</w:t>
      </w:r>
      <w:r>
        <w:t xml:space="preserve">,</w:t>
      </w:r>
      <w:r>
        <w:t xml:space="preserve"> </w:t>
      </w:r>
      <w:r>
        <w:rPr>
          <w:rStyle w:val="VerbatimChar"/>
        </w:rPr>
        <w:t xml:space="preserve">B3</w:t>
      </w:r>
      <w:r>
        <w:t xml:space="preserve">, etc.), clave para vincular curvas.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Strain</w:t>
      </w:r>
      <w:r>
        <w:t xml:space="preserve">: cepa o grupo biológico.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Media</w:t>
      </w:r>
      <w:r>
        <w:t xml:space="preserve">: condición/tratamiento (</w:t>
      </w:r>
      <w:r>
        <w:rPr>
          <w:rStyle w:val="VerbatimChar"/>
        </w:rPr>
        <w:t xml:space="preserve">Control</w:t>
      </w:r>
      <w:r>
        <w:t xml:space="preserve">,</w:t>
      </w:r>
      <w:r>
        <w:t xml:space="preserve"> </w:t>
      </w:r>
      <w:r>
        <w:rPr>
          <w:rStyle w:val="VerbatimChar"/>
        </w:rPr>
        <w:t xml:space="preserve">Drug A</w:t>
      </w:r>
      <w:r>
        <w:t xml:space="preserve">, etc.).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BiologicalReplicate</w:t>
      </w:r>
      <w:r>
        <w:t xml:space="preserve">: ID de réplica biológica (</w:t>
      </w:r>
      <w:r>
        <w:rPr>
          <w:rStyle w:val="VerbatimChar"/>
        </w:rPr>
        <w:t xml:space="preserve">1</w:t>
      </w:r>
      <w:r>
        <w:t xml:space="preserve">,</w:t>
      </w:r>
      <w:r>
        <w:t xml:space="preserve"> </w:t>
      </w:r>
      <w:r>
        <w:rPr>
          <w:rStyle w:val="VerbatimChar"/>
        </w:rPr>
        <w:t xml:space="preserve">2</w:t>
      </w:r>
      <w:r>
        <w:t xml:space="preserve">,</w:t>
      </w:r>
      <w:r>
        <w:t xml:space="preserve"> </w:t>
      </w:r>
      <w:r>
        <w:rPr>
          <w:rStyle w:val="VerbatimChar"/>
        </w:rPr>
        <w:t xml:space="preserve">3</w:t>
      </w:r>
      <w:r>
        <w:t xml:space="preserve">, ...).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TechnicalReplicate</w:t>
      </w:r>
      <w:r>
        <w:t xml:space="preserve">: réplica técnica dentro de cada réplica biológica (</w:t>
      </w:r>
      <w:r>
        <w:rPr>
          <w:rStyle w:val="VerbatimChar"/>
        </w:rPr>
        <w:t xml:space="preserve">A</w:t>
      </w:r>
      <w:r>
        <w:t xml:space="preserve">,</w:t>
      </w:r>
      <w:r>
        <w:t xml:space="preserve"> </w:t>
      </w:r>
      <w:r>
        <w:rPr>
          <w:rStyle w:val="VerbatimChar"/>
        </w:rPr>
        <w:t xml:space="preserve">B</w:t>
      </w:r>
      <w:r>
        <w:t xml:space="preserve">,</w:t>
      </w:r>
      <w:r>
        <w:t xml:space="preserve"> </w:t>
      </w:r>
      <w:r>
        <w:rPr>
          <w:rStyle w:val="VerbatimChar"/>
        </w:rPr>
        <w:t xml:space="preserve">C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1</w:t>
      </w:r>
      <w:r>
        <w:t xml:space="preserve">,</w:t>
      </w:r>
      <w:r>
        <w:t xml:space="preserve"> </w:t>
      </w:r>
      <w:r>
        <w:rPr>
          <w:rStyle w:val="VerbatimChar"/>
        </w:rPr>
        <w:t xml:space="preserve">2</w:t>
      </w:r>
      <w:r>
        <w:t xml:space="preserve">,</w:t>
      </w:r>
      <w:r>
        <w:t xml:space="preserve"> </w:t>
      </w:r>
      <w:r>
        <w:rPr>
          <w:rStyle w:val="VerbatimChar"/>
        </w:rPr>
        <w:t xml:space="preserve">3</w:t>
      </w:r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Replicate</w:t>
      </w:r>
      <w:r>
        <w:t xml:space="preserve"> </w:t>
      </w:r>
      <w:r>
        <w:t xml:space="preserve">(compatibilidad): campo alternativo legado para réplica biológica.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Orden</w:t>
      </w:r>
      <w:r>
        <w:t xml:space="preserve">: entero para orden de visualización/exportación.</w:t>
      </w:r>
    </w:p>
    <w:p>
      <w:pPr>
        <w:pStyle w:val="Compact"/>
        <w:numPr>
          <w:ilvl w:val="0"/>
          <w:numId w:val="1011"/>
        </w:numPr>
      </w:pPr>
      <w:r>
        <w:t xml:space="preserve">Columnas de parámetros: una o más variables numéricas.</w:t>
      </w:r>
    </w:p>
    <w:p>
      <w:pPr>
        <w:pStyle w:val="FirstParagraph"/>
      </w:pPr>
      <w:r>
        <w:t xml:space="preserve">Regla práctica de consistencia: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Strain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Media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BiologicalReplicate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TechnicalReplicate</w:t>
      </w:r>
      <w:r>
        <w:t xml:space="preserve"> </w:t>
      </w:r>
      <w:r>
        <w:t xml:space="preserve">debería identificar cada fila experimental de forma estable.</w:t>
      </w:r>
    </w:p>
    <w:p>
      <w:pPr>
        <w:pStyle w:val="FirstParagraph"/>
      </w:pPr>
      <w:r>
        <w:t xml:space="preserve">Columnas esperadas en</w:t>
      </w:r>
      <w:r>
        <w:t xml:space="preserve"> </w:t>
      </w:r>
      <w:r>
        <w:rPr>
          <w:rStyle w:val="VerbatimChar"/>
        </w:rPr>
        <w:t xml:space="preserve">PlotSettings</w:t>
      </w:r>
      <w:r>
        <w:t xml:space="preserve">: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Parameter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Y_Max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Interval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Y_Title</w:t>
      </w:r>
    </w:p>
    <w:bookmarkEnd w:id="97"/>
    <w:bookmarkStart w:id="98" w:name="Xda61436f4146a35c9827245175b1f9ac9e008a5"/>
    <w:p>
      <w:pPr>
        <w:pStyle w:val="Heading3"/>
      </w:pPr>
      <w:r>
        <w:t xml:space="preserve">4.2 Archivo de curvas</w:t>
      </w:r>
    </w:p>
    <w:p>
      <w:pPr>
        <w:pStyle w:val="FirstParagraph"/>
      </w:pPr>
      <w:r>
        <w:t xml:space="preserve">Excel (</w:t>
      </w:r>
      <w:r>
        <w:rPr>
          <w:rStyle w:val="VerbatimChar"/>
        </w:rPr>
        <w:t xml:space="preserve">.xlsx</w:t>
      </w:r>
      <w:r>
        <w:t xml:space="preserve">,</w:t>
      </w:r>
      <w:r>
        <w:t xml:space="preserve"> </w:t>
      </w:r>
      <w:r>
        <w:rPr>
          <w:rStyle w:val="VerbatimChar"/>
        </w:rPr>
        <w:t xml:space="preserve">.xls</w:t>
      </w:r>
      <w:r>
        <w:t xml:space="preserve">):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Sheet1</w:t>
      </w:r>
      <w:r>
        <w:t xml:space="preserve">: primera columna</w:t>
      </w:r>
      <w:r>
        <w:t xml:space="preserve"> </w:t>
      </w:r>
      <w:r>
        <w:rPr>
          <w:rStyle w:val="VerbatimChar"/>
        </w:rPr>
        <w:t xml:space="preserve">Time</w:t>
      </w:r>
      <w:r>
        <w:t xml:space="preserve">, columnas restantes por well (</w:t>
      </w:r>
      <w:r>
        <w:rPr>
          <w:rStyle w:val="VerbatimChar"/>
        </w:rPr>
        <w:t xml:space="preserve">A1</w:t>
      </w:r>
      <w:r>
        <w:t xml:space="preserve">,</w:t>
      </w:r>
      <w:r>
        <w:t xml:space="preserve"> </w:t>
      </w:r>
      <w:r>
        <w:rPr>
          <w:rStyle w:val="VerbatimChar"/>
        </w:rPr>
        <w:t xml:space="preserve">A2</w:t>
      </w:r>
      <w:r>
        <w:t xml:space="preserve">, ...).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Sheet2</w:t>
      </w:r>
      <w:r>
        <w:t xml:space="preserve">:</w:t>
      </w:r>
      <w:r>
        <w:t xml:space="preserve"> </w:t>
      </w:r>
      <w:r>
        <w:rPr>
          <w:rStyle w:val="VerbatimChar"/>
        </w:rPr>
        <w:t xml:space="preserve">X_Max</w:t>
      </w:r>
      <w:r>
        <w:t xml:space="preserve">,</w:t>
      </w:r>
      <w:r>
        <w:t xml:space="preserve"> </w:t>
      </w:r>
      <w:r>
        <w:rPr>
          <w:rStyle w:val="VerbatimChar"/>
        </w:rPr>
        <w:t xml:space="preserve">Interval_X</w:t>
      </w:r>
      <w:r>
        <w:t xml:space="preserve">,</w:t>
      </w:r>
      <w:r>
        <w:t xml:space="preserve"> </w:t>
      </w:r>
      <w:r>
        <w:rPr>
          <w:rStyle w:val="VerbatimChar"/>
        </w:rPr>
        <w:t xml:space="preserve">Y_Max</w:t>
      </w:r>
      <w:r>
        <w:t xml:space="preserve">,</w:t>
      </w:r>
      <w:r>
        <w:t xml:space="preserve"> </w:t>
      </w:r>
      <w:r>
        <w:rPr>
          <w:rStyle w:val="VerbatimChar"/>
        </w:rPr>
        <w:t xml:space="preserve">Interval_Y</w:t>
      </w:r>
      <w:r>
        <w:t xml:space="preserve">,</w:t>
      </w:r>
      <w:r>
        <w:t xml:space="preserve"> </w:t>
      </w:r>
      <w:r>
        <w:rPr>
          <w:rStyle w:val="VerbatimChar"/>
        </w:rPr>
        <w:t xml:space="preserve">X_Title</w:t>
      </w:r>
      <w:r>
        <w:t xml:space="preserve">,</w:t>
      </w:r>
      <w:r>
        <w:t xml:space="preserve"> </w:t>
      </w:r>
      <w:r>
        <w:rPr>
          <w:rStyle w:val="VerbatimChar"/>
        </w:rPr>
        <w:t xml:space="preserve">Y_Title</w:t>
      </w:r>
      <w:r>
        <w:t xml:space="preserve">.</w:t>
      </w:r>
    </w:p>
    <w:p>
      <w:pPr>
        <w:pStyle w:val="FirstParagraph"/>
      </w:pPr>
      <w:r>
        <w:t xml:space="preserve">CSV (</w:t>
      </w:r>
      <w:r>
        <w:rPr>
          <w:rStyle w:val="VerbatimChar"/>
        </w:rPr>
        <w:t xml:space="preserve">.csv</w:t>
      </w:r>
      <w:r>
        <w:t xml:space="preserve">):</w:t>
      </w:r>
    </w:p>
    <w:p>
      <w:pPr>
        <w:pStyle w:val="Compact"/>
        <w:numPr>
          <w:ilvl w:val="0"/>
          <w:numId w:val="1015"/>
        </w:numPr>
      </w:pPr>
      <w:r>
        <w:t xml:space="preserve">Primera columna</w:t>
      </w:r>
      <w:r>
        <w:t xml:space="preserve"> </w:t>
      </w:r>
      <w:r>
        <w:rPr>
          <w:rStyle w:val="VerbatimChar"/>
        </w:rPr>
        <w:t xml:space="preserve">Time</w:t>
      </w:r>
      <w:r>
        <w:t xml:space="preserve">, columnas restantes por well (</w:t>
      </w:r>
      <w:r>
        <w:rPr>
          <w:rStyle w:val="VerbatimChar"/>
        </w:rPr>
        <w:t xml:space="preserve">A1</w:t>
      </w:r>
      <w:r>
        <w:t xml:space="preserve">,</w:t>
      </w:r>
      <w:r>
        <w:t xml:space="preserve"> </w:t>
      </w:r>
      <w:r>
        <w:rPr>
          <w:rStyle w:val="VerbatimChar"/>
        </w:rPr>
        <w:t xml:space="preserve">A2</w:t>
      </w:r>
      <w:r>
        <w:t xml:space="preserve">, ...).</w:t>
      </w:r>
    </w:p>
    <w:p>
      <w:pPr>
        <w:pStyle w:val="Compact"/>
        <w:numPr>
          <w:ilvl w:val="0"/>
          <w:numId w:val="1015"/>
        </w:numPr>
      </w:pPr>
      <w:r>
        <w:t xml:space="preserve">Configuración de ejes auto-generada:</w:t>
      </w:r>
    </w:p>
    <w:p>
      <w:pPr>
        <w:pStyle w:val="Compact"/>
        <w:numPr>
          <w:ilvl w:val="1"/>
          <w:numId w:val="1016"/>
        </w:numPr>
      </w:pPr>
      <w:r>
        <w:rPr>
          <w:rStyle w:val="VerbatimChar"/>
        </w:rPr>
        <w:t xml:space="preserve">X_Max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Y_Max</w:t>
      </w:r>
      <w:r>
        <w:t xml:space="preserve">: máximos observados.</w:t>
      </w:r>
    </w:p>
    <w:p>
      <w:pPr>
        <w:pStyle w:val="Compact"/>
        <w:numPr>
          <w:ilvl w:val="1"/>
          <w:numId w:val="1016"/>
        </w:numPr>
      </w:pPr>
      <w:r>
        <w:rPr>
          <w:rStyle w:val="VerbatimChar"/>
        </w:rPr>
        <w:t xml:space="preserve">Interval_X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Interval_Y</w:t>
      </w:r>
      <w:r>
        <w:t xml:space="preserve">:</w:t>
      </w:r>
      <w:r>
        <w:t xml:space="preserve"> </w:t>
      </w:r>
      <w:r>
        <w:rPr>
          <w:rStyle w:val="VerbatimChar"/>
        </w:rPr>
        <w:t xml:space="preserve">max/4</w:t>
      </w:r>
      <w:r>
        <w:t xml:space="preserve">.</w:t>
      </w:r>
    </w:p>
    <w:p>
      <w:pPr>
        <w:pStyle w:val="Compact"/>
        <w:numPr>
          <w:ilvl w:val="1"/>
          <w:numId w:val="1016"/>
        </w:numPr>
      </w:pPr>
      <w:r>
        <w:rPr>
          <w:rStyle w:val="VerbatimChar"/>
        </w:rPr>
        <w:t xml:space="preserve">X_Title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Y_Title</w:t>
      </w:r>
      <w:r>
        <w:t xml:space="preserve">: vacíos por defecto.</w:t>
      </w:r>
    </w:p>
    <w:p>
      <w:pPr>
        <w:pStyle w:val="BlockText"/>
      </w:pPr>
      <w:r>
        <w:rPr>
          <w:b/>
          <w:bCs/>
        </w:rPr>
        <w:t xml:space="preserve">WARNING:</w:t>
      </w:r>
      <w:r>
        <w:t xml:space="preserve"> </w:t>
      </w:r>
      <w:r>
        <w:t xml:space="preserve">Los errores de merge de curvas suelen deberse a inconsistencias entre</w:t>
      </w:r>
      <w:r>
        <w:t xml:space="preserve"> </w:t>
      </w:r>
      <w:r>
        <w:rPr>
          <w:rStyle w:val="VerbatimChar"/>
        </w:rPr>
        <w:t xml:space="preserve">Well</w:t>
      </w:r>
      <w:r>
        <w:t xml:space="preserve"> </w:t>
      </w:r>
      <w:r>
        <w:t xml:space="preserve">(platemap) y los encabezados de curvas.</w:t>
      </w:r>
    </w:p>
    <w:bookmarkEnd w:id="98"/>
    <w:bookmarkStart w:id="99" w:name="Xec42c79e34c9852a155b47685eb842e04ba89d4"/>
    <w:p>
      <w:pPr>
        <w:pStyle w:val="Heading3"/>
      </w:pPr>
      <w:r>
        <w:t xml:space="preserve">4.3 Modo parámetros agrupados</w:t>
      </w:r>
    </w:p>
    <w:p>
      <w:pPr>
        <w:pStyle w:val="Compact"/>
        <w:numPr>
          <w:ilvl w:val="0"/>
          <w:numId w:val="1017"/>
        </w:numPr>
      </w:pPr>
      <w:r>
        <w:t xml:space="preserve">Carga el archivo agrupado en</w:t>
      </w:r>
      <w:r>
        <w:t xml:space="preserve"> </w:t>
      </w:r>
      <w:r>
        <w:rPr>
          <w:b/>
          <w:bCs/>
        </w:rPr>
        <w:t xml:space="preserve">Cargar datos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Diseñado para gráficos/estadística de parámetros desde hojas agrupadas (por ejemplo</w:t>
      </w:r>
      <w:r>
        <w:t xml:space="preserve"> </w:t>
      </w:r>
      <w:r>
        <w:rPr>
          <w:rStyle w:val="VerbatimChar"/>
        </w:rPr>
        <w:t xml:space="preserve">Parametro_1</w:t>
      </w:r>
      <w:r>
        <w:t xml:space="preserve">,</w:t>
      </w:r>
      <w:r>
        <w:t xml:space="preserve"> </w:t>
      </w:r>
      <w:r>
        <w:rPr>
          <w:rStyle w:val="VerbatimChar"/>
        </w:rPr>
        <w:t xml:space="preserve">Parametro_2</w:t>
      </w:r>
      <w:r>
        <w:t xml:space="preserve">, ...).</w:t>
      </w:r>
    </w:p>
    <w:p>
      <w:pPr>
        <w:pStyle w:val="Compact"/>
        <w:numPr>
          <w:ilvl w:val="0"/>
          <w:numId w:val="1017"/>
        </w:numPr>
      </w:pPr>
      <w:r>
        <w:t xml:space="preserve">Soporta curvas embebidas opcionales mediante hojas de resumen de curvas en el mismo workbook.</w:t>
      </w:r>
    </w:p>
    <w:p>
      <w:pPr>
        <w:pStyle w:val="Compact"/>
        <w:numPr>
          <w:ilvl w:val="0"/>
          <w:numId w:val="1017"/>
        </w:numPr>
      </w:pPr>
      <w:r>
        <w:t xml:space="preserve">Mantén el flujo en</w:t>
      </w:r>
      <w:r>
        <w:t xml:space="preserve"> </w:t>
      </w:r>
      <w:r>
        <w:rPr>
          <w:b/>
          <w:bCs/>
        </w:rPr>
        <w:t xml:space="preserve">Cargar datos</w:t>
      </w:r>
      <w:r>
        <w:t xml:space="preserve"> </w:t>
      </w:r>
      <w:r>
        <w:t xml:space="preserve">para archivos agrupados (no subirlos en</w:t>
      </w:r>
      <w:r>
        <w:t xml:space="preserve"> </w:t>
      </w:r>
      <w:r>
        <w:rPr>
          <w:b/>
          <w:bCs/>
        </w:rPr>
        <w:t xml:space="preserve">Cargar curvas</w:t>
      </w:r>
      <w:r>
        <w:t xml:space="preserve">).</w:t>
      </w:r>
    </w:p>
    <w:bookmarkEnd w:id="99"/>
    <w:bookmarkStart w:id="100" w:name="X1b4e6a2869c7556afb3c107fc030195f56a0483"/>
    <w:p>
      <w:pPr>
        <w:pStyle w:val="Heading3"/>
      </w:pPr>
      <w:r>
        <w:t xml:space="preserve">4.4 Modo resumen</w:t>
      </w:r>
    </w:p>
    <w:p>
      <w:pPr>
        <w:pStyle w:val="Compact"/>
        <w:numPr>
          <w:ilvl w:val="0"/>
          <w:numId w:val="1018"/>
        </w:numPr>
      </w:pPr>
      <w:r>
        <w:t xml:space="preserve">Carga el archivo resumen en</w:t>
      </w:r>
      <w:r>
        <w:t xml:space="preserve"> </w:t>
      </w:r>
      <w:r>
        <w:rPr>
          <w:b/>
          <w:bCs/>
        </w:rPr>
        <w:t xml:space="preserve">Cargar datos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BIOSZEN detecta resumen de parámetros con cualquiera de estos nombres de hoja:</w:t>
      </w:r>
    </w:p>
    <w:p>
      <w:pPr>
        <w:pStyle w:val="Compact"/>
        <w:numPr>
          <w:ilvl w:val="1"/>
          <w:numId w:val="1019"/>
        </w:numPr>
      </w:pPr>
      <w:r>
        <w:rPr>
          <w:rStyle w:val="VerbatimChar"/>
        </w:rPr>
        <w:t xml:space="preserve">Parameters_Summary</w:t>
      </w:r>
    </w:p>
    <w:p>
      <w:pPr>
        <w:pStyle w:val="Compact"/>
        <w:numPr>
          <w:ilvl w:val="1"/>
          <w:numId w:val="1019"/>
        </w:numPr>
      </w:pPr>
      <w:r>
        <w:rPr>
          <w:rStyle w:val="VerbatimChar"/>
        </w:rPr>
        <w:t xml:space="preserve">Parametros_Summary</w:t>
      </w:r>
    </w:p>
    <w:p>
      <w:pPr>
        <w:pStyle w:val="Compact"/>
        <w:numPr>
          <w:ilvl w:val="1"/>
          <w:numId w:val="1019"/>
        </w:numPr>
      </w:pPr>
      <w:r>
        <w:rPr>
          <w:rStyle w:val="VerbatimChar"/>
        </w:rPr>
        <w:t xml:space="preserve">Summary_Parameters</w:t>
      </w:r>
    </w:p>
    <w:p>
      <w:pPr>
        <w:pStyle w:val="Compact"/>
        <w:numPr>
          <w:ilvl w:val="1"/>
          <w:numId w:val="1019"/>
        </w:numPr>
      </w:pPr>
      <w:r>
        <w:rPr>
          <w:rStyle w:val="VerbatimChar"/>
        </w:rPr>
        <w:t xml:space="preserve">Resumen_Parametros</w:t>
      </w:r>
    </w:p>
    <w:p>
      <w:pPr>
        <w:pStyle w:val="Compact"/>
        <w:numPr>
          <w:ilvl w:val="0"/>
          <w:numId w:val="1018"/>
        </w:numPr>
      </w:pPr>
      <w:r>
        <w:t xml:space="preserve">BIOSZEN detecta resumen de curvas embebidas con cualquiera de estos nombres:</w:t>
      </w:r>
    </w:p>
    <w:p>
      <w:pPr>
        <w:pStyle w:val="Compact"/>
        <w:numPr>
          <w:ilvl w:val="1"/>
          <w:numId w:val="1020"/>
        </w:numPr>
      </w:pPr>
      <w:r>
        <w:rPr>
          <w:rStyle w:val="VerbatimChar"/>
        </w:rPr>
        <w:t xml:space="preserve">Curves_Summary</w:t>
      </w:r>
    </w:p>
    <w:p>
      <w:pPr>
        <w:pStyle w:val="Compact"/>
        <w:numPr>
          <w:ilvl w:val="1"/>
          <w:numId w:val="1020"/>
        </w:numPr>
      </w:pPr>
      <w:r>
        <w:rPr>
          <w:rStyle w:val="VerbatimChar"/>
        </w:rPr>
        <w:t xml:space="preserve">Curvas_Summary</w:t>
      </w:r>
    </w:p>
    <w:p>
      <w:pPr>
        <w:pStyle w:val="Compact"/>
        <w:numPr>
          <w:ilvl w:val="1"/>
          <w:numId w:val="1020"/>
        </w:numPr>
      </w:pPr>
      <w:r>
        <w:rPr>
          <w:rStyle w:val="VerbatimChar"/>
        </w:rPr>
        <w:t xml:space="preserve">Summary_Curves</w:t>
      </w:r>
    </w:p>
    <w:p>
      <w:pPr>
        <w:pStyle w:val="Compact"/>
        <w:numPr>
          <w:ilvl w:val="1"/>
          <w:numId w:val="1020"/>
        </w:numPr>
      </w:pPr>
      <w:r>
        <w:rPr>
          <w:rStyle w:val="VerbatimChar"/>
        </w:rPr>
        <w:t xml:space="preserve">Resumen_Curvas</w:t>
      </w:r>
    </w:p>
    <w:p>
      <w:pPr>
        <w:pStyle w:val="Compact"/>
        <w:numPr>
          <w:ilvl w:val="0"/>
          <w:numId w:val="1018"/>
        </w:numPr>
      </w:pPr>
      <w:r>
        <w:t xml:space="preserve">Útil cuando no existen réplicas crudas por fila.</w:t>
      </w:r>
    </w:p>
    <w:p>
      <w:pPr>
        <w:pStyle w:val="Compact"/>
        <w:numPr>
          <w:ilvl w:val="0"/>
          <w:numId w:val="1018"/>
        </w:numPr>
      </w:pPr>
      <w:r>
        <w:t xml:space="preserve">El gráfico de curvas requiere un archivo válido en</w:t>
      </w:r>
      <w:r>
        <w:t xml:space="preserve"> </w:t>
      </w:r>
      <w:r>
        <w:rPr>
          <w:b/>
          <w:bCs/>
        </w:rPr>
        <w:t xml:space="preserve">Cargar curvas</w:t>
      </w:r>
      <w:r>
        <w:t xml:space="preserve"> </w:t>
      </w:r>
      <w:r>
        <w:t xml:space="preserve">o una hoja de resumen de curvas embebida.</w:t>
      </w:r>
    </w:p>
    <w:bookmarkEnd w:id="100"/>
    <w:bookmarkStart w:id="101" w:name="Xf16c6e1904251089dd353ddc2e40142df3f2d4c"/>
    <w:p>
      <w:pPr>
        <w:pStyle w:val="Heading3"/>
      </w:pPr>
      <w:r>
        <w:t xml:space="preserve">4.5 Modo CSV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Cargar datos</w:t>
      </w:r>
      <w:r>
        <w:t xml:space="preserve"> </w:t>
      </w:r>
      <w:r>
        <w:t xml:space="preserve">acepta</w:t>
      </w:r>
      <w:r>
        <w:t xml:space="preserve"> </w:t>
      </w:r>
      <w:r>
        <w:rPr>
          <w:rStyle w:val="VerbatimChar"/>
        </w:rPr>
        <w:t xml:space="preserve">.csv</w:t>
      </w:r>
      <w:r>
        <w:t xml:space="preserve"> </w:t>
      </w:r>
      <w:r>
        <w:t xml:space="preserve">y detecta delimitador automáticamente (</w:t>
      </w:r>
      <w:r>
        <w:rPr>
          <w:rStyle w:val="VerbatimChar"/>
        </w:rPr>
        <w:t xml:space="preserve">,</w:t>
      </w:r>
      <w:r>
        <w:t xml:space="preserve">,</w:t>
      </w:r>
      <w:r>
        <w:t xml:space="preserve"> </w:t>
      </w:r>
      <w:r>
        <w:rPr>
          <w:rStyle w:val="VerbatimChar"/>
        </w:rPr>
        <w:t xml:space="preserve">;</w:t>
      </w:r>
      <w:r>
        <w:t xml:space="preserve">, tab,</w:t>
      </w:r>
      <w:r>
        <w:t xml:space="preserve"> </w:t>
      </w:r>
      <w:r>
        <w:rPr>
          <w:rStyle w:val="VerbatimChar"/>
        </w:rPr>
        <w:t xml:space="preserve">|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BIOSZEN intenta convertir perfiles no platemap a un formato compatible.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Cargar curvas</w:t>
      </w:r>
      <w:r>
        <w:t xml:space="preserve"> </w:t>
      </w:r>
      <w:r>
        <w:t xml:space="preserve">también acepta</w:t>
      </w:r>
      <w:r>
        <w:t xml:space="preserve"> </w:t>
      </w:r>
      <w:r>
        <w:rPr>
          <w:rStyle w:val="VerbatimChar"/>
        </w:rPr>
        <w:t xml:space="preserve">.csv</w:t>
      </w:r>
      <w:r>
        <w:t xml:space="preserve"> </w:t>
      </w:r>
      <w:r>
        <w:t xml:space="preserve">(</w:t>
      </w:r>
      <w:r>
        <w:rPr>
          <w:rStyle w:val="VerbatimChar"/>
        </w:rPr>
        <w:t xml:space="preserve">Time</w:t>
      </w:r>
      <w:r>
        <w:t xml:space="preserve"> </w:t>
      </w:r>
      <w:r>
        <w:t xml:space="preserve">+ wells).</w:t>
      </w:r>
    </w:p>
    <w:bookmarkEnd w:id="101"/>
    <w:bookmarkStart w:id="104" w:name="X302fd3e56ed3f93c7d8b1e7892925566e0923a5"/>
    <w:p>
      <w:pPr>
        <w:pStyle w:val="Heading3"/>
      </w:pPr>
      <w:r>
        <w:t xml:space="preserve">4.6 Skill de IA opcional para preparar entradas</w:t>
      </w:r>
    </w:p>
    <w:p>
      <w:pPr>
        <w:pStyle w:val="FirstParagraph"/>
      </w:pPr>
      <w:r>
        <w:t xml:space="preserve">El repositorio fuente/GitHub incluye una skill opcional para agentes de IA en la</w:t>
      </w:r>
      <w:r>
        <w:t xml:space="preserve"> </w:t>
      </w:r>
      <w:hyperlink r:id="rId102">
        <w:r>
          <w:rPr>
            <w:rStyle w:val="Hyperlink"/>
          </w:rPr>
          <w:t xml:space="preserve">carpeta de GitHub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skills/bioszen-platemap-curves/</w:t>
        </w:r>
      </w:hyperlink>
      <w:r>
        <w:t xml:space="preserve">.</w:t>
      </w:r>
      <w:r>
        <w:t xml:space="preserve"> </w:t>
      </w:r>
      <w:r>
        <w:t xml:space="preserve">Para usarla, entrega ese URL de la carpeta de GitHub a la IA o agente</w:t>
      </w:r>
      <w:r>
        <w:t xml:space="preserve"> </w:t>
      </w:r>
      <w:r>
        <w:t xml:space="preserve">correspondiente para que lea o adquiera la skill. Si el agente necesita archivos</w:t>
      </w:r>
      <w:r>
        <w:t xml:space="preserve"> </w:t>
      </w:r>
      <w:r>
        <w:t xml:space="preserve">locales, descarga el ZIP del repositorio desde</w:t>
      </w:r>
      <w:r>
        <w:t xml:space="preserve"> </w:t>
      </w:r>
      <w:hyperlink r:id="rId103">
        <w:r>
          <w:rPr>
            <w:rStyle w:val="Hyperlink"/>
          </w:rPr>
          <w:t xml:space="preserve">https://github.com/bioszen/BIOSZEN/archive/refs/heads/main.zip</w:t>
        </w:r>
      </w:hyperlink>
      <w:r>
        <w:t xml:space="preserve"> </w:t>
      </w:r>
      <w:r>
        <w:t xml:space="preserve">y copia la</w:t>
      </w:r>
      <w:r>
        <w:t xml:space="preserve"> </w:t>
      </w:r>
      <w:r>
        <w:t xml:space="preserve">carpeta</w:t>
      </w:r>
      <w:r>
        <w:t xml:space="preserve"> </w:t>
      </w:r>
      <w:r>
        <w:rPr>
          <w:rStyle w:val="VerbatimChar"/>
        </w:rPr>
        <w:t xml:space="preserve">skills/bioszen-platemap-curves/</w:t>
      </w:r>
      <w:r>
        <w:t xml:space="preserve"> </w:t>
      </w:r>
      <w:r>
        <w:t xml:space="preserve">al sistema de skills de tu agente.</w:t>
      </w:r>
    </w:p>
    <w:p>
      <w:pPr>
        <w:pStyle w:val="BodyText"/>
      </w:pPr>
      <w:r>
        <w:t xml:space="preserve">Usa esta skill desde Codex, Claude, Antigravity u otras herramientas agénticas</w:t>
      </w:r>
      <w:r>
        <w:t xml:space="preserve"> </w:t>
      </w:r>
      <w:r>
        <w:t xml:space="preserve">similares cuando necesites generar un platemap</w:t>
      </w:r>
      <w:r>
        <w:t xml:space="preserve"> </w:t>
      </w:r>
      <w:r>
        <w:rPr>
          <w:rStyle w:val="VerbatimChar"/>
        </w:rPr>
        <w:t xml:space="preserve">Datos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PlotSettings</w:t>
      </w:r>
      <w:r>
        <w:t xml:space="preserve"> </w:t>
      </w:r>
      <w:r>
        <w:t xml:space="preserve">desde</w:t>
      </w:r>
      <w:r>
        <w:t xml:space="preserve"> </w:t>
      </w:r>
      <w:r>
        <w:t xml:space="preserve">cualquier archivo legible con datos, corregir un platemap existente, reparar</w:t>
      </w:r>
      <w:r>
        <w:t xml:space="preserve"> </w:t>
      </w:r>
      <w:r>
        <w:t xml:space="preserve">errores de tipeo en nombres de parámetros entre columnas de</w:t>
      </w:r>
      <w:r>
        <w:t xml:space="preserve"> </w:t>
      </w:r>
      <w:r>
        <w:rPr>
          <w:rStyle w:val="VerbatimChar"/>
        </w:rPr>
        <w:t xml:space="preserve">Datos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PlotSettings$Parameter</w:t>
      </w:r>
      <w:r>
        <w:t xml:space="preserve">, preparar un workbook de curvas separado, o validar</w:t>
      </w:r>
      <w:r>
        <w:t xml:space="preserve"> </w:t>
      </w:r>
      <w:r>
        <w:t xml:space="preserve">que</w:t>
      </w:r>
      <w:r>
        <w:t xml:space="preserve"> </w:t>
      </w:r>
      <w:r>
        <w:rPr>
          <w:rStyle w:val="VerbatimChar"/>
        </w:rPr>
        <w:t xml:space="preserve">Datos$Well</w:t>
      </w:r>
      <w:r>
        <w:t xml:space="preserve"> </w:t>
      </w:r>
      <w:r>
        <w:t xml:space="preserve">coincida exactamente con los encabezados de curvas antes de</w:t>
      </w:r>
      <w:r>
        <w:t xml:space="preserve"> </w:t>
      </w:r>
      <w:r>
        <w:t xml:space="preserve">subir los archivos a BIOSZEN.</w:t>
      </w:r>
    </w:p>
    <w:p>
      <w:pPr>
        <w:pStyle w:val="BodyText"/>
      </w:pPr>
      <w:r>
        <w:t xml:space="preserve">La skill es un extra de documentación/herramientas. No modifica la app BIOSZEN</w:t>
      </w:r>
      <w:r>
        <w:t xml:space="preserve"> </w:t>
      </w:r>
      <w:r>
        <w:t xml:space="preserve">y no asume nombres fijos de parámetros, etiquetas fijas de experimento ni un</w:t>
      </w:r>
      <w:r>
        <w:t xml:space="preserve"> </w:t>
      </w:r>
      <w:r>
        <w:t xml:space="preserve">tipo específico de medición.</w:t>
      </w:r>
    </w:p>
    <w:bookmarkEnd w:id="104"/>
    <w:bookmarkEnd w:id="105"/>
    <w:bookmarkStart w:id="109" w:name="Xae12b15562da4a61da4abe7db29e767bcfa80b7"/>
    <w:p>
      <w:pPr>
        <w:pStyle w:val="Heading2"/>
      </w:pPr>
      <w:r>
        <w:t xml:space="preserve">5. Flujo Estándar</w:t>
      </w:r>
    </w:p>
    <w:p>
      <w:pPr>
        <w:pStyle w:val="Compact"/>
        <w:numPr>
          <w:ilvl w:val="0"/>
          <w:numId w:val="1022"/>
        </w:numPr>
      </w:pPr>
      <w:r>
        <w:t xml:space="preserve">Carga el archivo principal de datos.</w:t>
      </w:r>
    </w:p>
    <w:p>
      <w:pPr>
        <w:pStyle w:val="Compact"/>
        <w:numPr>
          <w:ilvl w:val="0"/>
          <w:numId w:val="1022"/>
        </w:numPr>
      </w:pPr>
      <w:r>
        <w:t xml:space="preserve">Opcionalmente carga/mergea curvas.</w:t>
      </w:r>
    </w:p>
    <w:p>
      <w:pPr>
        <w:pStyle w:val="Compact"/>
        <w:numPr>
          <w:ilvl w:val="0"/>
          <w:numId w:val="1022"/>
        </w:numPr>
      </w:pPr>
      <w:r>
        <w:t xml:space="preserve">Opcionalmente carga metadatos.</w:t>
      </w:r>
    </w:p>
    <w:p>
      <w:pPr>
        <w:pStyle w:val="Compact"/>
        <w:numPr>
          <w:ilvl w:val="0"/>
          <w:numId w:val="1022"/>
        </w:numPr>
      </w:pPr>
      <w:r>
        <w:t xml:space="preserve">Elige alcance (</w:t>
      </w:r>
      <w:r>
        <w:rPr>
          <w:rStyle w:val="VerbatimChar"/>
        </w:rPr>
        <w:t xml:space="preserve">Por cepa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Combinado</w:t>
      </w:r>
      <w:r>
        <w:t xml:space="preserve">).</w:t>
      </w:r>
    </w:p>
    <w:p>
      <w:pPr>
        <w:pStyle w:val="Compact"/>
        <w:numPr>
          <w:ilvl w:val="0"/>
          <w:numId w:val="1022"/>
        </w:numPr>
      </w:pPr>
      <w:r>
        <w:t xml:space="preserve">Elige tipo de gráfico.</w:t>
      </w:r>
    </w:p>
    <w:p>
      <w:pPr>
        <w:pStyle w:val="Compact"/>
        <w:numPr>
          <w:ilvl w:val="0"/>
          <w:numId w:val="1022"/>
        </w:numPr>
      </w:pPr>
      <w:r>
        <w:t xml:space="preserve">Aplica filtros y selección de réplicas.</w:t>
      </w:r>
    </w:p>
    <w:p>
      <w:pPr>
        <w:pStyle w:val="Compact"/>
        <w:numPr>
          <w:ilvl w:val="0"/>
          <w:numId w:val="1022"/>
        </w:numPr>
      </w:pPr>
      <w:r>
        <w:t xml:space="preserve">Opcionalmente normaliza por control.</w:t>
      </w:r>
    </w:p>
    <w:p>
      <w:pPr>
        <w:pStyle w:val="Compact"/>
        <w:numPr>
          <w:ilvl w:val="0"/>
          <w:numId w:val="1022"/>
        </w:numPr>
      </w:pPr>
      <w:r>
        <w:t xml:space="preserve">Ejecuta estadística.</w:t>
      </w:r>
    </w:p>
    <w:p>
      <w:pPr>
        <w:pStyle w:val="Compact"/>
        <w:numPr>
          <w:ilvl w:val="0"/>
          <w:numId w:val="1022"/>
        </w:numPr>
      </w:pPr>
      <w:r>
        <w:t xml:space="preserve">Agrega anotaciones de significancia.</w:t>
      </w:r>
    </w:p>
    <w:p>
      <w:pPr>
        <w:pStyle w:val="Compact"/>
        <w:numPr>
          <w:ilvl w:val="0"/>
          <w:numId w:val="1022"/>
        </w:numPr>
      </w:pPr>
      <w:r>
        <w:t xml:space="preserve">Exporta salidas.</w:t>
      </w:r>
    </w:p>
    <w:p>
      <w:pPr>
        <w:pStyle w:val="FirstParagraph"/>
      </w:pPr>
      <w:r>
        <w:drawing>
          <wp:inline>
            <wp:extent cx="5334000" cy="1320297"/>
            <wp:effectExtent b="0" l="0" r="0" t="0"/>
            <wp:docPr descr="Filtrado por media/condiciones" title="" id="107" name="Picture"/>
            <a:graphic>
              <a:graphicData uri="http://schemas.openxmlformats.org/drawingml/2006/picture">
                <pic:pic>
                  <pic:nvPicPr>
                    <pic:cNvPr descr="manual_images/03_filter_media_conditions.png" id="108" name="Picture"/>
                    <pic:cNvPicPr>
                      <a:picLocks noChangeArrowheads="1"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202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09"/>
    <w:bookmarkStart w:id="130" w:name="Xaf81bc0f9fdfe300180131f47955cd5d6f20688"/>
    <w:p>
      <w:pPr>
        <w:pStyle w:val="Heading2"/>
      </w:pPr>
      <w:r>
        <w:t xml:space="preserve">6. Tipos de Gráfico y Controles</w:t>
      </w:r>
    </w:p>
    <w:bookmarkStart w:id="110" w:name="caja"/>
    <w:p>
      <w:pPr>
        <w:pStyle w:val="Heading3"/>
      </w:pPr>
      <w:r>
        <w:t xml:space="preserve">Caja</w:t>
      </w:r>
    </w:p>
    <w:p>
      <w:pPr>
        <w:pStyle w:val="Compact"/>
        <w:numPr>
          <w:ilvl w:val="0"/>
          <w:numId w:val="1023"/>
        </w:numPr>
      </w:pPr>
      <w:r>
        <w:t xml:space="preserve">Ideal para distribución de réplicas crudas.</w:t>
      </w:r>
    </w:p>
    <w:p>
      <w:pPr>
        <w:pStyle w:val="Compact"/>
        <w:numPr>
          <w:ilvl w:val="0"/>
          <w:numId w:val="1023"/>
        </w:numPr>
      </w:pPr>
      <w:r>
        <w:t xml:space="preserve">Controles: jitter, ancho de caja, tamaño de punto.</w:t>
      </w:r>
    </w:p>
    <w:p>
      <w:pPr>
        <w:pStyle w:val="Compact"/>
        <w:numPr>
          <w:ilvl w:val="0"/>
          <w:numId w:val="1023"/>
        </w:numPr>
      </w:pPr>
      <w:r>
        <w:t xml:space="preserve">Soporta anotaciones manuales/automáticas.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Voltear orientación (horizontal)</w:t>
      </w:r>
      <w:r>
        <w:t xml:space="preserve"> </w:t>
      </w:r>
      <w:r>
        <w:t xml:space="preserve">mejora legibilidad con etiquetas largas.</w:t>
      </w:r>
    </w:p>
    <w:bookmarkEnd w:id="110"/>
    <w:bookmarkStart w:id="111" w:name="barras"/>
    <w:p>
      <w:pPr>
        <w:pStyle w:val="Heading3"/>
      </w:pPr>
      <w:r>
        <w:t xml:space="preserve">Barras</w:t>
      </w:r>
    </w:p>
    <w:p>
      <w:pPr>
        <w:pStyle w:val="Compact"/>
        <w:numPr>
          <w:ilvl w:val="0"/>
          <w:numId w:val="1024"/>
        </w:numPr>
      </w:pPr>
      <w:r>
        <w:t xml:space="preserve">Ideal para comparación resumida por grupo.</w:t>
      </w:r>
    </w:p>
    <w:p>
      <w:pPr>
        <w:pStyle w:val="Compact"/>
        <w:numPr>
          <w:ilvl w:val="0"/>
          <w:numId w:val="1024"/>
        </w:numPr>
      </w:pPr>
      <w:r>
        <w:t xml:space="preserve">Soporta barras de error y puntos crudos opcionales.</w:t>
      </w:r>
    </w:p>
    <w:p>
      <w:pPr>
        <w:pStyle w:val="Compact"/>
        <w:numPr>
          <w:ilvl w:val="0"/>
          <w:numId w:val="1024"/>
        </w:numPr>
      </w:pPr>
      <w:r>
        <w:t xml:space="preserve">Orientación horizontal disponible.</w:t>
      </w:r>
    </w:p>
    <w:bookmarkEnd w:id="111"/>
    <w:bookmarkStart w:id="112" w:name="violín"/>
    <w:p>
      <w:pPr>
        <w:pStyle w:val="Heading3"/>
      </w:pPr>
      <w:r>
        <w:t xml:space="preserve">Violín</w:t>
      </w:r>
    </w:p>
    <w:p>
      <w:pPr>
        <w:pStyle w:val="Compact"/>
        <w:numPr>
          <w:ilvl w:val="0"/>
          <w:numId w:val="1025"/>
        </w:numPr>
      </w:pPr>
      <w:r>
        <w:t xml:space="preserve">Ideal para forma de distribución + réplica superpuesta.</w:t>
      </w:r>
    </w:p>
    <w:p>
      <w:pPr>
        <w:pStyle w:val="Compact"/>
        <w:numPr>
          <w:ilvl w:val="0"/>
          <w:numId w:val="1025"/>
        </w:numPr>
      </w:pPr>
      <w:r>
        <w:t xml:space="preserve">Comparte flujo de anotaciones con Caja/Barras.</w:t>
      </w:r>
    </w:p>
    <w:p>
      <w:pPr>
        <w:pStyle w:val="Compact"/>
        <w:numPr>
          <w:ilvl w:val="0"/>
          <w:numId w:val="1025"/>
        </w:numPr>
      </w:pPr>
      <w:r>
        <w:t xml:space="preserve">Orientación horizontal disponible.</w:t>
      </w:r>
    </w:p>
    <w:bookmarkEnd w:id="112"/>
    <w:bookmarkStart w:id="113" w:name="apilado"/>
    <w:p>
      <w:pPr>
        <w:pStyle w:val="Heading3"/>
      </w:pPr>
      <w:r>
        <w:t xml:space="preserve">Apilado</w:t>
      </w:r>
    </w:p>
    <w:p>
      <w:pPr>
        <w:pStyle w:val="Compact"/>
        <w:numPr>
          <w:ilvl w:val="0"/>
          <w:numId w:val="1026"/>
        </w:numPr>
      </w:pPr>
      <w:r>
        <w:t xml:space="preserve">Selector y orden de parámetros.</w:t>
      </w:r>
    </w:p>
    <w:p>
      <w:pPr>
        <w:pStyle w:val="Compact"/>
        <w:numPr>
          <w:ilvl w:val="0"/>
          <w:numId w:val="1026"/>
        </w:numPr>
      </w:pPr>
      <w:r>
        <w:t xml:space="preserve">Configuración de barras de desviación y colores.</w:t>
      </w:r>
    </w:p>
    <w:p>
      <w:pPr>
        <w:pStyle w:val="Compact"/>
        <w:numPr>
          <w:ilvl w:val="0"/>
          <w:numId w:val="1026"/>
        </w:numPr>
      </w:pPr>
      <w:r>
        <w:t xml:space="preserve">La estadística y la significancia automática están disponibles por cada parámetro incluido. Las comparaciones se hacen dentro de cada parámetro, por ejemplo</w:t>
      </w:r>
      <w:r>
        <w:t xml:space="preserve"> </w:t>
      </w:r>
      <w:r>
        <w:rPr>
          <w:rStyle w:val="VerbatimChar"/>
        </w:rPr>
        <w:t xml:space="preserve">Parámetro A - Grupo 1</w:t>
      </w:r>
      <w:r>
        <w:t xml:space="preserve"> </w:t>
      </w:r>
      <w:r>
        <w:t xml:space="preserve">contra</w:t>
      </w:r>
      <w:r>
        <w:t xml:space="preserve"> </w:t>
      </w:r>
      <w:r>
        <w:rPr>
          <w:rStyle w:val="VerbatimChar"/>
        </w:rPr>
        <w:t xml:space="preserve">Parámetro A - Grupo 2</w:t>
      </w:r>
      <w:r>
        <w:t xml:space="preserve">, no contra otro segmento apilado.</w:t>
      </w:r>
    </w:p>
    <w:p>
      <w:pPr>
        <w:pStyle w:val="Compact"/>
        <w:numPr>
          <w:ilvl w:val="0"/>
          <w:numId w:val="1026"/>
        </w:numPr>
      </w:pPr>
      <w:r>
        <w:t xml:space="preserve">Las etiquetas de significancia se pueden agregar sobre el grupo objetivo seleccionado para el parámetro seleccionado; la tabla de resultados incluye una columna</w:t>
      </w:r>
      <w:r>
        <w:t xml:space="preserve"> </w:t>
      </w:r>
      <w:r>
        <w:rPr>
          <w:rStyle w:val="VerbatimChar"/>
        </w:rPr>
        <w:t xml:space="preserve">Parameter</w:t>
      </w:r>
      <w:r>
        <w:t xml:space="preserve">.</w:t>
      </w:r>
    </w:p>
    <w:p>
      <w:pPr>
        <w:pStyle w:val="Compact"/>
        <w:numPr>
          <w:ilvl w:val="0"/>
          <w:numId w:val="1026"/>
        </w:numPr>
      </w:pPr>
      <w:r>
        <w:t xml:space="preserve">Para gráficos apilados se recomiendan las anotaciones como etiquetas.</w:t>
      </w:r>
    </w:p>
    <w:p>
      <w:pPr>
        <w:pStyle w:val="Compact"/>
        <w:numPr>
          <w:ilvl w:val="0"/>
          <w:numId w:val="1026"/>
        </w:numPr>
      </w:pPr>
      <w:r>
        <w:t xml:space="preserve">Orientación horizontal disponible; al voltear el gráfico se conservan leyendas, estilos de texto, barras de error y etiquetas de significancia.</w:t>
      </w:r>
    </w:p>
    <w:bookmarkEnd w:id="113"/>
    <w:bookmarkStart w:id="114" w:name="correlación"/>
    <w:p>
      <w:pPr>
        <w:pStyle w:val="Heading3"/>
      </w:pPr>
      <w:r>
        <w:t xml:space="preserve">Correlación</w:t>
      </w:r>
    </w:p>
    <w:p>
      <w:pPr>
        <w:pStyle w:val="Compact"/>
        <w:numPr>
          <w:ilvl w:val="0"/>
          <w:numId w:val="1027"/>
        </w:numPr>
      </w:pPr>
      <w:r>
        <w:t xml:space="preserve">Selección de parámetros X/Y.</w:t>
      </w:r>
    </w:p>
    <w:p>
      <w:pPr>
        <w:pStyle w:val="Compact"/>
        <w:numPr>
          <w:ilvl w:val="0"/>
          <w:numId w:val="1027"/>
        </w:numPr>
      </w:pPr>
      <w:r>
        <w:t xml:space="preserve">Métodos: Pearson, Spearman, Kendall.</w:t>
      </w:r>
    </w:p>
    <w:p>
      <w:pPr>
        <w:pStyle w:val="Compact"/>
        <w:numPr>
          <w:ilvl w:val="0"/>
          <w:numId w:val="1027"/>
        </w:numPr>
      </w:pPr>
      <w:r>
        <w:t xml:space="preserve">Capas opcionales: recta,</w:t>
      </w:r>
      <w:r>
        <w:t xml:space="preserve"> </w:t>
      </w:r>
      <w:r>
        <w:rPr>
          <w:rStyle w:val="VerbatimChar"/>
        </w:rPr>
        <w:t xml:space="preserve">r</w:t>
      </w:r>
      <w:r>
        <w:t xml:space="preserve">,</w:t>
      </w:r>
      <w:r>
        <w:t xml:space="preserve"> </w:t>
      </w:r>
      <w:r>
        <w:rPr>
          <w:rStyle w:val="VerbatimChar"/>
        </w:rPr>
        <w:t xml:space="preserve">p</w:t>
      </w:r>
      <w:r>
        <w:t xml:space="preserve">,</w:t>
      </w:r>
      <w:r>
        <w:t xml:space="preserve"> </w:t>
      </w:r>
      <w:r>
        <w:rPr>
          <w:rStyle w:val="VerbatimChar"/>
        </w:rPr>
        <w:t xml:space="preserve">R2</w:t>
      </w:r>
      <w:r>
        <w:t xml:space="preserve">, ecuación.</w:t>
      </w:r>
    </w:p>
    <w:p>
      <w:pPr>
        <w:pStyle w:val="Compact"/>
        <w:numPr>
          <w:ilvl w:val="0"/>
          <w:numId w:val="1027"/>
        </w:numPr>
      </w:pPr>
      <w:r>
        <w:t xml:space="preserve">Panel avanzado con cribado uno-contra-todos y exportación Excel.</w:t>
      </w:r>
    </w:p>
    <w:bookmarkEnd w:id="114"/>
    <w:bookmarkStart w:id="117" w:name="concentración-respuesta--dosis-respuesta"/>
    <w:p>
      <w:pPr>
        <w:pStyle w:val="Heading3"/>
      </w:pPr>
      <w:r>
        <w:t xml:space="preserve">Concentración-respuesta / dosis-respuesta</w:t>
      </w:r>
    </w:p>
    <w:p>
      <w:pPr>
        <w:pStyle w:val="Compact"/>
        <w:numPr>
          <w:ilvl w:val="0"/>
          <w:numId w:val="1028"/>
        </w:numPr>
      </w:pPr>
      <w:r>
        <w:t xml:space="preserve">Selecciona el parámetro de respuesta, la serie del compuesto, las cepas, las réplicas biológicas y las condiciones que se incluirán. Permanecen activos los mismos filtros de grupos y réplicas de los demás gráficos.</w:t>
      </w:r>
    </w:p>
    <w:p>
      <w:pPr>
        <w:pStyle w:val="Compact"/>
        <w:numPr>
          <w:ilvl w:val="0"/>
          <w:numId w:val="1028"/>
        </w:numPr>
      </w:pPr>
      <w:r>
        <w:t xml:space="preserve">BIOSZEN reconoce concentraciones desde los nombres de las condiciones y permite corregir manualmente cada concentración y unidad. Todas las filas incluidas deben usar una misma unidad mostrada antes del ajuste.</w:t>
      </w:r>
    </w:p>
    <w:p>
      <w:pPr>
        <w:pStyle w:val="Compact"/>
        <w:numPr>
          <w:ilvl w:val="0"/>
          <w:numId w:val="1028"/>
        </w:numPr>
      </w:pPr>
      <w:r>
        <w:t xml:space="preserve">Cada cepa se ajusta independientemente con un modelo inhibitorio log-logístico de cuatro parámetros (</w:t>
      </w:r>
      <w:r>
        <w:rPr>
          <w:rStyle w:val="VerbatimChar"/>
        </w:rPr>
        <w:t xml:space="preserve">LL.4</w:t>
      </w:r>
      <w:r>
        <w:t xml:space="preserve">). De forma predeterminada se muestran puntos por réplica biológica; opcionalmente se puede mostrar la media con DE o SEM.</w:t>
      </w:r>
    </w:p>
    <w:p>
      <w:pPr>
        <w:pStyle w:val="Compact"/>
        <w:numPr>
          <w:ilvl w:val="0"/>
          <w:numId w:val="1028"/>
        </w:numPr>
      </w:pPr>
      <w:r>
        <w:t xml:space="preserve">La respuesta puede ser el parámetro bruto o su valor normalizado al control. Las respuestas normalizadas se ajustan como porcentaje del control.</w:t>
      </w:r>
    </w:p>
    <w:p>
      <w:pPr>
        <w:pStyle w:val="Compact"/>
        <w:numPr>
          <w:ilvl w:val="0"/>
          <w:numId w:val="1028"/>
        </w:numPr>
      </w:pPr>
      <w:r>
        <w:t xml:space="preserve">Un IC50 menor indica mayor susceptibilidad solo si el ajuste es inhibitorio, el IC50 queda dentro del rango de concentraciones evaluado y la incertidumbre es aceptable. Los valores informados como</w:t>
      </w:r>
      <w:r>
        <w:t xml:space="preserve"> </w:t>
      </w:r>
      <w:r>
        <w:rPr>
          <w:rStyle w:val="VerbatimChar"/>
        </w:rPr>
        <w:t xml:space="preserve">&gt; máximo evaluado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 mínimo evaluado</w:t>
      </w:r>
      <w:r>
        <w:t xml:space="preserve"> </w:t>
      </w:r>
      <w:r>
        <w:t xml:space="preserve">o no estimables se excluyen del ranking de susceptibilidad.</w:t>
      </w:r>
    </w:p>
    <w:p>
      <w:pPr>
        <w:pStyle w:val="Compact"/>
        <w:numPr>
          <w:ilvl w:val="0"/>
          <w:numId w:val="1028"/>
        </w:numPr>
      </w:pPr>
      <w:r>
        <w:t xml:space="preserve">Los límites, intervalos y títulos de ejes, el grosor de la curva ajustada, el tamaño y contorno negro de los puntos y la opacidad de la banda de confianza solo cambian la presentación. No reajustan la curva ni modifican los parámetros. El intervalo X se usa en el eje lineal; el eje X logarítmico utiliza espaciado logarítmico automático.</w:t>
      </w:r>
    </w:p>
    <w:bookmarkStart w:id="115" w:name="Xf41b95b553930832f597a653713901117afdb7a"/>
    <w:p>
      <w:pPr>
        <w:pStyle w:val="Heading4"/>
      </w:pPr>
      <w:r>
        <w:t xml:space="preserve">Interpretación de valores de réplica y parámetros de curva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Salida</w:t>
            </w:r>
          </w:p>
        </w:tc>
        <w:tc>
          <w:tcPr/>
          <w:p>
            <w:pPr>
              <w:pStyle w:val="Compact"/>
            </w:pPr>
            <w:r>
              <w:t xml:space="preserve">Interpretación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Strain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Parameter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Compound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ConcentrationUnit</w:t>
            </w:r>
          </w:p>
        </w:tc>
        <w:tc>
          <w:tcPr/>
          <w:p>
            <w:pPr>
              <w:pStyle w:val="Compact"/>
            </w:pPr>
            <w:r>
              <w:t xml:space="preserve">Identifican la cepa ajustada, la respuesta seleccionada, la serie del tratamiento y la unidad de concentración. No deben compararse parámetros en unidades distintas como si estuvieran en la misma escala.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Condition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Concentration</w:t>
            </w:r>
          </w:p>
        </w:tc>
        <w:tc>
          <w:tcPr/>
          <w:p>
            <w:pPr>
              <w:pStyle w:val="Compact"/>
            </w:pPr>
            <w:r>
              <w:t xml:space="preserve">Etiqueta original de la condición/grupo y concentración numérica corregida usada para esa fila. Debe revisarse siempre el mapeo de concentraciones antes del ajuste.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BiologicalReplicate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TechnicalReplicate</w:t>
            </w:r>
          </w:p>
        </w:tc>
        <w:tc>
          <w:tcPr/>
          <w:p>
            <w:pPr>
              <w:pStyle w:val="Compact"/>
            </w:pPr>
            <w:r>
              <w:t xml:space="preserve">Identificadores conservados en la hoja de valores por réplica. Las réplicas técnicas seleccionadas se promedian dentro de cada réplica biológica antes del ajuste no lineal; las réplicas biológicas son las observaciones independientes del modelo.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RawValue</w:t>
            </w:r>
          </w:p>
        </w:tc>
        <w:tc>
          <w:tcPr/>
          <w:p>
            <w:pPr>
              <w:pStyle w:val="Compact"/>
            </w:pPr>
            <w:r>
              <w:t xml:space="preserve">Valor observado del parámetro conservado después de aplicar los filtros de grupos y réplicas.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NormalizedValue</w:t>
            </w:r>
          </w:p>
        </w:tc>
        <w:tc>
          <w:tcPr/>
          <w:p>
            <w:pPr>
              <w:pStyle w:val="Compact"/>
            </w:pPr>
            <w:r>
              <w:t xml:space="preserve">Valor observado expresado como porcentaje del control seleccionado cuando la normalización está activa.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ModelValue</w:t>
            </w:r>
          </w:p>
        </w:tc>
        <w:tc>
          <w:tcPr/>
          <w:p>
            <w:pPr>
              <w:pStyle w:val="Compact"/>
            </w:pPr>
            <w:r>
              <w:t xml:space="preserve">Valor realmente entregado al modelo: bruto o normalizado según el modo seleccionado.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ResultBasis</w:t>
            </w:r>
          </w:p>
        </w:tc>
        <w:tc>
          <w:tcPr/>
          <w:p>
            <w:pPr>
              <w:pStyle w:val="Compact"/>
            </w:pPr>
            <w:r>
              <w:t xml:space="preserve">Indica qué parámetro de respuesta se usó para calcular el IC50 informado.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IC50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Resultado IC50</w:t>
            </w:r>
          </w:p>
        </w:tc>
        <w:tc>
          <w:tcPr/>
          <w:p>
            <w:pPr>
              <w:pStyle w:val="Compact"/>
            </w:pPr>
            <w:r>
              <w:t xml:space="preserve">Concentración que produce el 50% del efecto inhibitorio ajustado respecto de la respuesta superior del modelo. Un valor menor suele indicar mayor susceptibilidad. Debe interpretarse solo si es estimable dentro del rango evaluado.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ED50</w:t>
            </w:r>
          </w:p>
        </w:tc>
        <w:tc>
          <w:tcPr/>
          <w:p>
            <w:pPr>
              <w:pStyle w:val="Compact"/>
            </w:pPr>
            <w:r>
              <w:t xml:space="preserve">Dosis efectiva relativa del 50%. En la implementación inhibitoria</w:t>
            </w:r>
            <w:r>
              <w:t xml:space="preserve"> </w:t>
            </w:r>
            <w:r>
              <w:rPr>
                <w:rStyle w:val="VerbatimChar"/>
              </w:rPr>
              <w:t xml:space="preserve">LL.4</w:t>
            </w:r>
            <w:r>
              <w:t xml:space="preserve"> </w:t>
            </w:r>
            <w:r>
              <w:t xml:space="preserve">actual corresponde numéricamente a la misma concentración ajustada que el IC50.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EC50</w:t>
            </w:r>
          </w:p>
        </w:tc>
        <w:tc>
          <w:tcPr/>
          <w:p>
            <w:pPr>
              <w:pStyle w:val="Compact"/>
            </w:pPr>
            <w:r>
              <w:t xml:space="preserve">Campo convencional de concentración efectiva media. Se informa como</w:t>
            </w:r>
            <w:r>
              <w:t xml:space="preserve"> </w:t>
            </w:r>
            <w:r>
              <w:rPr>
                <w:rStyle w:val="VerbatimChar"/>
              </w:rPr>
              <w:t xml:space="preserve">NA</w:t>
            </w:r>
            <w:r>
              <w:t xml:space="preserve"> </w:t>
            </w:r>
            <w:r>
              <w:t xml:space="preserve">porque la ruta actual de BIOSZEN ajusta un modelo inhibitorio IC50/ED50 y no un modelo estimulador EC50 independiente.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IC50_SE</w:t>
            </w:r>
          </w:p>
        </w:tc>
        <w:tc>
          <w:tcPr/>
          <w:p>
            <w:pPr>
              <w:pStyle w:val="Compact"/>
            </w:pPr>
            <w:r>
              <w:t xml:space="preserve">Error estándar del IC50 calculado por método delta. Valores mayores indican menor precisión.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CI_Lower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CI_Upper</w:t>
            </w:r>
            <w:r>
              <w:t xml:space="preserve"> </w:t>
            </w:r>
            <w:r>
              <w:t xml:space="preserve">(límites inferior/superior del IC 95% en la app)</w:t>
            </w:r>
          </w:p>
        </w:tc>
        <w:tc>
          <w:tcPr/>
          <w:p>
            <w:pPr>
              <w:pStyle w:val="Compact"/>
            </w:pPr>
            <w:r>
              <w:t xml:space="preserve">Intervalo de confianza del IC50. Intervalos anchos o límites muy fuera del rango evaluado indican baja precisión.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HillSlope</w:t>
            </w:r>
          </w:p>
        </w:tc>
        <w:tc>
          <w:tcPr/>
          <w:p>
            <w:pPr>
              <w:pStyle w:val="Compact"/>
            </w:pPr>
            <w:r>
              <w:t xml:space="preserve">Parámetro de forma que controla la pendiente de la transición en escala logarítmica de dosis. En las curvas inhibitorias decrecientes aceptadas por BIOSZEN es positivo; un valor mayor genera una transición más brusca pero no mide por sí solo susceptibilidad.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LowerAsymptote</w:t>
            </w:r>
          </w:p>
        </w:tc>
        <w:tc>
          <w:tcPr/>
          <w:p>
            <w:pPr>
              <w:pStyle w:val="Compact"/>
            </w:pPr>
            <w:r>
              <w:t xml:space="preserve">Respuesta ajustada a la que se aproxima la curva a concentraciones altas. Es un límite extrapolado y puede diferir del menor valor observado.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UpperAsymptote</w:t>
            </w:r>
          </w:p>
        </w:tc>
        <w:tc>
          <w:tcPr/>
          <w:p>
            <w:pPr>
              <w:pStyle w:val="Compact"/>
            </w:pPr>
            <w:r>
              <w:t xml:space="preserve">Respuesta ajustada a la que se aproxima la curva a concentración cero o baja. Es un límite extrapolado y puede diferir del mayor valor observado.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ResponseRange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UpperAsymptote - LowerAsymptote</w:t>
            </w:r>
            <w:r>
              <w:t xml:space="preserve">; amplitud de respuesta ajustada.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InflectionPoint</w:t>
            </w:r>
          </w:p>
        </w:tc>
        <w:tc>
          <w:tcPr/>
          <w:p>
            <w:pPr>
              <w:pStyle w:val="Compact"/>
            </w:pPr>
            <w:r>
              <w:t xml:space="preserve">Concentración central de la transición ajustada. En este modelo normalmente coincide con ED50/IC50 relativo.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MaximumSlope</w:t>
            </w:r>
          </w:p>
        </w:tc>
        <w:tc>
          <w:tcPr/>
          <w:p>
            <w:pPr>
              <w:pStyle w:val="Compact"/>
            </w:pPr>
            <w:r>
              <w:t xml:space="preserve">Cambio ajustado más pronunciado en el eje de concentración bruto:</w:t>
            </w:r>
            <w:r>
              <w:t xml:space="preserve"> </w:t>
            </w:r>
            <w:r>
              <w:rPr>
                <w:rStyle w:val="VerbatimChar"/>
              </w:rPr>
              <w:t xml:space="preserve">-(ResponseRange * HillSlope) / (4 * InflectionPoint)</w:t>
            </w:r>
            <w:r>
              <w:t xml:space="preserve">. Un valor más negativo indica una caída local más rápida pero depende de las unidades de respuesta y concentración.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MaximumSlopeMagnitude</w:t>
            </w:r>
          </w:p>
        </w:tc>
        <w:tc>
          <w:tcPr/>
          <w:p>
            <w:pPr>
              <w:pStyle w:val="Compact"/>
            </w:pPr>
            <w:r>
              <w:t xml:space="preserve">Valor absoluto de</w:t>
            </w:r>
            <w:r>
              <w:t xml:space="preserve"> </w:t>
            </w:r>
            <w:r>
              <w:rPr>
                <w:rStyle w:val="VerbatimChar"/>
              </w:rPr>
              <w:t xml:space="preserve">MaximumSlope</w:t>
            </w:r>
            <w:r>
              <w:t xml:space="preserve">, útil para comparar la intensidad de la pendiente sin el signo inhibitorio negativo. Las comparaciones requieren las mismas unidades.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MinTested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MaxTested</w:t>
            </w:r>
          </w:p>
        </w:tc>
        <w:tc>
          <w:tcPr/>
          <w:p>
            <w:pPr>
              <w:pStyle w:val="Compact"/>
            </w:pPr>
            <w:r>
              <w:t xml:space="preserve">Concentraciones positivas mínima y máxima incluidas en la serie. Definen si el IC50 está dentro del rango experimental.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DoseLevels</w:t>
            </w:r>
          </w:p>
        </w:tc>
        <w:tc>
          <w:tcPr/>
          <w:p>
            <w:pPr>
              <w:pStyle w:val="Compact"/>
            </w:pPr>
            <w:r>
              <w:t xml:space="preserve">Número de concentraciones distintas incluidas, considerando cero cuando está presente. Más niveles bien distribuidos suelen mejorar la identificabilidad.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BiologicalReplicates</w:t>
            </w:r>
          </w:p>
        </w:tc>
        <w:tc>
          <w:tcPr/>
          <w:p>
            <w:pPr>
              <w:pStyle w:val="Compact"/>
            </w:pPr>
            <w:r>
              <w:t xml:space="preserve">Número de réplicas biológicas distintas que contribuyen al ajuste de la cepa.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Comparable</w:t>
            </w:r>
          </w:p>
        </w:tc>
        <w:tc>
          <w:tcPr/>
          <w:p>
            <w:pPr>
              <w:pStyle w:val="Compact"/>
            </w:pPr>
            <w:r>
              <w:t xml:space="preserve">Es</w:t>
            </w:r>
            <w:r>
              <w:t xml:space="preserve"> </w:t>
            </w:r>
            <w:r>
              <w:rPr>
                <w:rStyle w:val="VerbatimChar"/>
              </w:rPr>
              <w:t xml:space="preserve">TRUE</w:t>
            </w:r>
            <w:r>
              <w:t xml:space="preserve"> </w:t>
            </w:r>
            <w:r>
              <w:t xml:space="preserve">solo para un ajuste inhibitorio decreciente con IC50 finito y positivo dentro del rango positivo evaluado. Solo estas filas participan en ranking y comparaciones pareadas de IC50.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SusceptibilityRank</w:t>
            </w:r>
          </w:p>
        </w:tc>
        <w:tc>
          <w:tcPr/>
          <w:p>
            <w:pPr>
              <w:pStyle w:val="Compact"/>
            </w:pPr>
            <w:r>
              <w:t xml:space="preserve">Ranking de cepas comparables ordenado por IC50 ascendente. Rango 1 corresponde al IC50 menor; es descriptivo si la comparación pareada ajustada no lo respalda.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RelativeToLowestIC50</w:t>
            </w:r>
          </w:p>
        </w:tc>
        <w:tc>
          <w:tcPr/>
          <w:p>
            <w:pPr>
              <w:pStyle w:val="Compact"/>
            </w:pPr>
            <w:r>
              <w:t xml:space="preserve">IC50 de la cepa dividido por el menor IC50 comparable. La cepa menor vale 1; un valor 2 significa que requirió el doble de concentración para el mismo efecto ajustado del 50%.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Estado del ajuste</w:t>
            </w:r>
          </w:p>
        </w:tc>
        <w:tc>
          <w:tcPr/>
          <w:p>
            <w:pPr>
              <w:pStyle w:val="Compact"/>
            </w:pPr>
            <w:r>
              <w:t xml:space="preserve">Indica si el ajuste es utilizable o por qué no: dosis insuficientes, respuesta plana, falta de convergencia, respuesta no inhibitoria, IC50 no estimable, sobre el rango o bajo el rango.</w:t>
            </w:r>
          </w:p>
        </w:tc>
      </w:tr>
    </w:tbl>
    <w:bookmarkEnd w:id="115"/>
    <w:bookmarkStart w:id="116" w:name="X91fa1acd8fc19a4296fa3f1e54881747294ccca"/>
    <w:p>
      <w:pPr>
        <w:pStyle w:val="Heading4"/>
      </w:pPr>
      <w:r>
        <w:t xml:space="preserve">Interpretación del diagnóstico y comparaciones entre cepas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Salida</w:t>
            </w:r>
          </w:p>
        </w:tc>
        <w:tc>
          <w:tcPr/>
          <w:p>
            <w:pPr>
              <w:pStyle w:val="Compact"/>
            </w:pPr>
            <w:r>
              <w:t xml:space="preserve">Interpretación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Modelo usado para la cepa; actualmente el log-logístico de cuatro parámetros (</w:t>
            </w:r>
            <w:r>
              <w:rPr>
                <w:rStyle w:val="VerbatimChar"/>
              </w:rPr>
              <w:t xml:space="preserve">LL.4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Observations</w:t>
            </w:r>
          </w:p>
        </w:tc>
        <w:tc>
          <w:tcPr/>
          <w:p>
            <w:pPr>
              <w:pStyle w:val="Compact"/>
            </w:pPr>
            <w:r>
              <w:t xml:space="preserve">Número de valores de respuesta de réplicas biológicas usados después del filtrado y del promedio técnico dentro de cada dosis.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ResidualDF</w:t>
            </w:r>
          </w:p>
        </w:tc>
        <w:tc>
          <w:tcPr/>
          <w:p>
            <w:pPr>
              <w:pStyle w:val="Compact"/>
            </w:pPr>
            <w:r>
              <w:t xml:space="preserve">Grados de libertad residuales: observaciones menos los cuatro parámetros ajustados.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RSS</w:t>
            </w:r>
          </w:p>
        </w:tc>
        <w:tc>
          <w:tcPr/>
          <w:p>
            <w:pPr>
              <w:pStyle w:val="Compact"/>
            </w:pPr>
            <w:r>
              <w:t xml:space="preserve">Suma de cuadrados residual. Un valor menor es mejor solo al comparar ajustes de la misma respuesta y observaciones.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RMSE</w:t>
            </w:r>
          </w:p>
        </w:tc>
        <w:tc>
          <w:tcPr/>
          <w:p>
            <w:pPr>
              <w:pStyle w:val="Compact"/>
            </w:pPr>
            <w:r>
              <w:t xml:space="preserve">Error residual típico en unidades de respuesta. Valores menores indican predicciones más cercanas a las observaciones.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R_Squared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Adjusted_R_Squared</w:t>
            </w:r>
          </w:p>
        </w:tc>
        <w:tc>
          <w:tcPr/>
          <w:p>
            <w:pPr>
              <w:pStyle w:val="Compact"/>
            </w:pPr>
            <w:r>
              <w:t xml:space="preserve">Proporción descriptiva de variación representada por la curva; el R² ajustado considera los cuatro parámetros. En modelos no lineales no deben ser el único criterio de aceptación.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BIC</w:t>
            </w:r>
          </w:p>
        </w:tc>
        <w:tc>
          <w:tcPr/>
          <w:p>
            <w:pPr>
              <w:pStyle w:val="Compact"/>
            </w:pPr>
            <w:r>
              <w:t xml:space="preserve">Criterios de información para comparar modelos sobre los mismos datos y respuesta. Se prefieren valores menores; el valor absoluto no tiene interpretación biológica aislada.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LogLikelihood</w:t>
            </w:r>
          </w:p>
        </w:tc>
        <w:tc>
          <w:tcPr/>
          <w:p>
            <w:pPr>
              <w:pStyle w:val="Compact"/>
            </w:pPr>
            <w:r>
              <w:t xml:space="preserve">Log-verosimilitud del modelo. Valores mayores indican mejor verosimilitud solo entre modelos comparables ajustados a las mismas observaciones.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LinearSlope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LinearSlopeSE</w:t>
            </w:r>
          </w:p>
        </w:tc>
        <w:tc>
          <w:tcPr/>
          <w:p>
            <w:pPr>
              <w:pStyle w:val="Compact"/>
            </w:pPr>
            <w:r>
              <w:t xml:space="preserve">Pendiente opcional de</w:t>
            </w:r>
            <w:r>
              <w:t xml:space="preserve"> </w:t>
            </w:r>
            <w:r>
              <w:rPr>
                <w:rStyle w:val="VerbatimChar"/>
              </w:rPr>
              <w:t xml:space="preserve">Respuesta ~ Concentración</w:t>
            </w:r>
            <w:r>
              <w:t xml:space="preserve"> </w:t>
            </w:r>
            <w:r>
              <w:t xml:space="preserve">y su error estándar. Resume de forma aproximada todo el rango y no reemplaza al IC50 ni a la pendiente máxima no lineal.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LinearSlopeCI_Lower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LinearSlopeCI_Upper</w:t>
            </w:r>
          </w:p>
        </w:tc>
        <w:tc>
          <w:tcPr/>
          <w:p>
            <w:pPr>
              <w:pStyle w:val="Compact"/>
            </w:pPr>
            <w:r>
              <w:t xml:space="preserve">Intervalo de confianza del 95% de la pendiente lineal. Si incluye cero no respalda una tendencia lineal distinta de cero.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LinearSlopeP_Value</w:t>
            </w:r>
          </w:p>
        </w:tc>
        <w:tc>
          <w:tcPr/>
          <w:p>
            <w:pPr>
              <w:pStyle w:val="Compact"/>
            </w:pPr>
            <w:r>
              <w:t xml:space="preserve">Prueba opcional de que la pendiente lineal en todo el rango difiere de cero. No prueba igualdad entre valores IC50.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Linear_R_Squared</w:t>
            </w:r>
          </w:p>
        </w:tc>
        <w:tc>
          <w:tcPr/>
          <w:p>
            <w:pPr>
              <w:pStyle w:val="Compact"/>
            </w:pPr>
            <w:r>
              <w:t xml:space="preserve">R² descriptivo de la tendencia lineal opcional.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Converged</w:t>
            </w:r>
          </w:p>
        </w:tc>
        <w:tc>
          <w:tcPr/>
          <w:p>
            <w:pPr>
              <w:pStyle w:val="Compact"/>
            </w:pPr>
            <w:r>
              <w:t xml:space="preserve">Indica si se obtuvo correctamente el objeto del ajuste no lineal. La convergencia es necesaria pero no garantiza plausibilidad biológica ni precisión.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StrainA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StrainB</w:t>
            </w:r>
          </w:p>
        </w:tc>
        <w:tc>
          <w:tcPr/>
          <w:p>
            <w:pPr>
              <w:pStyle w:val="Compact"/>
            </w:pPr>
            <w:r>
              <w:t xml:space="preserve">Identifican el par ordenado de cepas usado para la razón y la comparación de Wald.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IC50_Ratio_A_over_B</w:t>
            </w:r>
            <w:r>
              <w:t xml:space="preserve"> </w:t>
            </w:r>
            <w:r>
              <w:t xml:space="preserve">(razón IC50 A/B en la app)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IC50_A / IC50_B</w:t>
            </w:r>
            <w:r>
              <w:t xml:space="preserve">. Una razón mayor que 1 significa que la cepa A requirió mayor concentración y es descriptivamente menos susceptible que B.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Ratio_CI_Lower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Ratio_CI_Upper</w:t>
            </w:r>
          </w:p>
        </w:tc>
        <w:tc>
          <w:tcPr/>
          <w:p>
            <w:pPr>
              <w:pStyle w:val="Compact"/>
            </w:pPr>
            <w:r>
              <w:t xml:space="preserve">Intervalo de confianza del 95% por método delta para la razón IC50. Si excluye 1 respalda una diferencia antes de considerar el ajuste por comparaciones múltiples.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P_Value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P_Adjusted</w:t>
            </w:r>
          </w:p>
        </w:tc>
        <w:tc>
          <w:tcPr/>
          <w:p>
            <w:pPr>
              <w:pStyle w:val="Compact"/>
            </w:pPr>
            <w:r>
              <w:t xml:space="preserve">Prueba bilateral de Wald sobre la razón logarítmica de IC50 y su corrección de Holm entre pares. Debe usarse el valor ajustado para la conclusión pareada.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LowerIC50Strain</w:t>
            </w:r>
          </w:p>
        </w:tc>
        <w:tc>
          <w:tcPr/>
          <w:p>
            <w:pPr>
              <w:pStyle w:val="Compact"/>
            </w:pPr>
            <w:r>
              <w:t xml:space="preserve">Identifica qué integrante del par tiene el IC50 estimable menor; es la cepa descriptivamente más susceptible cuando los ajustes son comparables.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ConclusionCode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Interpretación</w:t>
            </w:r>
          </w:p>
        </w:tc>
        <w:tc>
          <w:tcPr/>
          <w:p>
            <w:pPr>
              <w:pStyle w:val="Compact"/>
            </w:pPr>
            <w:r>
              <w:t xml:space="preserve">Conclusión legible por máquina (</w:t>
            </w:r>
            <w:r>
              <w:rPr>
                <w:rStyle w:val="VerbatimChar"/>
              </w:rPr>
              <w:t xml:space="preserve">different</w:t>
            </w:r>
            <w:r>
              <w:t xml:space="preserve"> </w:t>
            </w:r>
            <w:r>
              <w:t xml:space="preserve">o</w:t>
            </w:r>
            <w:r>
              <w:t xml:space="preserve"> </w:t>
            </w:r>
            <w:r>
              <w:rPr>
                <w:rStyle w:val="VerbatimChar"/>
              </w:rPr>
              <w:t xml:space="preserve">not_significant</w:t>
            </w:r>
            <w:r>
              <w:t xml:space="preserve">) y su traducción en lenguaje directo en la app, basadas en el resultado ajustado por Holm.</w:t>
            </w:r>
          </w:p>
        </w:tc>
      </w:tr>
    </w:tbl>
    <w:bookmarkEnd w:id="116"/>
    <w:bookmarkEnd w:id="117"/>
    <w:bookmarkStart w:id="118" w:name="mapa-de-calor"/>
    <w:p>
      <w:pPr>
        <w:pStyle w:val="Heading3"/>
      </w:pPr>
      <w:r>
        <w:t xml:space="preserve">Mapa de calor</w:t>
      </w:r>
    </w:p>
    <w:p>
      <w:pPr>
        <w:pStyle w:val="Compact"/>
        <w:numPr>
          <w:ilvl w:val="0"/>
          <w:numId w:val="1029"/>
        </w:numPr>
      </w:pPr>
      <w:r>
        <w:t xml:space="preserve">Selección de subconjunto de parámetros.</w:t>
      </w:r>
    </w:p>
    <w:p>
      <w:pPr>
        <w:pStyle w:val="Compact"/>
        <w:numPr>
          <w:ilvl w:val="0"/>
          <w:numId w:val="1029"/>
        </w:numPr>
      </w:pPr>
      <w:r>
        <w:t xml:space="preserve">Escalado: ninguno, por fila o columna.</w:t>
      </w:r>
    </w:p>
    <w:p>
      <w:pPr>
        <w:pStyle w:val="Compact"/>
        <w:numPr>
          <w:ilvl w:val="0"/>
          <w:numId w:val="1029"/>
        </w:numPr>
      </w:pPr>
      <w:r>
        <w:t xml:space="preserve">Clustering/dendrogramas opcionales.</w:t>
      </w:r>
    </w:p>
    <w:p>
      <w:pPr>
        <w:pStyle w:val="Compact"/>
        <w:numPr>
          <w:ilvl w:val="0"/>
          <w:numId w:val="1029"/>
        </w:numPr>
      </w:pPr>
      <w:r>
        <w:t xml:space="preserve">Etiquetas de valor en celdas opcionales.</w:t>
      </w:r>
    </w:p>
    <w:bookmarkEnd w:id="118"/>
    <w:bookmarkStart w:id="119" w:name="matriz-de-correlación"/>
    <w:p>
      <w:pPr>
        <w:pStyle w:val="Heading3"/>
      </w:pPr>
      <w:r>
        <w:t xml:space="preserve">Matriz de correlación</w:t>
      </w:r>
    </w:p>
    <w:p>
      <w:pPr>
        <w:pStyle w:val="Compact"/>
        <w:numPr>
          <w:ilvl w:val="0"/>
          <w:numId w:val="1030"/>
        </w:numPr>
      </w:pPr>
      <w:r>
        <w:t xml:space="preserve">Selección múltiple de parámetros.</w:t>
      </w:r>
    </w:p>
    <w:p>
      <w:pPr>
        <w:pStyle w:val="Compact"/>
        <w:numPr>
          <w:ilvl w:val="0"/>
          <w:numId w:val="1030"/>
        </w:numPr>
      </w:pPr>
      <w:r>
        <w:t xml:space="preserve">Método de correlación + corrección de p-values.</w:t>
      </w:r>
    </w:p>
    <w:p>
      <w:pPr>
        <w:pStyle w:val="Compact"/>
        <w:numPr>
          <w:ilvl w:val="0"/>
          <w:numId w:val="1030"/>
        </w:numPr>
      </w:pPr>
      <w:r>
        <w:t xml:space="preserve">Opción de mostrar solo etiquetas significativas.</w:t>
      </w:r>
    </w:p>
    <w:bookmarkEnd w:id="119"/>
    <w:bookmarkStart w:id="120" w:name="curvas"/>
    <w:p>
      <w:pPr>
        <w:pStyle w:val="Heading3"/>
      </w:pPr>
      <w:r>
        <w:t xml:space="preserve">Curvas</w:t>
      </w:r>
    </w:p>
    <w:p>
      <w:pPr>
        <w:pStyle w:val="Compact"/>
        <w:numPr>
          <w:ilvl w:val="0"/>
          <w:numId w:val="1031"/>
        </w:numPr>
      </w:pPr>
      <w:r>
        <w:t xml:space="preserve">Configura ejes, etiquetas, grosor de línea y tamaño de puntos de curvas.</w:t>
      </w:r>
    </w:p>
    <w:p>
      <w:pPr>
        <w:pStyle w:val="Compact"/>
        <w:numPr>
          <w:ilvl w:val="0"/>
          <w:numId w:val="1031"/>
        </w:numPr>
      </w:pPr>
      <w:r>
        <w:t xml:space="preserve">Elige geometría de línea e intervalo de confianza.</w:t>
      </w:r>
    </w:p>
    <w:p>
      <w:pPr>
        <w:pStyle w:val="Compact"/>
        <w:numPr>
          <w:ilvl w:val="0"/>
          <w:numId w:val="1031"/>
        </w:numPr>
      </w:pPr>
      <w:r>
        <w:t xml:space="preserve">Opción de mostrar trayectorias crudas de réplicas.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Tamaño de puntos de curvas</w:t>
      </w:r>
      <w:r>
        <w:t xml:space="preserve"> </w:t>
      </w:r>
      <w:r>
        <w:t xml:space="preserve">controla los marcadores visibles cuando se selecciona la geometría de línea y puntos. Solo cambia el tamaño de los marcadores; no modifica los valores, la geometría de las líneas ni los resultados estadísticos.</w:t>
      </w:r>
    </w:p>
    <w:bookmarkEnd w:id="120"/>
    <w:bookmarkStart w:id="124" w:name="controles-compartidos-de-apariencia"/>
    <w:p>
      <w:pPr>
        <w:pStyle w:val="Heading3"/>
      </w:pPr>
      <w:r>
        <w:t xml:space="preserve">Controles compartidos de apariencia</w:t>
      </w:r>
    </w:p>
    <w:p>
      <w:pPr>
        <w:pStyle w:val="Compact"/>
        <w:numPr>
          <w:ilvl w:val="0"/>
          <w:numId w:val="1032"/>
        </w:numPr>
      </w:pPr>
      <w:r>
        <w:t xml:space="preserve">El selector</w:t>
      </w:r>
      <w:r>
        <w:t xml:space="preserve"> </w:t>
      </w:r>
      <w:r>
        <w:rPr>
          <w:b/>
          <w:bCs/>
        </w:rPr>
        <w:t xml:space="preserve">Estadístico de barras de error</w:t>
      </w:r>
      <w:r>
        <w:t xml:space="preserve"> </w:t>
      </w:r>
      <w:r>
        <w:t xml:space="preserve">controla las barras de desviación cuando están disponibles:</w:t>
      </w:r>
    </w:p>
    <w:p>
      <w:pPr>
        <w:pStyle w:val="Compact"/>
        <w:numPr>
          <w:ilvl w:val="1"/>
          <w:numId w:val="1033"/>
        </w:numPr>
      </w:pPr>
      <w:r>
        <w:rPr>
          <w:rStyle w:val="VerbatimChar"/>
        </w:rPr>
        <w:t xml:space="preserve">SD</w:t>
      </w:r>
      <w:r>
        <w:t xml:space="preserve">/</w:t>
      </w:r>
      <w:r>
        <w:rPr>
          <w:rStyle w:val="VerbatimChar"/>
        </w:rPr>
        <w:t xml:space="preserve">DE</w:t>
      </w:r>
      <w:r>
        <w:t xml:space="preserve">: media +/- desviación estándar.</w:t>
      </w:r>
    </w:p>
    <w:p>
      <w:pPr>
        <w:pStyle w:val="Compact"/>
        <w:numPr>
          <w:ilvl w:val="1"/>
          <w:numId w:val="1033"/>
        </w:numPr>
      </w:pPr>
      <w:r>
        <w:rPr>
          <w:rStyle w:val="VerbatimChar"/>
        </w:rPr>
        <w:t xml:space="preserve">SEM</w:t>
      </w:r>
      <w:r>
        <w:t xml:space="preserve">: media +/- error estándar.</w:t>
      </w:r>
    </w:p>
    <w:p>
      <w:pPr>
        <w:pStyle w:val="Compact"/>
        <w:numPr>
          <w:ilvl w:val="1"/>
          <w:numId w:val="1033"/>
        </w:numPr>
      </w:pPr>
      <w:r>
        <w:rPr>
          <w:rStyle w:val="VerbatimChar"/>
        </w:rPr>
        <w:t xml:space="preserve">Min-Max</w:t>
      </w:r>
      <w:r>
        <w:t xml:space="preserve">: mínimo observado a máximo observado; disponible solo en Caja.</w:t>
      </w:r>
    </w:p>
    <w:p>
      <w:pPr>
        <w:pStyle w:val="Compact"/>
        <w:numPr>
          <w:ilvl w:val="0"/>
          <w:numId w:val="1032"/>
        </w:numPr>
      </w:pPr>
      <w:r>
        <w:t xml:space="preserve">La sección desplegable</w:t>
      </w:r>
      <w:r>
        <w:t xml:space="preserve"> </w:t>
      </w:r>
      <w:r>
        <w:rPr>
          <w:b/>
          <w:bCs/>
        </w:rPr>
        <w:t xml:space="preserve">Estilo de texto</w:t>
      </w:r>
      <w:r>
        <w:t xml:space="preserve"> </w:t>
      </w:r>
      <w:r>
        <w:t xml:space="preserve">está disponible para gráficos individuales.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Familia tipográfica</w:t>
      </w:r>
      <w:r>
        <w:t xml:space="preserve"> </w:t>
      </w:r>
      <w:r>
        <w:t xml:space="preserve">se aplica a todo el texto del gráfico actual. Las opciones incluyen fuentes comunes de publicación y sistema como Helvetica, Arial, Calibri, Cambria, Segoe UI, Times New Roman, Georgia, Verdana y variantes relacionadas.</w:t>
      </w:r>
    </w:p>
    <w:p>
      <w:pPr>
        <w:pStyle w:val="Compact"/>
        <w:numPr>
          <w:ilvl w:val="0"/>
          <w:numId w:val="1032"/>
        </w:numPr>
      </w:pPr>
      <w:r>
        <w:t xml:space="preserve">Negrita, cursiva y subrayado se aplican de forma independiente por tipo de texto: título del gráfico, títulos de ejes, etiquetas de ticks de ejes, leyenda, etiquetas de datos y texto de significancia.</w:t>
      </w:r>
    </w:p>
    <w:p>
      <w:pPr>
        <w:pStyle w:val="Compact"/>
        <w:numPr>
          <w:ilvl w:val="0"/>
          <w:numId w:val="1032"/>
        </w:numPr>
      </w:pPr>
      <w:r>
        <w:t xml:space="preserve">El estilo de títulos de eje se aplica tanto al título del eje X como al del eje Y cuando esos títulos están visibles. El estilo de etiquetas de ticks se aplica a las etiquetas mostradas en los ejes, sean números o categorías.</w:t>
      </w:r>
    </w:p>
    <w:p>
      <w:pPr>
        <w:pStyle w:val="Compact"/>
        <w:numPr>
          <w:ilvl w:val="0"/>
          <w:numId w:val="1032"/>
        </w:numPr>
      </w:pPr>
      <w:r>
        <w:t xml:space="preserve">Los controles de leyenda incluyen si se muestra a la derecha cuando corresponde, además del tamaño y estilo del texto de la leyenda (normal, negrita, cursiva y/o subrayado).</w:t>
      </w:r>
    </w:p>
    <w:p>
      <w:pPr>
        <w:pStyle w:val="Compact"/>
        <w:numPr>
          <w:ilvl w:val="0"/>
          <w:numId w:val="1032"/>
        </w:numPr>
      </w:pPr>
      <w:r>
        <w:t xml:space="preserve">Cada tipo de texto puede tener su propia combinación de estilos; subrayar significancia, por ejemplo, no obliga a subrayar el título ni la leyenda.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Voltear orientación (horizontal)</w:t>
      </w:r>
      <w:r>
        <w:t xml:space="preserve">, cuando está disponible, solo cambia la orientación visual. Conserva los mismos valores graficados, leyendas, familia tipográfica, ajustes de negrita/cursiva/subrayado, barras de error y anotaciones de significancia.</w:t>
      </w:r>
    </w:p>
    <w:p>
      <w:pPr>
        <w:pStyle w:val="Compact"/>
        <w:numPr>
          <w:ilvl w:val="0"/>
          <w:numId w:val="1032"/>
        </w:numPr>
      </w:pPr>
      <w:r>
        <w:t xml:space="preserve">Estos ajustes se aplican a la previsualización y se incluyen al exportar</w:t>
      </w:r>
      <w:r>
        <w:t xml:space="preserve"> </w:t>
      </w:r>
      <w:r>
        <w:rPr>
          <w:rStyle w:val="VerbatimChar"/>
        </w:rPr>
        <w:t xml:space="preserve">PNG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PDF</w:t>
      </w:r>
      <w:r>
        <w:t xml:space="preserve">.</w:t>
      </w:r>
    </w:p>
    <w:p>
      <w:pPr>
        <w:pStyle w:val="FirstParagraph"/>
      </w:pPr>
      <w:r>
        <w:drawing>
          <wp:inline>
            <wp:extent cx="3185962" cy="5014762"/>
            <wp:effectExtent b="0" l="0" r="0" t="0"/>
            <wp:docPr descr="Controles de estilo de texto" title="" id="122" name="Picture"/>
            <a:graphic>
              <a:graphicData uri="http://schemas.openxmlformats.org/drawingml/2006/picture">
                <pic:pic>
                  <pic:nvPicPr>
                    <pic:cNvPr descr="manual_images/11_text_styling_controls.png" id="123" name="Picture"/>
                    <pic:cNvPicPr>
                      <a:picLocks noChangeArrowheads="1"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5962" cy="50147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24"/>
    <w:bookmarkStart w:id="129" w:name="panel-de-composición"/>
    <w:p>
      <w:pPr>
        <w:pStyle w:val="Heading3"/>
      </w:pPr>
      <w:r>
        <w:t xml:space="preserve">Panel de Composición</w:t>
      </w:r>
    </w:p>
    <w:p>
      <w:pPr>
        <w:pStyle w:val="FirstParagraph"/>
      </w:pPr>
      <w:r>
        <w:t xml:space="preserve">Flujo recomendado:</w:t>
      </w:r>
    </w:p>
    <w:p>
      <w:pPr>
        <w:pStyle w:val="Compact"/>
        <w:numPr>
          <w:ilvl w:val="0"/>
          <w:numId w:val="1034"/>
        </w:numPr>
      </w:pPr>
      <w:r>
        <w:t xml:space="preserve">Crear y editar cada gráfico de origen y luego usar</w:t>
      </w:r>
      <w:r>
        <w:t xml:space="preserve"> </w:t>
      </w:r>
      <w:r>
        <w:rPr>
          <w:b/>
          <w:bCs/>
        </w:rPr>
        <w:t xml:space="preserve">Añadir al panel</w:t>
      </w:r>
      <w:r>
        <w:t xml:space="preserve">.</w:t>
      </w:r>
    </w:p>
    <w:p>
      <w:pPr>
        <w:pStyle w:val="Compact"/>
        <w:numPr>
          <w:ilvl w:val="0"/>
          <w:numId w:val="1034"/>
        </w:numPr>
      </w:pPr>
      <w:r>
        <w:t xml:space="preserve">Abrir</w:t>
      </w:r>
      <w:r>
        <w:t xml:space="preserve"> </w:t>
      </w:r>
      <w:r>
        <w:rPr>
          <w:b/>
          <w:bCs/>
        </w:rPr>
        <w:t xml:space="preserve">Panel de Composición</w:t>
      </w:r>
      <w:r>
        <w:t xml:space="preserve"> </w:t>
      </w:r>
      <w:r>
        <w:t xml:space="preserve">y usar el selector para incluir, excluir y ordenar gráficos. Deseleccionar un gráfico lo quita de la composición activa sin borrar el gráfico de origen.</w:t>
      </w:r>
    </w:p>
    <w:p>
      <w:pPr>
        <w:pStyle w:val="Compact"/>
        <w:numPr>
          <w:ilvl w:val="0"/>
          <w:numId w:val="1034"/>
        </w:numPr>
      </w:pPr>
      <w:r>
        <w:t xml:space="preserve">Definir filas y columnas. Para distribuciones no rectangulares o celdas repetidas, ingresar la malla; los anchos de columna y altos de fila controlan el tamaño y la posición relativos.</w:t>
      </w:r>
    </w:p>
    <w:p>
      <w:pPr>
        <w:pStyle w:val="Compact"/>
        <w:numPr>
          <w:ilvl w:val="0"/>
          <w:numId w:val="1034"/>
        </w:numPr>
      </w:pPr>
      <w:r>
        <w:t xml:space="preserve">Definir ancho y alto de la composición en píxeles. Estos valores determinan el lienzo de previsualización y su proporción; son independientes de los DPI de exportación y del tamaño de diapositiva de PowerPoint.</w:t>
      </w:r>
    </w:p>
    <w:p>
      <w:pPr>
        <w:pStyle w:val="Compact"/>
        <w:numPr>
          <w:ilvl w:val="0"/>
          <w:numId w:val="1034"/>
        </w:numPr>
      </w:pPr>
      <w:r>
        <w:t xml:space="preserve">Configurar estilo, leyendas compartidas, tipografía, paleta, texto enriquecido y ajustes opcionales por gráfico.</w:t>
      </w:r>
      <w:r>
        <w:t xml:space="preserve"> </w:t>
      </w:r>
      <w:r>
        <w:rPr>
          <w:b/>
          <w:bCs/>
        </w:rPr>
        <w:t xml:space="preserve">Aplicar la tipografía de la composición a todos los gráficos</w:t>
      </w:r>
      <w:r>
        <w:t xml:space="preserve"> </w:t>
      </w:r>
      <w:r>
        <w:t xml:space="preserve">modifica tamaños de etiquetas de ticks, ángulos y alineación X/Y, familia tipográfica y estilos de texto en todos los gráficos incluidos sin cambiar la geometría de los datos.</w:t>
      </w:r>
    </w:p>
    <w:p>
      <w:pPr>
        <w:pStyle w:val="Compact"/>
        <w:numPr>
          <w:ilvl w:val="0"/>
          <w:numId w:val="1034"/>
        </w:numPr>
      </w:pPr>
      <w:r>
        <w:t xml:space="preserve">Configurar el formato de diapositiva (</w:t>
      </w:r>
      <w:r>
        <w:rPr>
          <w:rStyle w:val="VerbatimChar"/>
        </w:rPr>
        <w:t xml:space="preserve">4:3</w:t>
      </w:r>
      <w:r>
        <w:t xml:space="preserve">,</w:t>
      </w:r>
      <w:r>
        <w:t xml:space="preserve"> </w:t>
      </w:r>
      <w:r>
        <w:rPr>
          <w:rStyle w:val="VerbatimChar"/>
        </w:rPr>
        <w:t xml:space="preserve">16:9</w:t>
      </w:r>
      <w:r>
        <w:t xml:space="preserve"> </w:t>
      </w:r>
      <w:r>
        <w:t xml:space="preserve">o personalizado), ancho, alto, orientación y margen de borde.</w:t>
      </w:r>
    </w:p>
    <w:p>
      <w:pPr>
        <w:pStyle w:val="Compact"/>
        <w:numPr>
          <w:ilvl w:val="0"/>
          <w:numId w:val="1034"/>
        </w:numPr>
      </w:pPr>
      <w:r>
        <w:t xml:space="preserve">Revisar la previsualización y exportar</w:t>
      </w:r>
      <w:r>
        <w:t xml:space="preserve"> </w:t>
      </w:r>
      <w:r>
        <w:rPr>
          <w:rStyle w:val="VerbatimChar"/>
        </w:rPr>
        <w:t xml:space="preserve">PNG</w:t>
      </w:r>
      <w:r>
        <w:t xml:space="preserve">,</w:t>
      </w:r>
      <w:r>
        <w:t xml:space="preserve"> </w:t>
      </w:r>
      <w:r>
        <w:rPr>
          <w:rStyle w:val="VerbatimChar"/>
        </w:rPr>
        <w:t xml:space="preserve">PPTX</w:t>
      </w:r>
      <w:r>
        <w:t xml:space="preserve">,</w:t>
      </w:r>
      <w:r>
        <w:t xml:space="preserve"> </w:t>
      </w:r>
      <w:r>
        <w:rPr>
          <w:rStyle w:val="VerbatimChar"/>
        </w:rPr>
        <w:t xml:space="preserve">PDF</w:t>
      </w:r>
      <w:r>
        <w:t xml:space="preserve"> </w:t>
      </w:r>
      <w:r>
        <w:t xml:space="preserve">o el metadata de composición.</w:t>
      </w:r>
    </w:p>
    <w:bookmarkStart w:id="128" w:name="dpi-y-dimensiones-físicas"/>
    <w:p>
      <w:pPr>
        <w:pStyle w:val="Heading4"/>
      </w:pPr>
      <w:r>
        <w:t xml:space="preserve">DPI y dimensiones físicas</w:t>
      </w:r>
    </w:p>
    <w:p>
      <w:pPr>
        <w:pStyle w:val="Compact"/>
        <w:numPr>
          <w:ilvl w:val="0"/>
          <w:numId w:val="1035"/>
        </w:numPr>
      </w:pPr>
      <w:r>
        <w:t xml:space="preserve">La resolución de exportación predeterminada es</w:t>
      </w:r>
      <w:r>
        <w:t xml:space="preserve"> </w:t>
      </w:r>
      <w:r>
        <w:rPr>
          <w:b/>
          <w:bCs/>
        </w:rPr>
        <w:t xml:space="preserve">300 DPI</w:t>
      </w:r>
      <w:r>
        <w:t xml:space="preserve">. El rango compatible es</w:t>
      </w:r>
      <w:r>
        <w:t xml:space="preserve"> </w:t>
      </w:r>
      <w:r>
        <w:rPr>
          <w:b/>
          <w:bCs/>
        </w:rPr>
        <w:t xml:space="preserve">72 a 600 DPI</w:t>
      </w:r>
      <w:r>
        <w:t xml:space="preserve"> </w:t>
      </w:r>
      <w:r>
        <w:t xml:space="preserve">y el valor sigue siendo editable.</w:t>
      </w:r>
    </w:p>
    <w:p>
      <w:pPr>
        <w:pStyle w:val="Compact"/>
        <w:numPr>
          <w:ilvl w:val="0"/>
          <w:numId w:val="1035"/>
        </w:numPr>
      </w:pPr>
      <w:r>
        <w:t xml:space="preserve">Los DPI se aplican a salidas raster, incluyendo</w:t>
      </w:r>
      <w:r>
        <w:t xml:space="preserve"> </w:t>
      </w:r>
      <w:r>
        <w:rPr>
          <w:rStyle w:val="VerbatimChar"/>
        </w:rPr>
        <w:t xml:space="preserve">PNG</w:t>
      </w:r>
      <w:r>
        <w:t xml:space="preserve">, imagen raster copiada al portapapeles y el respaldo raster que se usa solo cuando no está disponible la representación vectorial editable de PowerPoint.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PDF</w:t>
      </w:r>
      <w:r>
        <w:t xml:space="preserve"> </w:t>
      </w:r>
      <w:r>
        <w:t xml:space="preserve">y la ruta normal editable de</w:t>
      </w:r>
      <w:r>
        <w:t xml:space="preserve"> </w:t>
      </w:r>
      <w:r>
        <w:rPr>
          <w:rStyle w:val="VerbatimChar"/>
        </w:rPr>
        <w:t xml:space="preserve">PPTX</w:t>
      </w:r>
      <w:r>
        <w:t xml:space="preserve"> </w:t>
      </w:r>
      <w:r>
        <w:t xml:space="preserve">son vectoriales, por lo que los DPI no modifican sus elementos vectoriales. El DPI seleccionado igualmente se guarda en el metadata para reproducibilidad y para cualquier respaldo raster.</w:t>
      </w:r>
    </w:p>
    <w:p>
      <w:pPr>
        <w:pStyle w:val="Compact"/>
        <w:numPr>
          <w:ilvl w:val="0"/>
          <w:numId w:val="1035"/>
        </w:numPr>
      </w:pPr>
      <w:r>
        <w:t xml:space="preserve">La previsualización del navegador utiliza densidad de píxeles de pantalla/CSS. Cambiar los DPI de exportación no redimensiona ni reposiciona la previsualización.</w:t>
      </w:r>
    </w:p>
    <w:p>
      <w:pPr>
        <w:pStyle w:val="Compact"/>
        <w:numPr>
          <w:ilvl w:val="0"/>
          <w:numId w:val="1035"/>
        </w:numPr>
      </w:pPr>
      <w:r>
        <w:t xml:space="preserve">Aumentar los DPI incrementa la cantidad de píxeles, el tiempo de renderizado, el uso de memoria y el tamaño del archivo. No cambia el ancho/alto de la composición, las proporciones, las posiciones del layout ni las dimensiones de la diapositiva.</w:t>
      </w:r>
    </w:p>
    <w:p>
      <w:pPr>
        <w:pStyle w:val="Compact"/>
        <w:numPr>
          <w:ilvl w:val="0"/>
          <w:numId w:val="1035"/>
        </w:numPr>
      </w:pPr>
      <w:r>
        <w:t xml:space="preserve">El ancho/alto de composición controlan el lienzo lógico. El ancho/alto de PowerPoint controlan la diapositiva física. Los DPI controlan la calidad de muestreo raster. Son ajustes independientes.</w:t>
      </w:r>
    </w:p>
    <w:p>
      <w:pPr>
        <w:pStyle w:val="Compact"/>
        <w:numPr>
          <w:ilvl w:val="0"/>
          <w:numId w:val="1035"/>
        </w:numPr>
      </w:pPr>
      <w:r>
        <w:t xml:space="preserve">El metadata guarda el DPI efectivo y lo restaura al cargarlo. El metadata antiguo sin campo DPI usa 300 DPI. Valores ausentes, no numéricos, cero, negativos o fuera de rango vuelven de forma segura a 300 DPI; los demás campos válidos igualmente se restauran.</w:t>
      </w:r>
    </w:p>
    <w:p>
      <w:pPr>
        <w:pStyle w:val="FirstParagraph"/>
      </w:pPr>
      <w:r>
        <w:t xml:space="preserve">Los controles de estilo de la composición se aplican en paralelo a todos los gráficos seleccionados. La sección</w:t>
      </w:r>
      <w:r>
        <w:t xml:space="preserve"> </w:t>
      </w:r>
      <w:r>
        <w:rPr>
          <w:b/>
          <w:bCs/>
        </w:rPr>
        <w:t xml:space="preserve">Estilo de texto</w:t>
      </w:r>
      <w:r>
        <w:t xml:space="preserve"> </w:t>
      </w:r>
      <w:r>
        <w:t xml:space="preserve">de composición replica los controles de gráficos individuales: la familia tipográfica se aplica a todo el texto de todos los gráficos, mientras que negrita/cursiva/subrayado se seleccionan por separado para títulos, ejes, leyendas, etiquetas de datos y texto de significancia. El metadata de composición también conserva layout, dimensiones, ajustes de diapositiva, DPI, tipografía, configuración de leyendas, paleta, texto enriquecido y ajustes por gráfico.</w:t>
      </w:r>
    </w:p>
    <w:p>
      <w:pPr>
        <w:pStyle w:val="BodyText"/>
      </w:pPr>
      <w:r>
        <w:t xml:space="preserve">La exportación a PowerPoint siempre crea una diapositiva y ajusta proporcionalmente el layout de la previsualización dentro de los márgenes seleccionados. Si la diapositiva es demasiado pequeña, BIOSZEN reduce proporcionalmente la composición y avisa al usuario en lugar de superponer o cortar gráficos. Los layouts muy densos, etiquetas largas, fuentes grandes y diapositivas verticales pequeñas pueden requerir una diapositiva mayor, menos gráficos, etiquetas más breves o márgenes más amplios. La tipografía puede diferir levemente entre la previsualización y PowerPoint porque el navegador y PowerPoint usan métricas distintas; BIOSZEN aplica un margen proporcional de seguridad al reducir el layout.</w:t>
      </w:r>
    </w:p>
    <w:p>
      <w:pPr>
        <w:pStyle w:val="BodyText"/>
      </w:pPr>
      <w:r>
        <w:drawing>
          <wp:inline>
            <wp:extent cx="5334000" cy="2115879"/>
            <wp:effectExtent b="0" l="0" r="0" t="0"/>
            <wp:docPr descr="Configuración de significancia y anotaciones" title="" id="126" name="Picture"/>
            <a:graphic>
              <a:graphicData uri="http://schemas.openxmlformats.org/drawingml/2006/picture">
                <pic:pic>
                  <pic:nvPicPr>
                    <pic:cNvPr descr="manual_images/10_significance_annotations.png" id="127" name="Picture"/>
                    <pic:cNvPicPr>
                      <a:picLocks noChangeArrowheads="1"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158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28"/>
    <w:bookmarkEnd w:id="129"/>
    <w:bookmarkEnd w:id="130"/>
    <w:bookmarkStart w:id="131" w:name="X784a3f1f5904a93f9634a04c4f667f10394c63c"/>
    <w:p>
      <w:pPr>
        <w:pStyle w:val="Heading2"/>
      </w:pPr>
      <w:r>
        <w:t xml:space="preserve">7. Normalización</w:t>
      </w:r>
    </w:p>
    <w:p>
      <w:pPr>
        <w:pStyle w:val="FirstParagraph"/>
      </w:pPr>
      <w:r>
        <w:t xml:space="preserve">Activa</w:t>
      </w:r>
      <w:r>
        <w:t xml:space="preserve"> </w:t>
      </w:r>
      <w:r>
        <w:rPr>
          <w:b/>
          <w:bCs/>
        </w:rPr>
        <w:t xml:space="preserve">Normalizar por control</w:t>
      </w:r>
      <w:r>
        <w:t xml:space="preserve"> </w:t>
      </w:r>
      <w:r>
        <w:t xml:space="preserve">y selecciona un medio control.</w:t>
      </w:r>
    </w:p>
    <w:p>
      <w:pPr>
        <w:pStyle w:val="Compact"/>
        <w:numPr>
          <w:ilvl w:val="0"/>
          <w:numId w:val="1036"/>
        </w:numPr>
      </w:pPr>
      <w:r>
        <w:t xml:space="preserve">BIOSZEN crea columnas con sufijo</w:t>
      </w:r>
      <w:r>
        <w:t xml:space="preserve"> </w:t>
      </w:r>
      <w:r>
        <w:rPr>
          <w:rStyle w:val="VerbatimChar"/>
        </w:rPr>
        <w:t xml:space="preserve">_Norm</w:t>
      </w:r>
      <w:r>
        <w:t xml:space="preserve">.</w:t>
      </w:r>
    </w:p>
    <w:p>
      <w:pPr>
        <w:pStyle w:val="Compact"/>
        <w:numPr>
          <w:ilvl w:val="0"/>
          <w:numId w:val="1036"/>
        </w:numPr>
      </w:pPr>
      <w:r>
        <w:t xml:space="preserve">Correlación permite normalizar por eje (</w:t>
      </w:r>
      <w:r>
        <w:rPr>
          <w:rStyle w:val="VerbatimChar"/>
        </w:rPr>
        <w:t xml:space="preserve">ambos</w:t>
      </w:r>
      <w:r>
        <w:t xml:space="preserve">,</w:t>
      </w:r>
      <w:r>
        <w:t xml:space="preserve"> </w:t>
      </w:r>
      <w:r>
        <w:rPr>
          <w:rStyle w:val="VerbatimChar"/>
        </w:rPr>
        <w:t xml:space="preserve">solo X</w:t>
      </w:r>
      <w:r>
        <w:t xml:space="preserve">,</w:t>
      </w:r>
      <w:r>
        <w:t xml:space="preserve"> </w:t>
      </w:r>
      <w:r>
        <w:rPr>
          <w:rStyle w:val="VerbatimChar"/>
        </w:rPr>
        <w:t xml:space="preserve">solo Y</w:t>
      </w:r>
      <w:r>
        <w:t xml:space="preserve">).</w:t>
      </w:r>
    </w:p>
    <w:p>
      <w:pPr>
        <w:pStyle w:val="Compact"/>
        <w:numPr>
          <w:ilvl w:val="0"/>
          <w:numId w:val="1036"/>
        </w:numPr>
      </w:pPr>
      <w:r>
        <w:t xml:space="preserve">Si no hay emparejamiento estricto, se aplica lógica de respaldo.</w:t>
      </w:r>
    </w:p>
    <w:bookmarkEnd w:id="131"/>
    <w:bookmarkStart w:id="133" w:name="X08b670b6b7f9a75f2188e36fdc7de5816db16f1"/>
    <w:p>
      <w:pPr>
        <w:pStyle w:val="Heading2"/>
      </w:pPr>
      <w:r>
        <w:t xml:space="preserve">8. Estadística</w:t>
      </w:r>
    </w:p>
    <w:bookmarkStart w:id="132" w:name="herramientas-estadísticas-principales"/>
    <w:p>
      <w:pPr>
        <w:pStyle w:val="Heading3"/>
      </w:pPr>
      <w:r>
        <w:t xml:space="preserve">Herramientas estadísticas principales</w:t>
      </w:r>
    </w:p>
    <w:p>
      <w:pPr>
        <w:pStyle w:val="Compact"/>
        <w:numPr>
          <w:ilvl w:val="0"/>
          <w:numId w:val="1037"/>
        </w:numPr>
      </w:pPr>
      <w:r>
        <w:t xml:space="preserve">Shapiro-Wilk:</w:t>
      </w:r>
      <w:r>
        <w:t xml:space="preserve"> </w:t>
      </w:r>
      <w:r>
        <w:rPr>
          <w:rStyle w:val="VerbatimChar"/>
        </w:rPr>
        <w:t xml:space="preserve">stats::shapiro.test</w:t>
      </w:r>
    </w:p>
    <w:p>
      <w:pPr>
        <w:pStyle w:val="Compact"/>
        <w:numPr>
          <w:ilvl w:val="0"/>
          <w:numId w:val="1037"/>
        </w:numPr>
      </w:pPr>
      <w:r>
        <w:t xml:space="preserve">Kolmogorov-Smirnov:</w:t>
      </w:r>
      <w:r>
        <w:t xml:space="preserve"> </w:t>
      </w:r>
      <w:r>
        <w:rPr>
          <w:rStyle w:val="VerbatimChar"/>
        </w:rPr>
        <w:t xml:space="preserve">stats::ks.test</w:t>
      </w:r>
    </w:p>
    <w:p>
      <w:pPr>
        <w:pStyle w:val="Compact"/>
        <w:numPr>
          <w:ilvl w:val="0"/>
          <w:numId w:val="1037"/>
        </w:numPr>
      </w:pPr>
      <w:r>
        <w:t xml:space="preserve">Anderson-Darling:</w:t>
      </w:r>
      <w:r>
        <w:t xml:space="preserve"> </w:t>
      </w:r>
      <w:r>
        <w:rPr>
          <w:rStyle w:val="VerbatimChar"/>
        </w:rPr>
        <w:t xml:space="preserve">nortest::ad.test</w:t>
      </w:r>
    </w:p>
    <w:p>
      <w:pPr>
        <w:pStyle w:val="Compact"/>
        <w:numPr>
          <w:ilvl w:val="0"/>
          <w:numId w:val="1037"/>
        </w:numPr>
      </w:pPr>
      <w:r>
        <w:t xml:space="preserve">ANOVA:</w:t>
      </w:r>
      <w:r>
        <w:t xml:space="preserve"> </w:t>
      </w:r>
      <w:r>
        <w:rPr>
          <w:rStyle w:val="VerbatimChar"/>
        </w:rPr>
        <w:t xml:space="preserve">stats::aov</w:t>
      </w:r>
    </w:p>
    <w:p>
      <w:pPr>
        <w:pStyle w:val="Compact"/>
        <w:numPr>
          <w:ilvl w:val="0"/>
          <w:numId w:val="1037"/>
        </w:numPr>
      </w:pPr>
      <w:r>
        <w:t xml:space="preserve">Kruskal-Wallis:</w:t>
      </w:r>
      <w:r>
        <w:t xml:space="preserve"> </w:t>
      </w:r>
      <w:r>
        <w:rPr>
          <w:rStyle w:val="VerbatimChar"/>
        </w:rPr>
        <w:t xml:space="preserve">stats::kruskal.test</w:t>
      </w:r>
    </w:p>
    <w:p>
      <w:pPr>
        <w:pStyle w:val="Compact"/>
        <w:numPr>
          <w:ilvl w:val="0"/>
          <w:numId w:val="1037"/>
        </w:numPr>
      </w:pPr>
      <w:r>
        <w:t xml:space="preserve">Rutas t-test:</w:t>
      </w:r>
      <w:r>
        <w:t xml:space="preserve"> </w:t>
      </w:r>
      <w:r>
        <w:rPr>
          <w:rStyle w:val="VerbatimChar"/>
        </w:rPr>
        <w:t xml:space="preserve">rstatix::t_test</w:t>
      </w:r>
      <w:r>
        <w:t xml:space="preserve">,</w:t>
      </w:r>
      <w:r>
        <w:t xml:space="preserve"> </w:t>
      </w:r>
      <w:r>
        <w:rPr>
          <w:rStyle w:val="VerbatimChar"/>
        </w:rPr>
        <w:t xml:space="preserve">rstatix::pairwise_t_test</w:t>
      </w:r>
    </w:p>
    <w:p>
      <w:pPr>
        <w:pStyle w:val="Compact"/>
        <w:numPr>
          <w:ilvl w:val="0"/>
          <w:numId w:val="1037"/>
        </w:numPr>
      </w:pPr>
      <w:r>
        <w:t xml:space="preserve">Rutas Wilcoxon:</w:t>
      </w:r>
      <w:r>
        <w:t xml:space="preserve"> </w:t>
      </w:r>
      <w:r>
        <w:rPr>
          <w:rStyle w:val="VerbatimChar"/>
        </w:rPr>
        <w:t xml:space="preserve">rstatix::wilcox_test</w:t>
      </w:r>
    </w:p>
    <w:p>
      <w:pPr>
        <w:pStyle w:val="Compact"/>
        <w:numPr>
          <w:ilvl w:val="0"/>
          <w:numId w:val="1037"/>
        </w:numPr>
      </w:pPr>
      <w:r>
        <w:t xml:space="preserve">Corrección múltiple:</w:t>
      </w:r>
      <w:r>
        <w:t xml:space="preserve"> </w:t>
      </w:r>
      <w:r>
        <w:rPr>
          <w:rStyle w:val="VerbatimChar"/>
        </w:rPr>
        <w:t xml:space="preserve">stats::p.adjust</w:t>
      </w:r>
    </w:p>
    <w:p>
      <w:pPr>
        <w:pStyle w:val="FirstParagraph"/>
      </w:pPr>
      <w:r>
        <w:t xml:space="preserve">Rutas post hoc por selección:</w:t>
      </w:r>
    </w:p>
    <w:p>
      <w:pPr>
        <w:pStyle w:val="Compact"/>
        <w:numPr>
          <w:ilvl w:val="0"/>
          <w:numId w:val="1038"/>
        </w:numPr>
      </w:pPr>
      <w:r>
        <w:t xml:space="preserve">Tukey / Games-Howell:</w:t>
      </w:r>
      <w:r>
        <w:t xml:space="preserve"> </w:t>
      </w:r>
      <w:r>
        <w:rPr>
          <w:rStyle w:val="VerbatimChar"/>
        </w:rPr>
        <w:t xml:space="preserve">rstatix</w:t>
      </w:r>
    </w:p>
    <w:p>
      <w:pPr>
        <w:pStyle w:val="Compact"/>
        <w:numPr>
          <w:ilvl w:val="0"/>
          <w:numId w:val="1038"/>
        </w:numPr>
      </w:pPr>
      <w:r>
        <w:t xml:space="preserve">Dunn:</w:t>
      </w:r>
      <w:r>
        <w:t xml:space="preserve"> </w:t>
      </w:r>
      <w:r>
        <w:rPr>
          <w:rStyle w:val="VerbatimChar"/>
        </w:rPr>
        <w:t xml:space="preserve">rstatix::dunn_test</w:t>
      </w:r>
    </w:p>
    <w:p>
      <w:pPr>
        <w:pStyle w:val="Compact"/>
        <w:numPr>
          <w:ilvl w:val="0"/>
          <w:numId w:val="1038"/>
        </w:numPr>
      </w:pPr>
      <w:r>
        <w:t xml:space="preserve">Dunnett:</w:t>
      </w:r>
      <w:r>
        <w:t xml:space="preserve"> </w:t>
      </w:r>
      <w:r>
        <w:rPr>
          <w:rStyle w:val="VerbatimChar"/>
        </w:rPr>
        <w:t xml:space="preserve">DescTools::DunnettTest</w:t>
      </w:r>
    </w:p>
    <w:p>
      <w:pPr>
        <w:pStyle w:val="Compact"/>
        <w:numPr>
          <w:ilvl w:val="0"/>
          <w:numId w:val="1038"/>
        </w:numPr>
      </w:pPr>
      <w:r>
        <w:t xml:space="preserve">Scheffe, Conover, Nemenyi, DSCF:</w:t>
      </w:r>
      <w:r>
        <w:t xml:space="preserve"> </w:t>
      </w:r>
      <w:r>
        <w:rPr>
          <w:rStyle w:val="VerbatimChar"/>
        </w:rPr>
        <w:t xml:space="preserve">PMCMRplus</w:t>
      </w:r>
    </w:p>
    <w:p>
      <w:pPr>
        <w:pStyle w:val="FirstParagraph"/>
      </w:pPr>
      <w:r>
        <w:t xml:space="preserve">Estadística de curvas (</w:t>
      </w:r>
      <w:r>
        <w:rPr>
          <w:rStyle w:val="VerbatimChar"/>
        </w:rPr>
        <w:t xml:space="preserve">S1</w:t>
      </w:r>
      <w:r>
        <w:t xml:space="preserve">-</w:t>
      </w:r>
      <w:r>
        <w:rPr>
          <w:rStyle w:val="VerbatimChar"/>
        </w:rPr>
        <w:t xml:space="preserve">S4</w:t>
      </w:r>
      <w:r>
        <w:t xml:space="preserve">):</w:t>
      </w:r>
    </w:p>
    <w:p>
      <w:pPr>
        <w:pStyle w:val="BodyText"/>
      </w:pPr>
      <w:r>
        <w:t xml:space="preserve">El acordeón</w:t>
      </w:r>
      <w:r>
        <w:t xml:space="preserve"> </w:t>
      </w:r>
      <w:r>
        <w:rPr>
          <w:b/>
          <w:bCs/>
        </w:rPr>
        <w:t xml:space="preserve">Estadística de curvas</w:t>
      </w:r>
      <w:r>
        <w:t xml:space="preserve"> </w:t>
      </w:r>
      <w:r>
        <w:t xml:space="preserve">aparece para gráficos de Curvas. Selecciona uno o más métodos y luego usa</w:t>
      </w:r>
      <w:r>
        <w:t xml:space="preserve"> </w:t>
      </w:r>
      <w:r>
        <w:rPr>
          <w:b/>
          <w:bCs/>
        </w:rPr>
        <w:t xml:space="preserve">Ejecutar estadística de curvas</w:t>
      </w:r>
      <w:r>
        <w:t xml:space="preserve"> </w:t>
      </w:r>
      <w:r>
        <w:t xml:space="preserve">para generar la tabla de resultados.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S1</w:t>
      </w:r>
      <w:r>
        <w:t xml:space="preserve">:</w:t>
      </w:r>
      <w:r>
        <w:t xml:space="preserve"> </w:t>
      </w:r>
      <w:r>
        <w:rPr>
          <w:rStyle w:val="VerbatimChar"/>
        </w:rPr>
        <w:t xml:space="preserve">stats::lm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splines::ns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stats::anova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S2</w:t>
      </w:r>
      <w:r>
        <w:t xml:space="preserve">:</w:t>
      </w:r>
      <w:r>
        <w:t xml:space="preserve"> </w:t>
      </w:r>
      <w:r>
        <w:rPr>
          <w:rStyle w:val="VerbatimChar"/>
        </w:rPr>
        <w:t xml:space="preserve">stats::pnorm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stats::pchisq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S3</w:t>
      </w:r>
      <w:r>
        <w:t xml:space="preserve">:</w:t>
      </w:r>
      <w:r>
        <w:t xml:space="preserve"> </w:t>
      </w:r>
      <w:r>
        <w:rPr>
          <w:rStyle w:val="VerbatimChar"/>
        </w:rPr>
        <w:t xml:space="preserve">stats::pnorm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S4</w:t>
      </w:r>
      <w:r>
        <w:t xml:space="preserve">:</w:t>
      </w:r>
      <w:r>
        <w:t xml:space="preserve"> </w:t>
      </w:r>
      <w:r>
        <w:rPr>
          <w:rStyle w:val="VerbatimChar"/>
        </w:rPr>
        <w:t xml:space="preserve">gcplyr::auc</w:t>
      </w:r>
      <w:r>
        <w:t xml:space="preserve"> </w:t>
      </w:r>
      <w:r>
        <w:t xml:space="preserve">+ comparaciones guiadas por normalidad (</w:t>
      </w:r>
      <w:r>
        <w:rPr>
          <w:rStyle w:val="VerbatimChar"/>
        </w:rPr>
        <w:t xml:space="preserve">stats::t.test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stats::wilcox.test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stats::aov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stats::kruskal.test</w:t>
      </w:r>
      <w:r>
        <w:t xml:space="preserve">)</w:t>
      </w:r>
    </w:p>
    <w:p>
      <w:pPr>
        <w:pStyle w:val="FirstParagraph"/>
      </w:pPr>
      <w:r>
        <w:t xml:space="preserve">Modos de comparación:</w:t>
      </w:r>
    </w:p>
    <w:p>
      <w:pPr>
        <w:pStyle w:val="Compact"/>
        <w:numPr>
          <w:ilvl w:val="0"/>
          <w:numId w:val="1040"/>
        </w:numPr>
      </w:pPr>
      <w:r>
        <w:t xml:space="preserve">Todos contra todos</w:t>
      </w:r>
    </w:p>
    <w:p>
      <w:pPr>
        <w:pStyle w:val="Compact"/>
        <w:numPr>
          <w:ilvl w:val="0"/>
          <w:numId w:val="1040"/>
        </w:numPr>
      </w:pPr>
      <w:r>
        <w:t xml:space="preserve">Control contra todos</w:t>
      </w:r>
    </w:p>
    <w:p>
      <w:pPr>
        <w:pStyle w:val="Compact"/>
        <w:numPr>
          <w:ilvl w:val="0"/>
          <w:numId w:val="1040"/>
        </w:numPr>
      </w:pPr>
      <w:r>
        <w:t xml:space="preserve">Par</w:t>
      </w:r>
    </w:p>
    <w:p>
      <w:pPr>
        <w:pStyle w:val="FirstParagraph"/>
      </w:pPr>
      <w:r>
        <w:t xml:space="preserve">Opciones de corrección p-value:</w:t>
      </w:r>
    </w:p>
    <w:p>
      <w:pPr>
        <w:pStyle w:val="Compact"/>
        <w:numPr>
          <w:ilvl w:val="0"/>
          <w:numId w:val="1041"/>
        </w:numPr>
      </w:pPr>
      <w:r>
        <w:t xml:space="preserve">Holm</w:t>
      </w:r>
    </w:p>
    <w:p>
      <w:pPr>
        <w:pStyle w:val="Compact"/>
        <w:numPr>
          <w:ilvl w:val="0"/>
          <w:numId w:val="1041"/>
        </w:numPr>
      </w:pPr>
      <w:r>
        <w:t xml:space="preserve">FDR</w:t>
      </w:r>
    </w:p>
    <w:p>
      <w:pPr>
        <w:pStyle w:val="Compact"/>
        <w:numPr>
          <w:ilvl w:val="0"/>
          <w:numId w:val="1041"/>
        </w:numPr>
      </w:pPr>
      <w:r>
        <w:t xml:space="preserve">Bonferroni</w:t>
      </w:r>
    </w:p>
    <w:p>
      <w:pPr>
        <w:pStyle w:val="Compact"/>
        <w:numPr>
          <w:ilvl w:val="0"/>
          <w:numId w:val="1041"/>
        </w:numPr>
      </w:pPr>
      <w:r>
        <w:t xml:space="preserve">Ninguna</w:t>
      </w:r>
    </w:p>
    <w:p>
      <w:pPr>
        <w:pStyle w:val="FirstParagraph"/>
      </w:pPr>
      <w:r>
        <w:t xml:space="preserve">Para gráficos</w:t>
      </w:r>
      <w:r>
        <w:t xml:space="preserve"> </w:t>
      </w:r>
      <w:r>
        <w:rPr>
          <w:b/>
          <w:bCs/>
        </w:rPr>
        <w:t xml:space="preserve">Apilados</w:t>
      </w:r>
      <w:r>
        <w:t xml:space="preserve">, la normalidad y la significancia se calculan por separado para cada parámetro incluido. La tabla de salida incluye</w:t>
      </w:r>
      <w:r>
        <w:t xml:space="preserve"> </w:t>
      </w:r>
      <w:r>
        <w:rPr>
          <w:rStyle w:val="VerbatimChar"/>
        </w:rPr>
        <w:t xml:space="preserve">Parameter</w:t>
      </w:r>
      <w:r>
        <w:t xml:space="preserve">, y cada comparación por parámetro debe coincidir con la misma comparación ejecutada desde el gráfico de ese parámetro individual.</w:t>
      </w:r>
    </w:p>
    <w:p>
      <w:pPr>
        <w:pStyle w:val="BlockText"/>
      </w:pPr>
      <w:r>
        <w:rPr>
          <w:b/>
          <w:bCs/>
        </w:rPr>
        <w:t xml:space="preserve">CAUTION:</w:t>
      </w:r>
      <w:r>
        <w:t xml:space="preserve"> </w:t>
      </w:r>
      <w:r>
        <w:t xml:space="preserve">En modo Resumen, la normalidad puede ser</w:t>
      </w:r>
      <w:r>
        <w:t xml:space="preserve"> </w:t>
      </w:r>
      <w:r>
        <w:rPr>
          <w:rStyle w:val="VerbatimChar"/>
        </w:rPr>
        <w:t xml:space="preserve">NA</w:t>
      </w:r>
      <w:r>
        <w:t xml:space="preserve"> </w:t>
      </w:r>
      <w:r>
        <w:t xml:space="preserve">y algunas rutas no paramétricas que requieren datos crudos se desactivan.</w:t>
      </w:r>
    </w:p>
    <w:bookmarkEnd w:id="132"/>
    <w:bookmarkEnd w:id="133"/>
    <w:bookmarkStart w:id="134" w:name="Xfd951e1857e16be0fbfbc51e6054c4da8871e10"/>
    <w:p>
      <w:pPr>
        <w:pStyle w:val="Heading2"/>
      </w:pPr>
      <w:r>
        <w:t xml:space="preserve">9. Anotaciones de Significancia</w:t>
      </w:r>
    </w:p>
    <w:p>
      <w:pPr>
        <w:pStyle w:val="FirstParagraph"/>
      </w:pPr>
      <w:r>
        <w:t xml:space="preserve">Flujo manual:</w:t>
      </w:r>
    </w:p>
    <w:p>
      <w:pPr>
        <w:pStyle w:val="Compact"/>
        <w:numPr>
          <w:ilvl w:val="0"/>
          <w:numId w:val="1042"/>
        </w:numPr>
      </w:pPr>
      <w:r>
        <w:t xml:space="preserve">Selecciona Grupo 1 y Grupo 2.</w:t>
      </w:r>
    </w:p>
    <w:p>
      <w:pPr>
        <w:pStyle w:val="Compact"/>
        <w:numPr>
          <w:ilvl w:val="0"/>
          <w:numId w:val="1042"/>
        </w:numPr>
      </w:pPr>
      <w:r>
        <w:t xml:space="preserve">Ingresa etiqueta (</w:t>
      </w:r>
      <w:r>
        <w:rPr>
          <w:rStyle w:val="VerbatimChar"/>
        </w:rPr>
        <w:t xml:space="preserve">*</w:t>
      </w:r>
      <w:r>
        <w:t xml:space="preserve">,</w:t>
      </w:r>
      <w:r>
        <w:t xml:space="preserve"> </w:t>
      </w:r>
      <w:r>
        <w:rPr>
          <w:rStyle w:val="VerbatimChar"/>
        </w:rPr>
        <w:t xml:space="preserve">**</w:t>
      </w:r>
      <w:r>
        <w:t xml:space="preserve">,</w:t>
      </w:r>
      <w:r>
        <w:t xml:space="preserve"> </w:t>
      </w:r>
      <w:r>
        <w:rPr>
          <w:rStyle w:val="VerbatimChar"/>
        </w:rPr>
        <w:t xml:space="preserve">***</w:t>
      </w:r>
      <w:r>
        <w:t xml:space="preserve">,</w:t>
      </w:r>
      <w:r>
        <w:t xml:space="preserve"> </w:t>
      </w:r>
      <w:r>
        <w:rPr>
          <w:rStyle w:val="VerbatimChar"/>
        </w:rPr>
        <w:t xml:space="preserve">ns</w:t>
      </w:r>
      <w:r>
        <w:t xml:space="preserve">, texto libre).</w:t>
      </w:r>
    </w:p>
    <w:p>
      <w:pPr>
        <w:pStyle w:val="Compact"/>
        <w:numPr>
          <w:ilvl w:val="0"/>
          <w:numId w:val="1042"/>
        </w:numPr>
      </w:pPr>
      <w:r>
        <w:t xml:space="preserve">Agrega/reordena/edita/elimina anotaciones.</w:t>
      </w:r>
    </w:p>
    <w:p>
      <w:pPr>
        <w:pStyle w:val="FirstParagraph"/>
      </w:pPr>
      <w:r>
        <w:t xml:space="preserve">Flujo automático:</w:t>
      </w:r>
    </w:p>
    <w:p>
      <w:pPr>
        <w:pStyle w:val="Compact"/>
        <w:numPr>
          <w:ilvl w:val="0"/>
          <w:numId w:val="1043"/>
        </w:numPr>
      </w:pPr>
      <w:r>
        <w:t xml:space="preserve">Ejecuta pruebas de significancia.</w:t>
      </w:r>
    </w:p>
    <w:p>
      <w:pPr>
        <w:pStyle w:val="Compact"/>
        <w:numPr>
          <w:ilvl w:val="0"/>
          <w:numId w:val="1043"/>
        </w:numPr>
      </w:pPr>
      <w:r>
        <w:t xml:space="preserve">Abre opciones de auto-anotación.</w:t>
      </w:r>
    </w:p>
    <w:p>
      <w:pPr>
        <w:pStyle w:val="Compact"/>
        <w:numPr>
          <w:ilvl w:val="0"/>
          <w:numId w:val="1043"/>
        </w:numPr>
      </w:pPr>
      <w:r>
        <w:t xml:space="preserve">Define inclusión (</w:t>
      </w:r>
      <w:r>
        <w:rPr>
          <w:rStyle w:val="VerbatimChar"/>
        </w:rPr>
        <w:t xml:space="preserve">solo significativos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todos</w:t>
      </w:r>
      <w:r>
        <w:t xml:space="preserve">).</w:t>
      </w:r>
    </w:p>
    <w:p>
      <w:pPr>
        <w:pStyle w:val="Compact"/>
        <w:numPr>
          <w:ilvl w:val="0"/>
          <w:numId w:val="1043"/>
        </w:numPr>
      </w:pPr>
      <w:r>
        <w:t xml:space="preserve">Elige formato (</w:t>
      </w:r>
      <w:r>
        <w:rPr>
          <w:rStyle w:val="VerbatimChar"/>
        </w:rPr>
        <w:t xml:space="preserve">estrellas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p-value</w:t>
      </w:r>
      <w:r>
        <w:t xml:space="preserve">).</w:t>
      </w:r>
    </w:p>
    <w:p>
      <w:pPr>
        <w:pStyle w:val="Compact"/>
        <w:numPr>
          <w:ilvl w:val="0"/>
          <w:numId w:val="1043"/>
        </w:numPr>
      </w:pPr>
      <w:r>
        <w:t xml:space="preserve">Reemplaza o agrega anotaciones.</w:t>
      </w:r>
    </w:p>
    <w:p>
      <w:pPr>
        <w:pStyle w:val="FirstParagraph"/>
      </w:pPr>
      <w:r>
        <w:t xml:space="preserve">Para gráficos</w:t>
      </w:r>
      <w:r>
        <w:t xml:space="preserve"> </w:t>
      </w:r>
      <w:r>
        <w:rPr>
          <w:b/>
          <w:bCs/>
        </w:rPr>
        <w:t xml:space="preserve">Apilados</w:t>
      </w:r>
      <w:r>
        <w:t xml:space="preserve">, elige el parámetro antes de agregar una etiqueta. Las etiquetas automáticas conservan la identidad del parámetro y se ubican sobre el grupo objetivo seleccionado para ese parámetro.</w:t>
      </w:r>
    </w:p>
    <w:bookmarkEnd w:id="134"/>
    <w:bookmarkStart w:id="140" w:name="Xc2b86501cc804adc80e56831b8510edbedb0cab"/>
    <w:p>
      <w:pPr>
        <w:pStyle w:val="Heading2"/>
      </w:pPr>
      <w:r>
        <w:t xml:space="preserve">10. Control de Calidad y Réplicas</w:t>
      </w:r>
    </w:p>
    <w:p>
      <w:pPr>
        <w:pStyle w:val="FirstParagraph"/>
      </w:pPr>
      <w:r>
        <w:t xml:space="preserve">Paneles QC para revisar:</w:t>
      </w:r>
    </w:p>
    <w:p>
      <w:pPr>
        <w:pStyle w:val="Compact"/>
        <w:numPr>
          <w:ilvl w:val="0"/>
          <w:numId w:val="1044"/>
        </w:numPr>
      </w:pPr>
      <w:r>
        <w:t xml:space="preserve">Valores faltantes.</w:t>
      </w:r>
    </w:p>
    <w:p>
      <w:pPr>
        <w:pStyle w:val="Compact"/>
        <w:numPr>
          <w:ilvl w:val="0"/>
          <w:numId w:val="1044"/>
        </w:numPr>
      </w:pPr>
      <w:r>
        <w:t xml:space="preserve">Outliers por grupo.</w:t>
      </w:r>
    </w:p>
    <w:p>
      <w:pPr>
        <w:pStyle w:val="Compact"/>
        <w:numPr>
          <w:ilvl w:val="0"/>
          <w:numId w:val="1044"/>
        </w:numPr>
      </w:pPr>
      <w:r>
        <w:t xml:space="preserve">Tamaño muestral y cobertura de réplicas.</w:t>
      </w:r>
    </w:p>
    <w:bookmarkStart w:id="135" w:name="réplicas-biológicas"/>
    <w:p>
      <w:pPr>
        <w:pStyle w:val="Heading3"/>
      </w:pPr>
      <w:r>
        <w:t xml:space="preserve">Réplicas biológicas</w:t>
      </w:r>
    </w:p>
    <w:p>
      <w:pPr>
        <w:pStyle w:val="Compact"/>
        <w:numPr>
          <w:ilvl w:val="0"/>
          <w:numId w:val="1045"/>
        </w:numPr>
      </w:pPr>
      <w:r>
        <w:t xml:space="preserve">Inclusión/exclusión manual.</w:t>
      </w:r>
    </w:p>
    <w:p>
      <w:pPr>
        <w:pStyle w:val="Compact"/>
        <w:numPr>
          <w:ilvl w:val="0"/>
          <w:numId w:val="1045"/>
        </w:numPr>
      </w:pPr>
      <w:r>
        <w:t xml:space="preserve">Filtrado automático por IQR.</w:t>
      </w:r>
    </w:p>
    <w:p>
      <w:pPr>
        <w:pStyle w:val="Compact"/>
        <w:numPr>
          <w:ilvl w:val="0"/>
          <w:numId w:val="1045"/>
        </w:numPr>
      </w:pPr>
      <w:r>
        <w:t xml:space="preserve">Selección Keep-N por reproducibilidad.</w:t>
      </w:r>
    </w:p>
    <w:p>
      <w:pPr>
        <w:pStyle w:val="FirstParagraph"/>
      </w:pPr>
      <w:r>
        <w:t xml:space="preserve">Comportamiento Keep-N:</w:t>
      </w:r>
    </w:p>
    <w:p>
      <w:pPr>
        <w:pStyle w:val="Compact"/>
        <w:numPr>
          <w:ilvl w:val="0"/>
          <w:numId w:val="1046"/>
        </w:numPr>
      </w:pPr>
      <w:r>
        <w:t xml:space="preserve">Ordena réplicas por distancia a la mediana del grupo entre parámetros.</w:t>
      </w:r>
    </w:p>
    <w:p>
      <w:pPr>
        <w:pStyle w:val="Compact"/>
        <w:numPr>
          <w:ilvl w:val="0"/>
          <w:numId w:val="1046"/>
        </w:numPr>
      </w:pPr>
      <w:r>
        <w:t xml:space="preserve">Conserva las de menor puntaje (más reproducibles).</w:t>
      </w:r>
    </w:p>
    <w:bookmarkEnd w:id="135"/>
    <w:bookmarkStart w:id="139" w:name="réplicas-técnicas"/>
    <w:p>
      <w:pPr>
        <w:pStyle w:val="Heading3"/>
      </w:pPr>
      <w:r>
        <w:t xml:space="preserve">Réplicas técnicas</w:t>
      </w:r>
    </w:p>
    <w:p>
      <w:pPr>
        <w:pStyle w:val="FirstParagraph"/>
      </w:pPr>
      <w:r>
        <w:t xml:space="preserve">Disponible cuando hay estructura técnica válida:</w:t>
      </w:r>
    </w:p>
    <w:p>
      <w:pPr>
        <w:pStyle w:val="Compact"/>
        <w:numPr>
          <w:ilvl w:val="0"/>
          <w:numId w:val="1047"/>
        </w:numPr>
      </w:pPr>
      <w:r>
        <w:t xml:space="preserve">Pestaña dedicada de QC técnico.</w:t>
      </w:r>
    </w:p>
    <w:p>
      <w:pPr>
        <w:pStyle w:val="Compact"/>
        <w:numPr>
          <w:ilvl w:val="0"/>
          <w:numId w:val="1047"/>
        </w:numPr>
      </w:pPr>
      <w:r>
        <w:t xml:space="preserve">Selectores por grupo y réplica biológica.</w:t>
      </w:r>
    </w:p>
    <w:p>
      <w:pPr>
        <w:pStyle w:val="Compact"/>
        <w:numPr>
          <w:ilvl w:val="0"/>
          <w:numId w:val="1047"/>
        </w:numPr>
      </w:pPr>
      <w:r>
        <w:t xml:space="preserve">Botones globales seleccionar/deseleccionar.</w:t>
      </w:r>
    </w:p>
    <w:p>
      <w:pPr>
        <w:pStyle w:val="Compact"/>
        <w:numPr>
          <w:ilvl w:val="0"/>
          <w:numId w:val="1047"/>
        </w:numPr>
      </w:pPr>
      <w:r>
        <w:t xml:space="preserve">Detección automática de outliers técnicos por IQR.</w:t>
      </w:r>
    </w:p>
    <w:p>
      <w:pPr>
        <w:pStyle w:val="Compact"/>
        <w:numPr>
          <w:ilvl w:val="0"/>
          <w:numId w:val="1047"/>
        </w:numPr>
      </w:pPr>
      <w:r>
        <w:t xml:space="preserve">Keep-N técnico por subgrupo.</w:t>
      </w:r>
    </w:p>
    <w:p>
      <w:pPr>
        <w:pStyle w:val="FirstParagraph"/>
      </w:pPr>
      <w:r>
        <w:drawing>
          <wp:inline>
            <wp:extent cx="5334000" cy="2228174"/>
            <wp:effectExtent b="0" l="0" r="0" t="0"/>
            <wp:docPr descr="Filtrado de réplicas biológicas" title="" id="137" name="Picture"/>
            <a:graphic>
              <a:graphicData uri="http://schemas.openxmlformats.org/drawingml/2006/picture">
                <pic:pic>
                  <pic:nvPicPr>
                    <pic:cNvPr descr="manual_images/04_filter_biological_replicates.png" id="138" name="Picture"/>
                    <pic:cNvPicPr>
                      <a:picLocks noChangeArrowheads="1" noChangeAspect="1"/>
                    </pic:cNvPicPr>
                  </pic:nvPicPr>
                  <pic:blipFill>
                    <a:blip r:embed="rId1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281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39"/>
    <w:bookmarkEnd w:id="140"/>
    <w:bookmarkStart w:id="141" w:name="Xfea01682663a764101ef30ec6c870560247e7f1"/>
    <w:p>
      <w:pPr>
        <w:pStyle w:val="Heading2"/>
      </w:pPr>
      <w:r>
        <w:t xml:space="preserve">11. Metadatos y Reproducibilidad</w:t>
      </w:r>
    </w:p>
    <w:p>
      <w:pPr>
        <w:pStyle w:val="FirstParagraph"/>
      </w:pPr>
      <w:r>
        <w:t xml:space="preserve">Flujo de metadatos: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Descargar metadatos</w:t>
      </w:r>
      <w:r>
        <w:t xml:space="preserve"> </w:t>
      </w:r>
      <w:r>
        <w:t xml:space="preserve">para guardar estado actual.</w:t>
      </w:r>
    </w:p>
    <w:p>
      <w:pPr>
        <w:pStyle w:val="Compact"/>
        <w:numPr>
          <w:ilvl w:val="0"/>
          <w:numId w:val="1048"/>
        </w:numPr>
      </w:pPr>
      <w:r>
        <w:t xml:space="preserve">Reimportar metadatos en sesiones futuras.</w:t>
      </w:r>
    </w:p>
    <w:p>
      <w:pPr>
        <w:pStyle w:val="Compact"/>
        <w:numPr>
          <w:ilvl w:val="0"/>
          <w:numId w:val="1048"/>
        </w:numPr>
      </w:pPr>
      <w:r>
        <w:t xml:space="preserve">El estado de orientación horizontal se conserva en roundtrip.</w:t>
      </w:r>
    </w:p>
    <w:p>
      <w:pPr>
        <w:pStyle w:val="Compact"/>
        <w:numPr>
          <w:ilvl w:val="0"/>
          <w:numId w:val="1048"/>
        </w:numPr>
      </w:pPr>
      <w:r>
        <w:t xml:space="preserve">Las opciones tipográficas se conservan en el roundtrip de metadatos, incluyendo familia de letra, tamaños y estado normal/negrita/cursiva/subrayado para título del gráfico, títulos de eje X/Y, etiquetas de ticks de ejes, texto de leyenda, etiquetas de datos y texto de significancia.</w:t>
      </w:r>
    </w:p>
    <w:p>
      <w:pPr>
        <w:pStyle w:val="Compact"/>
        <w:numPr>
          <w:ilvl w:val="0"/>
          <w:numId w:val="1048"/>
        </w:numPr>
      </w:pPr>
      <w:r>
        <w:t xml:space="preserve">La visibilidad/posición de la leyenda, incluyendo la selección de leyenda a la derecha cuando corresponde, se guarda en metadatos y se aplica nuevamente al cargarlos.</w:t>
      </w:r>
    </w:p>
    <w:p>
      <w:pPr>
        <w:pStyle w:val="Compact"/>
        <w:numPr>
          <w:ilvl w:val="0"/>
          <w:numId w:val="1048"/>
        </w:numPr>
      </w:pPr>
      <w:r>
        <w:t xml:space="preserve">El tamaño de puntos de curvas se guarda en los metadatos de diseño de curvas y se restaura al cargarlos. Los metadatos de diseño no restauran el orden de grupos/muestras, el ámbito ni la selección de cepa.</w:t>
      </w:r>
    </w:p>
    <w:p>
      <w:pPr>
        <w:pStyle w:val="Compact"/>
        <w:numPr>
          <w:ilvl w:val="0"/>
          <w:numId w:val="1048"/>
        </w:numPr>
      </w:pPr>
      <w:r>
        <w:t xml:space="preserve">El estadístico de barras de error y la selección de métodos de estadística de curvas se conservan en el roundtrip de metadatos.</w:t>
      </w:r>
    </w:p>
    <w:p>
      <w:pPr>
        <w:pStyle w:val="Compact"/>
        <w:numPr>
          <w:ilvl w:val="0"/>
          <w:numId w:val="1048"/>
        </w:numPr>
      </w:pPr>
      <w:r>
        <w:t xml:space="preserve">La serie y cepas de dosis-respuesta, la asignación corregida de concentraciones, los límites e intervalos de ejes, los títulos de ejes, los tamaños de línea y puntos, el contorno de puntos y la opacidad de la banda de confianza se conservan en los metadatos de dosis-respuesta y en las versiones guardadas del gráfico.</w:t>
      </w:r>
    </w:p>
    <w:p>
      <w:pPr>
        <w:pStyle w:val="FirstParagraph"/>
      </w:pPr>
      <w:r>
        <w:t xml:space="preserve">Bundle reproducible:</w:t>
      </w:r>
    </w:p>
    <w:p>
      <w:pPr>
        <w:pStyle w:val="Compact"/>
        <w:numPr>
          <w:ilvl w:val="0"/>
          <w:numId w:val="1049"/>
        </w:numPr>
      </w:pPr>
      <w:r>
        <w:t xml:space="preserve">Guardar versiones de gráficos en sesión.</w:t>
      </w:r>
    </w:p>
    <w:p>
      <w:pPr>
        <w:pStyle w:val="Compact"/>
        <w:numPr>
          <w:ilvl w:val="0"/>
          <w:numId w:val="1049"/>
        </w:numPr>
      </w:pPr>
      <w:r>
        <w:t xml:space="preserve">Exportar ZIP con gráficos + metadatos.</w:t>
      </w:r>
    </w:p>
    <w:p>
      <w:pPr>
        <w:pStyle w:val="Compact"/>
        <w:numPr>
          <w:ilvl w:val="0"/>
          <w:numId w:val="1049"/>
        </w:numPr>
      </w:pPr>
      <w:r>
        <w:t xml:space="preserve">Reabrir análisis con configuración consistente.</w:t>
      </w:r>
    </w:p>
    <w:p>
      <w:pPr>
        <w:pStyle w:val="FirstParagraph"/>
      </w:pPr>
      <w:r>
        <w:t xml:space="preserve">Cobertura de regresión incluye:</w:t>
      </w:r>
    </w:p>
    <w:p>
      <w:pPr>
        <w:pStyle w:val="Compact"/>
        <w:numPr>
          <w:ilvl w:val="0"/>
          <w:numId w:val="1050"/>
        </w:numPr>
      </w:pPr>
      <w:r>
        <w:t xml:space="preserve">Orientación horizontal solo en Caja/Barras/Violín/Apilado.</w:t>
      </w:r>
    </w:p>
    <w:p>
      <w:pPr>
        <w:pStyle w:val="Compact"/>
        <w:numPr>
          <w:ilvl w:val="0"/>
          <w:numId w:val="1050"/>
        </w:numPr>
      </w:pPr>
      <w:r>
        <w:t xml:space="preserve">Persistencia de metadatos roundtrip.</w:t>
      </w:r>
    </w:p>
    <w:p>
      <w:pPr>
        <w:pStyle w:val="Compact"/>
        <w:numPr>
          <w:ilvl w:val="0"/>
          <w:numId w:val="1050"/>
        </w:numPr>
      </w:pPr>
      <w:r>
        <w:t xml:space="preserve">Verificación de orientación en constructores finales.</w:t>
      </w:r>
    </w:p>
    <w:bookmarkEnd w:id="141"/>
    <w:bookmarkStart w:id="142" w:name="X218df2ee725d0504d93acc386923c3d90ed9ec6"/>
    <w:p>
      <w:pPr>
        <w:pStyle w:val="Heading2"/>
      </w:pPr>
      <w:r>
        <w:t xml:space="preserve">12. Descargas</w:t>
      </w:r>
    </w:p>
    <w:p>
      <w:pPr>
        <w:pStyle w:val="FirstParagraph"/>
      </w:pPr>
      <w:r>
        <w:t xml:space="preserve">Salidas principales:</w:t>
      </w:r>
    </w:p>
    <w:p>
      <w:pPr>
        <w:pStyle w:val="Compact"/>
        <w:numPr>
          <w:ilvl w:val="0"/>
          <w:numId w:val="1051"/>
        </w:numPr>
      </w:pPr>
      <w:r>
        <w:t xml:space="preserve">Imagen de gráfico (</w:t>
      </w:r>
      <w:r>
        <w:rPr>
          <w:rStyle w:val="VerbatimChar"/>
        </w:rPr>
        <w:t xml:space="preserve">PNG</w:t>
      </w:r>
      <w:r>
        <w:t xml:space="preserve">,</w:t>
      </w:r>
      <w:r>
        <w:t xml:space="preserve"> </w:t>
      </w:r>
      <w:r>
        <w:rPr>
          <w:rStyle w:val="VerbatimChar"/>
        </w:rPr>
        <w:t xml:space="preserve">PDF</w:t>
      </w:r>
      <w:r>
        <w:t xml:space="preserve">, según gráfico).</w:t>
      </w:r>
    </w:p>
    <w:p>
      <w:pPr>
        <w:pStyle w:val="Compact"/>
        <w:numPr>
          <w:ilvl w:val="0"/>
          <w:numId w:val="1051"/>
        </w:numPr>
      </w:pPr>
      <w:r>
        <w:t xml:space="preserve">Exportación de datos.</w:t>
      </w:r>
    </w:p>
    <w:p>
      <w:pPr>
        <w:pStyle w:val="Compact"/>
        <w:numPr>
          <w:ilvl w:val="0"/>
          <w:numId w:val="1051"/>
        </w:numPr>
      </w:pPr>
      <w:r>
        <w:t xml:space="preserve">Exportación de metadatos.</w:t>
      </w:r>
    </w:p>
    <w:p>
      <w:pPr>
        <w:pStyle w:val="Compact"/>
        <w:numPr>
          <w:ilvl w:val="0"/>
          <w:numId w:val="1051"/>
        </w:numPr>
      </w:pPr>
      <w:r>
        <w:t xml:space="preserve">Exportación de estadística.</w:t>
      </w:r>
    </w:p>
    <w:p>
      <w:pPr>
        <w:pStyle w:val="Compact"/>
        <w:numPr>
          <w:ilvl w:val="0"/>
          <w:numId w:val="1051"/>
        </w:numPr>
      </w:pPr>
      <w:r>
        <w:t xml:space="preserve">Bundle ZIP.</w:t>
      </w:r>
    </w:p>
    <w:p>
      <w:pPr>
        <w:pStyle w:val="Compact"/>
        <w:numPr>
          <w:ilvl w:val="0"/>
          <w:numId w:val="1051"/>
        </w:numPr>
      </w:pPr>
      <w:r>
        <w:t xml:space="preserve">Tabla de correlación avanzada.</w:t>
      </w:r>
    </w:p>
    <w:p>
      <w:pPr>
        <w:pStyle w:val="Compact"/>
        <w:numPr>
          <w:ilvl w:val="0"/>
          <w:numId w:val="1051"/>
        </w:numPr>
      </w:pPr>
      <w:r>
        <w:t xml:space="preserve">Exportación de merge platemap/curvas (si se usó merge).</w:t>
      </w:r>
    </w:p>
    <w:p>
      <w:pPr>
        <w:pStyle w:val="FirstParagraph"/>
      </w:pPr>
      <w:r>
        <w:t xml:space="preserve">Las exportaciones de gráficos conservan la configuración visual activa, incluyendo familia tipográfica, estilos por tipo de texto (negrita/cursiva/subrayado), estadístico de barras de error seleccionado, etiquetas de significancia y ajustes de ejes/leyenda. Las exportaciones de composición conservan los mismos controles tipográficos en todos los gráficos del layout.</w:t>
      </w:r>
    </w:p>
    <w:p>
      <w:pPr>
        <w:pStyle w:val="BodyText"/>
      </w:pPr>
      <w:r>
        <w:t xml:space="preserve">Las exportaciones raster usan</w:t>
      </w:r>
      <w:r>
        <w:t xml:space="preserve"> </w:t>
      </w:r>
      <w:r>
        <w:rPr>
          <w:b/>
          <w:bCs/>
        </w:rPr>
        <w:t xml:space="preserve">300 DPI de forma predeterminada</w:t>
      </w:r>
      <w:r>
        <w:t xml:space="preserve"> </w:t>
      </w:r>
      <w:r>
        <w:t xml:space="preserve">y aceptan valores compatibles elegidos por el usuario entre 72 y 600 DPI. El DPI efectivo seleccionado se incluye en el metadata y en las versiones del bundle. Los elementos vectoriales PDF/PPTX no usan DPI; el ancho, alto y tamaño de diapositiva se configuran por separado.</w:t>
      </w:r>
    </w:p>
    <w:bookmarkEnd w:id="142"/>
    <w:bookmarkStart w:id="146" w:name="X08302a07caa98f2a5467429728a16104e228911"/>
    <w:p>
      <w:pPr>
        <w:pStyle w:val="Heading2"/>
      </w:pPr>
      <w:r>
        <w:t xml:space="preserve">13. Módulo de Crecimiento</w:t>
      </w:r>
    </w:p>
    <w:p>
      <w:pPr>
        <w:pStyle w:val="FirstParagraph"/>
      </w:pPr>
      <w:r>
        <w:t xml:space="preserve">Soporte de archivos en pestaña crecimiento:</w:t>
      </w:r>
    </w:p>
    <w:p>
      <w:pPr>
        <w:pStyle w:val="Compact"/>
        <w:numPr>
          <w:ilvl w:val="0"/>
          <w:numId w:val="1052"/>
        </w:numPr>
      </w:pPr>
      <w:r>
        <w:t xml:space="preserve">Tipo aceptado:</w:t>
      </w:r>
      <w:r>
        <w:t xml:space="preserve"> </w:t>
      </w:r>
      <w:r>
        <w:rPr>
          <w:rStyle w:val="VerbatimChar"/>
        </w:rPr>
        <w:t xml:space="preserve">Excel</w:t>
      </w:r>
      <w:r>
        <w:t xml:space="preserve"> </w:t>
      </w:r>
      <w:r>
        <w:t xml:space="preserve">(</w:t>
      </w:r>
      <w:r>
        <w:rPr>
          <w:rStyle w:val="VerbatimChar"/>
        </w:rPr>
        <w:t xml:space="preserve">.xlsx</w:t>
      </w:r>
      <w:r>
        <w:t xml:space="preserve">).</w:t>
      </w:r>
    </w:p>
    <w:p>
      <w:pPr>
        <w:pStyle w:val="Compact"/>
        <w:numPr>
          <w:ilvl w:val="0"/>
          <w:numId w:val="1052"/>
        </w:numPr>
      </w:pPr>
      <w:r>
        <w:t xml:space="preserve">Estructuras auto-detectadas:</w:t>
      </w:r>
    </w:p>
    <w:p>
      <w:pPr>
        <w:pStyle w:val="Compact"/>
        <w:numPr>
          <w:ilvl w:val="1"/>
          <w:numId w:val="1053"/>
        </w:numPr>
      </w:pPr>
      <w:r>
        <w:t xml:space="preserve">Layout crudo tipo lector/Tecan (normalmente datos desde filas posteriores en</w:t>
      </w:r>
      <w:r>
        <w:t xml:space="preserve"> </w:t>
      </w:r>
      <w:r>
        <w:rPr>
          <w:rStyle w:val="VerbatimChar"/>
        </w:rPr>
        <w:t xml:space="preserve">Sheet1</w:t>
      </w:r>
      <w:r>
        <w:t xml:space="preserve">).</w:t>
      </w:r>
    </w:p>
    <w:p>
      <w:pPr>
        <w:pStyle w:val="Compact"/>
        <w:numPr>
          <w:ilvl w:val="1"/>
          <w:numId w:val="1053"/>
        </w:numPr>
      </w:pPr>
      <w:r>
        <w:t xml:space="preserve">Tabla procesada desde</w:t>
      </w:r>
      <w:r>
        <w:t xml:space="preserve"> </w:t>
      </w:r>
      <w:r>
        <w:rPr>
          <w:rStyle w:val="VerbatimChar"/>
        </w:rPr>
        <w:t xml:space="preserve">A1</w:t>
      </w:r>
      <w:r>
        <w:t xml:space="preserve"> </w:t>
      </w:r>
      <w:r>
        <w:t xml:space="preserve">(primera columna tiempo, siguientes columnas curvas/wells).</w:t>
      </w:r>
    </w:p>
    <w:p>
      <w:pPr>
        <w:pStyle w:val="FirstParagraph"/>
      </w:pPr>
      <w:r>
        <w:t xml:space="preserve">Parámetros extraídos:</w:t>
      </w:r>
    </w:p>
    <w:p>
      <w:pPr>
        <w:pStyle w:val="Compact"/>
        <w:numPr>
          <w:ilvl w:val="0"/>
          <w:numId w:val="1054"/>
        </w:numPr>
      </w:pPr>
      <w:r>
        <w:rPr>
          <w:rStyle w:val="VerbatimChar"/>
        </w:rPr>
        <w:t xml:space="preserve">uMax</w:t>
      </w:r>
      <w:r>
        <w:t xml:space="preserve">: pendiente máxima en fase exponencial.</w:t>
      </w:r>
    </w:p>
    <w:p>
      <w:pPr>
        <w:pStyle w:val="Compact"/>
        <w:numPr>
          <w:ilvl w:val="0"/>
          <w:numId w:val="1054"/>
        </w:numPr>
      </w:pPr>
      <w:r>
        <w:rPr>
          <w:rStyle w:val="VerbatimChar"/>
        </w:rPr>
        <w:t xml:space="preserve">max_percap_time</w:t>
      </w:r>
      <w:r>
        <w:t xml:space="preserve">: ventana temporal de máximo crecimiento per-cápita.</w:t>
      </w:r>
    </w:p>
    <w:p>
      <w:pPr>
        <w:pStyle w:val="Compact"/>
        <w:numPr>
          <w:ilvl w:val="0"/>
          <w:numId w:val="1054"/>
        </w:numPr>
      </w:pPr>
      <w:r>
        <w:rPr>
          <w:rStyle w:val="VerbatimChar"/>
        </w:rPr>
        <w:t xml:space="preserve">doub_time</w:t>
      </w:r>
      <w:r>
        <w:t xml:space="preserve">: tiempo de duplicación (</w:t>
      </w:r>
      <w:r>
        <w:rPr>
          <w:rStyle w:val="VerbatimChar"/>
        </w:rPr>
        <w:t xml:space="preserve">ln(2) / uMax</w:t>
      </w:r>
      <w:r>
        <w:t xml:space="preserve">).</w:t>
      </w:r>
    </w:p>
    <w:p>
      <w:pPr>
        <w:pStyle w:val="Compact"/>
        <w:numPr>
          <w:ilvl w:val="0"/>
          <w:numId w:val="1054"/>
        </w:numPr>
      </w:pPr>
      <w:r>
        <w:rPr>
          <w:rStyle w:val="VerbatimChar"/>
        </w:rPr>
        <w:t xml:space="preserve">lag_time</w:t>
      </w:r>
      <w:r>
        <w:t xml:space="preserve">: transición previa al crecimiento exponencial.</w:t>
      </w:r>
    </w:p>
    <w:p>
      <w:pPr>
        <w:pStyle w:val="Compact"/>
        <w:numPr>
          <w:ilvl w:val="0"/>
          <w:numId w:val="1054"/>
        </w:numPr>
      </w:pPr>
      <w:r>
        <w:rPr>
          <w:rStyle w:val="VerbatimChar"/>
        </w:rPr>
        <w:t xml:space="preserve">ODmax</w:t>
      </w:r>
      <w:r>
        <w:t xml:space="preserve">: señal/OD máxima medida.</w:t>
      </w:r>
    </w:p>
    <w:p>
      <w:pPr>
        <w:pStyle w:val="Compact"/>
        <w:numPr>
          <w:ilvl w:val="0"/>
          <w:numId w:val="1054"/>
        </w:numPr>
      </w:pPr>
      <w:r>
        <w:rPr>
          <w:rStyle w:val="VerbatimChar"/>
        </w:rPr>
        <w:t xml:space="preserve">max_time</w:t>
      </w:r>
      <w:r>
        <w:t xml:space="preserve">: tiempo en que se alcanza</w:t>
      </w:r>
      <w:r>
        <w:t xml:space="preserve"> </w:t>
      </w:r>
      <w:r>
        <w:rPr>
          <w:rStyle w:val="VerbatimChar"/>
        </w:rPr>
        <w:t xml:space="preserve">ODmax</w:t>
      </w:r>
      <w:r>
        <w:t xml:space="preserve">.</w:t>
      </w:r>
    </w:p>
    <w:p>
      <w:pPr>
        <w:pStyle w:val="Compact"/>
        <w:numPr>
          <w:ilvl w:val="0"/>
          <w:numId w:val="1054"/>
        </w:numPr>
      </w:pPr>
      <w:r>
        <w:rPr>
          <w:rStyle w:val="VerbatimChar"/>
        </w:rPr>
        <w:t xml:space="preserve">AUC</w:t>
      </w:r>
      <w:r>
        <w:t xml:space="preserve">: área bajo la curva.</w:t>
      </w:r>
    </w:p>
    <w:p>
      <w:pPr>
        <w:pStyle w:val="Compact"/>
        <w:numPr>
          <w:ilvl w:val="0"/>
          <w:numId w:val="1054"/>
        </w:numPr>
      </w:pPr>
      <w:r>
        <w:rPr>
          <w:rStyle w:val="VerbatimChar"/>
        </w:rPr>
        <w:t xml:space="preserve">OD0</w:t>
      </w:r>
      <w:r>
        <w:t xml:space="preserve">: señal/OD inicial en el primer punto medido de cada curva.</w:t>
      </w:r>
    </w:p>
    <w:p>
      <w:pPr>
        <w:pStyle w:val="FirstParagraph"/>
      </w:pPr>
      <w:r>
        <w:t xml:space="preserve">Flujo típico:</w:t>
      </w:r>
    </w:p>
    <w:p>
      <w:pPr>
        <w:pStyle w:val="Compact"/>
        <w:numPr>
          <w:ilvl w:val="0"/>
          <w:numId w:val="1055"/>
        </w:numPr>
      </w:pPr>
      <w:r>
        <w:t xml:space="preserve">Carga uno o más archivos de crecimiento.</w:t>
      </w:r>
    </w:p>
    <w:p>
      <w:pPr>
        <w:pStyle w:val="Compact"/>
        <w:numPr>
          <w:ilvl w:val="0"/>
          <w:numId w:val="1055"/>
        </w:numPr>
      </w:pPr>
      <w:r>
        <w:t xml:space="preserve">Define tiempo máximo e intervalo.</w:t>
      </w:r>
    </w:p>
    <w:p>
      <w:pPr>
        <w:pStyle w:val="Compact"/>
        <w:numPr>
          <w:ilvl w:val="0"/>
          <w:numId w:val="1055"/>
        </w:numPr>
      </w:pPr>
      <w:r>
        <w:t xml:space="preserve">Ejecuta extracción.</w:t>
      </w:r>
    </w:p>
    <w:p>
      <w:pPr>
        <w:pStyle w:val="Compact"/>
        <w:numPr>
          <w:ilvl w:val="0"/>
          <w:numId w:val="1055"/>
        </w:numPr>
      </w:pPr>
      <w:r>
        <w:t xml:space="preserve">Descarga ZIP de resultados.</w:t>
      </w:r>
    </w:p>
    <w:p>
      <w:pPr>
        <w:pStyle w:val="Compact"/>
        <w:numPr>
          <w:ilvl w:val="0"/>
          <w:numId w:val="1055"/>
        </w:numPr>
      </w:pPr>
      <w:r>
        <w:t xml:space="preserve">Reusa resultados en flujos de gráficos.</w:t>
      </w:r>
    </w:p>
    <w:p>
      <w:pPr>
        <w:pStyle w:val="FirstParagraph"/>
      </w:pPr>
      <w:r>
        <w:t xml:space="preserve">Autoguardado y manejo de interrupciones:</w:t>
      </w:r>
    </w:p>
    <w:p>
      <w:pPr>
        <w:pStyle w:val="Compact"/>
        <w:numPr>
          <w:ilvl w:val="0"/>
          <w:numId w:val="1056"/>
        </w:numPr>
      </w:pPr>
      <w:r>
        <w:t xml:space="preserve">La</w:t>
      </w:r>
      <w:r>
        <w:t xml:space="preserve"> </w:t>
      </w:r>
      <w:r>
        <w:rPr>
          <w:b/>
          <w:bCs/>
        </w:rPr>
        <w:t xml:space="preserve">Carpeta de autoguardado</w:t>
      </w:r>
      <w:r>
        <w:t xml:space="preserve"> </w:t>
      </w:r>
      <w:r>
        <w:t xml:space="preserve">opcional se puede escribir manualmente o seleccionar con</w:t>
      </w:r>
      <w:r>
        <w:t xml:space="preserve"> </w:t>
      </w:r>
      <w:r>
        <w:rPr>
          <w:b/>
          <w:bCs/>
        </w:rPr>
        <w:t xml:space="preserve">Examinar...</w:t>
      </w:r>
      <w:r>
        <w:t xml:space="preserve">.</w:t>
      </w:r>
    </w:p>
    <w:p>
      <w:pPr>
        <w:pStyle w:val="Compact"/>
        <w:numPr>
          <w:ilvl w:val="0"/>
          <w:numId w:val="1056"/>
        </w:numPr>
      </w:pPr>
      <w:r>
        <w:t xml:space="preserve">Si no quieres autoguardado, deja esta carpeta en blanco y descarga el ZIP con</w:t>
      </w:r>
      <w:r>
        <w:t xml:space="preserve"> </w:t>
      </w:r>
      <w:r>
        <w:rPr>
          <w:b/>
          <w:bCs/>
        </w:rPr>
        <w:t xml:space="preserve">Descargar resultados</w:t>
      </w:r>
      <w:r>
        <w:t xml:space="preserve"> </w:t>
      </w:r>
      <w:r>
        <w:t xml:space="preserve">al final.</w:t>
      </w:r>
    </w:p>
    <w:p>
      <w:pPr>
        <w:pStyle w:val="Compact"/>
        <w:numPr>
          <w:ilvl w:val="0"/>
          <w:numId w:val="1056"/>
        </w:numPr>
      </w:pPr>
      <w:r>
        <w:t xml:space="preserve">Si escribes una carpeta, debe existir previamente. Si la ruta no existe, BIOSZEN muestra un mensaje para corregirla y no inicia esa corrida hasta que la ruta se corrija o se borre.</w:t>
      </w:r>
    </w:p>
    <w:p>
      <w:pPr>
        <w:pStyle w:val="Compact"/>
        <w:numPr>
          <w:ilvl w:val="0"/>
          <w:numId w:val="1056"/>
        </w:numPr>
      </w:pPr>
      <w:r>
        <w:t xml:space="preserve">Cuando se define una carpeta de autoguardado, los archivos finales</w:t>
      </w:r>
      <w:r>
        <w:t xml:space="preserve"> </w:t>
      </w:r>
      <w:r>
        <w:rPr>
          <w:rStyle w:val="VerbatimChar"/>
        </w:rPr>
        <w:t xml:space="preserve">Curvas_*.xlsx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Parametros_*.xlsx</w:t>
      </w:r>
      <w:r>
        <w:t xml:space="preserve"> </w:t>
      </w:r>
      <w:r>
        <w:t xml:space="preserve">se copian allí automáticamente, y la opción normal</w:t>
      </w:r>
      <w:r>
        <w:t xml:space="preserve"> </w:t>
      </w:r>
      <w:r>
        <w:rPr>
          <w:b/>
          <w:bCs/>
        </w:rPr>
        <w:t xml:space="preserve">Descargar resultados</w:t>
      </w:r>
      <w:r>
        <w:t xml:space="preserve"> </w:t>
      </w:r>
      <w:r>
        <w:t xml:space="preserve">en ZIP sigue disponible.</w:t>
      </w:r>
    </w:p>
    <w:p>
      <w:pPr>
        <w:pStyle w:val="Compact"/>
        <w:numPr>
          <w:ilvl w:val="0"/>
          <w:numId w:val="1056"/>
        </w:numPr>
      </w:pPr>
      <w:r>
        <w:t xml:space="preserve">Durante procesos largos, BIOSZEN guarda puntos de control por well en una carpeta temporal</w:t>
      </w:r>
      <w:r>
        <w:t xml:space="preserve"> </w:t>
      </w:r>
      <w:r>
        <w:rPr>
          <w:rStyle w:val="VerbatimChar"/>
        </w:rPr>
        <w:t xml:space="preserve">BIOSZEN_growth_checkpoints</w:t>
      </w:r>
      <w:r>
        <w:t xml:space="preserve"> </w:t>
      </w:r>
      <w:r>
        <w:t xml:space="preserve">dentro de la carpeta de autoguardado seleccionada. Estos puntos de control permiten reanudar una corrida interrumpida desde los wells ya completados, en lugar de empezar desde cero.</w:t>
      </w:r>
    </w:p>
    <w:p>
      <w:pPr>
        <w:pStyle w:val="Compact"/>
        <w:numPr>
          <w:ilvl w:val="0"/>
          <w:numId w:val="1056"/>
        </w:numPr>
      </w:pPr>
      <w:r>
        <w:t xml:space="preserve">Los puntos de control se eliminan automáticamente después de completar correctamente el proceso o después de reanudarlo con éxito. Solo se conservan cuando el procesamiento se interrumpe antes de terminar.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Detener proceso</w:t>
      </w:r>
      <w:r>
        <w:t xml:space="preserve"> </w:t>
      </w:r>
      <w:r>
        <w:t xml:space="preserve">solicita una cancelación segura. La app puede terminar el well/punto de control actual antes de liberar la corrida para que los archivos parciales sigan siendo utilizables y no se modifique el cálculo de parámetros de crecimiento.</w:t>
      </w:r>
    </w:p>
    <w:p>
      <w:pPr>
        <w:pStyle w:val="FirstParagraph"/>
      </w:pPr>
      <w:r>
        <w:t xml:space="preserve">Comando equivalente en R:</w:t>
      </w:r>
    </w:p>
    <w:p>
      <w:pPr>
        <w:pStyle w:val="SourceCode"/>
      </w:pPr>
      <w:r>
        <w:rPr>
          <w:rStyle w:val="NormalTok"/>
        </w:rPr>
        <w:t xml:space="preserve">parametros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BIOSZEN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growth_parameters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"Curvas.xlsx"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parametros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BIOSZEN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growth_parameters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"Curvas.xlsx"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output_dir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"resultados_crecimiento"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overwrite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parametros_irregulares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BIOSZEN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growth_parameters_irregular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"curva_irregular.xlsx"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time_column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"Tiempo"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El comando ejecuta primero el mismo detector robusto y usa el mismo fallback</w:t>
      </w:r>
      <w:r>
        <w:t xml:space="preserve"> </w:t>
      </w:r>
      <w:r>
        <w:t xml:space="preserve">permisivo solo para los valores que el método robusto no pudo calcular. Las</w:t>
      </w:r>
      <w:r>
        <w:t xml:space="preserve"> </w:t>
      </w:r>
      <w:r>
        <w:t xml:space="preserve">columnas y resultados numéricos coinciden con la pestaña de crecimiento. Sin</w:t>
      </w:r>
      <w:r>
        <w:t xml:space="preserve"> </w:t>
      </w:r>
      <w:r>
        <w:rPr>
          <w:rStyle w:val="VerbatimChar"/>
        </w:rPr>
        <w:t xml:space="preserve">output_dir</w:t>
      </w:r>
      <w:r>
        <w:t xml:space="preserve">, devuelve el resultado en R y no crea archivos.</w:t>
      </w:r>
    </w:p>
    <w:p>
      <w:pPr>
        <w:pStyle w:val="BodyText"/>
      </w:pPr>
      <w:r>
        <w:t xml:space="preserve">Para tiempos registrados desiguales o discontinuos, usa</w:t>
      </w:r>
      <w:r>
        <w:t xml:space="preserve"> </w:t>
      </w:r>
      <w:r>
        <w:rPr>
          <w:rStyle w:val="VerbatimChar"/>
        </w:rPr>
        <w:t xml:space="preserve">BIOSZEN::growth_parameters_irregular()</w:t>
      </w:r>
      <w:r>
        <w:t xml:space="preserve">. Esta función lee directamente los</w:t>
      </w:r>
      <w:r>
        <w:t xml:space="preserve"> </w:t>
      </w:r>
      <w:r>
        <w:t xml:space="preserve">valores numéricos de tiempo del archivo y puede detectar automáticamente nombres</w:t>
      </w:r>
      <w:r>
        <w:t xml:space="preserve"> </w:t>
      </w:r>
      <w:r>
        <w:t xml:space="preserve">comunes como</w:t>
      </w:r>
      <w:r>
        <w:t xml:space="preserve"> </w:t>
      </w:r>
      <w:r>
        <w:rPr>
          <w:rStyle w:val="VerbatimChar"/>
        </w:rPr>
        <w:t xml:space="preserve">Time</w:t>
      </w:r>
      <w:r>
        <w:t xml:space="preserve">,</w:t>
      </w:r>
      <w:r>
        <w:t xml:space="preserve"> </w:t>
      </w:r>
      <w:r>
        <w:rPr>
          <w:rStyle w:val="VerbatimChar"/>
        </w:rPr>
        <w:t xml:space="preserve">Tiempo</w:t>
      </w:r>
      <w:r>
        <w:t xml:space="preserve">,</w:t>
      </w:r>
      <w:r>
        <w:t xml:space="preserve"> </w:t>
      </w:r>
      <w:r>
        <w:rPr>
          <w:rStyle w:val="VerbatimChar"/>
        </w:rPr>
        <w:t xml:space="preserve">Hour</w:t>
      </w:r>
      <w:r>
        <w:t xml:space="preserve"> </w:t>
      </w:r>
      <w:r>
        <w:t xml:space="preserve">u</w:t>
      </w:r>
      <w:r>
        <w:t xml:space="preserve"> </w:t>
      </w:r>
      <w:r>
        <w:rPr>
          <w:rStyle w:val="VerbatimChar"/>
        </w:rPr>
        <w:t xml:space="preserve">Hora</w:t>
      </w:r>
      <w:r>
        <w:t xml:space="preserve">; usa</w:t>
      </w:r>
      <w:r>
        <w:t xml:space="preserve"> </w:t>
      </w:r>
      <w:r>
        <w:rPr>
          <w:rStyle w:val="VerbatimChar"/>
        </w:rPr>
        <w:t xml:space="preserve">time_column</w:t>
      </w:r>
      <w:r>
        <w:t xml:space="preserve"> </w:t>
      </w:r>
      <w:r>
        <w:t xml:space="preserve">para seleccionar</w:t>
      </w:r>
      <w:r>
        <w:t xml:space="preserve"> </w:t>
      </w:r>
      <w:r>
        <w:t xml:space="preserve">una columna específica.</w:t>
      </w:r>
    </w:p>
    <w:p>
      <w:pPr>
        <w:pStyle w:val="BodyText"/>
      </w:pPr>
      <w:r>
        <w:drawing>
          <wp:inline>
            <wp:extent cx="5334000" cy="2011947"/>
            <wp:effectExtent b="0" l="0" r="0" t="0"/>
            <wp:docPr descr="Flujo de parámetros de crecimiento" title="" id="144" name="Picture"/>
            <a:graphic>
              <a:graphicData uri="http://schemas.openxmlformats.org/drawingml/2006/picture">
                <pic:pic>
                  <pic:nvPicPr>
                    <pic:cNvPr descr="manual_images/13_growth_parameters_workflow.png" id="145" name="Picture"/>
                    <pic:cNvPicPr>
                      <a:picLocks noChangeArrowheads="1" noChangeAspect="1"/>
                    </pic:cNvPicPr>
                  </pic:nvPicPr>
                  <pic:blipFill>
                    <a:blip r:embed="rId1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119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46"/>
    <w:bookmarkStart w:id="147" w:name="X44a0d0ba4189ec8e25809d14d8a3a2c3cd163ae"/>
    <w:p>
      <w:pPr>
        <w:pStyle w:val="Heading2"/>
      </w:pPr>
      <w:r>
        <w:t xml:space="preserve">14. Guía de Solución de Problemas</w:t>
      </w:r>
    </w:p>
    <w:p>
      <w:pPr>
        <w:numPr>
          <w:ilvl w:val="0"/>
          <w:numId w:val="1057"/>
        </w:numPr>
      </w:pPr>
      <w:r>
        <w:rPr>
          <w:b/>
          <w:bCs/>
        </w:rPr>
        <w:t xml:space="preserve">Error al cargar archivo</w:t>
      </w:r>
      <w:r>
        <w:br/>
      </w:r>
      <w:r>
        <w:t xml:space="preserve">Causa probable: Hojas/columnas obligatorias faltantes.</w:t>
      </w:r>
      <w:r>
        <w:br/>
      </w:r>
      <w:r>
        <w:t xml:space="preserve">Qué hacer: Validar estructura y encabezados exactos.</w:t>
      </w:r>
    </w:p>
    <w:p>
      <w:pPr>
        <w:numPr>
          <w:ilvl w:val="0"/>
          <w:numId w:val="1057"/>
        </w:numPr>
      </w:pPr>
      <w:r>
        <w:rPr>
          <w:b/>
          <w:bCs/>
        </w:rPr>
        <w:t xml:space="preserve">No se genera gráfico</w:t>
      </w:r>
      <w:r>
        <w:br/>
      </w:r>
      <w:r>
        <w:t xml:space="preserve">Causa probable: Parámetro/grupo ausente tras filtros.</w:t>
      </w:r>
      <w:r>
        <w:br/>
      </w:r>
      <w:r>
        <w:t xml:space="preserve">Qué hacer: Resetear filtros y validar disponibilidad.</w:t>
      </w:r>
    </w:p>
    <w:p>
      <w:pPr>
        <w:numPr>
          <w:ilvl w:val="0"/>
          <w:numId w:val="1057"/>
        </w:numPr>
      </w:pPr>
      <w:r>
        <w:rPr>
          <w:b/>
          <w:bCs/>
        </w:rPr>
        <w:t xml:space="preserve">Solo aparece Curvas en el selector de tipo de gráfico</w:t>
      </w:r>
      <w:r>
        <w:br/>
      </w:r>
      <w:r>
        <w:t xml:space="preserve">Causa probable: No se detectaron columnas de parámetros válidas en el archivo cargado.</w:t>
      </w:r>
      <w:r>
        <w:br/>
      </w:r>
      <w:r>
        <w:t xml:space="preserve">Qué hacer: Revisar estructura de hojas agrupadas/resumen y encabezados de parámetros, luego recargar.</w:t>
      </w:r>
    </w:p>
    <w:p>
      <w:pPr>
        <w:numPr>
          <w:ilvl w:val="0"/>
          <w:numId w:val="1057"/>
        </w:numPr>
      </w:pPr>
      <w:r>
        <w:rPr>
          <w:b/>
          <w:bCs/>
        </w:rPr>
        <w:t xml:space="preserve">Normalización no disponible</w:t>
      </w:r>
      <w:r>
        <w:br/>
      </w:r>
      <w:r>
        <w:t xml:space="preserve">Causa probable: Falta medio control en alcance activo.</w:t>
      </w:r>
      <w:r>
        <w:br/>
      </w:r>
      <w:r>
        <w:t xml:space="preserve">Qué hacer: Confirmar grupo control en el subconjunto.</w:t>
      </w:r>
    </w:p>
    <w:p>
      <w:pPr>
        <w:numPr>
          <w:ilvl w:val="0"/>
          <w:numId w:val="1057"/>
        </w:numPr>
      </w:pPr>
      <w:r>
        <w:rPr>
          <w:b/>
          <w:bCs/>
        </w:rPr>
        <w:t xml:space="preserve">Estadística deshabilitada</w:t>
      </w:r>
      <w:r>
        <w:br/>
      </w:r>
      <w:r>
        <w:t xml:space="preserve">Causa probable: Mismatch entre modo y prueba.</w:t>
      </w:r>
      <w:r>
        <w:br/>
      </w:r>
      <w:r>
        <w:t xml:space="preserve">Qué hacer: Cambiar prueba o usar modo con datos compatibles.</w:t>
      </w:r>
    </w:p>
    <w:p>
      <w:pPr>
        <w:numPr>
          <w:ilvl w:val="0"/>
          <w:numId w:val="1057"/>
        </w:numPr>
      </w:pPr>
      <w:r>
        <w:rPr>
          <w:b/>
          <w:bCs/>
        </w:rPr>
        <w:t xml:space="preserve">Falla merge de curvas</w:t>
      </w:r>
      <w:r>
        <w:br/>
      </w:r>
      <w:r>
        <w:t xml:space="preserve">Causa probable: IDs de well inconsistentes.</w:t>
      </w:r>
      <w:r>
        <w:br/>
      </w:r>
      <w:r>
        <w:t xml:space="preserve">Qué hacer: Alinear</w:t>
      </w:r>
      <w:r>
        <w:t xml:space="preserve"> </w:t>
      </w:r>
      <w:r>
        <w:rPr>
          <w:rStyle w:val="VerbatimChar"/>
        </w:rPr>
        <w:t xml:space="preserve">Well</w:t>
      </w:r>
      <w:r>
        <w:t xml:space="preserve"> </w:t>
      </w:r>
      <w:r>
        <w:t xml:space="preserve">con columnas de curvas.</w:t>
      </w:r>
    </w:p>
    <w:p>
      <w:pPr>
        <w:numPr>
          <w:ilvl w:val="0"/>
          <w:numId w:val="1057"/>
        </w:numPr>
      </w:pPr>
      <w:r>
        <w:rPr>
          <w:b/>
          <w:bCs/>
        </w:rPr>
        <w:t xml:space="preserve">El workbook agrupado/resumen carga, pero Curvas queda sin datos</w:t>
      </w:r>
      <w:r>
        <w:br/>
      </w:r>
      <w:r>
        <w:t xml:space="preserve">Causa probable: Falta la hoja de resumen de curvas embebida.</w:t>
      </w:r>
      <w:r>
        <w:br/>
      </w:r>
      <w:r>
        <w:t xml:space="preserve">Qué hacer: Agregar</w:t>
      </w:r>
      <w:r>
        <w:t xml:space="preserve"> </w:t>
      </w:r>
      <w:r>
        <w:rPr>
          <w:rStyle w:val="VerbatimChar"/>
        </w:rPr>
        <w:t xml:space="preserve">Curves_Summary</w:t>
      </w:r>
      <w:r>
        <w:t xml:space="preserve"> </w:t>
      </w:r>
      <w:r>
        <w:t xml:space="preserve">(o alias) al workbook, o cargar curvas por separado en</w:t>
      </w:r>
      <w:r>
        <w:t xml:space="preserve"> </w:t>
      </w:r>
      <w:r>
        <w:rPr>
          <w:b/>
          <w:bCs/>
        </w:rPr>
        <w:t xml:space="preserve">Cargar curvas</w:t>
      </w:r>
      <w:r>
        <w:t xml:space="preserve">.</w:t>
      </w:r>
    </w:p>
    <w:p>
      <w:pPr>
        <w:numPr>
          <w:ilvl w:val="0"/>
          <w:numId w:val="1057"/>
        </w:numPr>
      </w:pPr>
      <w:r>
        <w:rPr>
          <w:b/>
          <w:bCs/>
        </w:rPr>
        <w:t xml:space="preserve">CSV no reconocido</w:t>
      </w:r>
      <w:r>
        <w:br/>
      </w:r>
      <w:r>
        <w:t xml:space="preserve">Causa probable: Delimitador erróneo o headers faltantes.</w:t>
      </w:r>
      <w:r>
        <w:br/>
      </w:r>
      <w:r>
        <w:t xml:space="preserve">Qué hacer: Revisar delimitador y columnas requeridas.</w:t>
      </w:r>
    </w:p>
    <w:p>
      <w:pPr>
        <w:numPr>
          <w:ilvl w:val="0"/>
          <w:numId w:val="1057"/>
        </w:numPr>
      </w:pPr>
      <w:r>
        <w:rPr>
          <w:b/>
          <w:bCs/>
        </w:rPr>
        <w:t xml:space="preserve">Rendimiento lento</w:t>
      </w:r>
      <w:r>
        <w:br/>
      </w:r>
      <w:r>
        <w:t xml:space="preserve">Causa probable: Demasiados parámetros/capas activas.</w:t>
      </w:r>
      <w:r>
        <w:br/>
      </w:r>
      <w:r>
        <w:t xml:space="preserve">Qué hacer: Reducir parámetros y capas pesadas.</w:t>
      </w:r>
    </w:p>
    <w:bookmarkEnd w:id="147"/>
    <w:bookmarkStart w:id="148" w:name="X8b3f1f11e9cb04fc73976d75c0f04065017c149"/>
    <w:p>
      <w:pPr>
        <w:pStyle w:val="Heading2"/>
      </w:pPr>
      <w:r>
        <w:t xml:space="preserve">15. Soporte</w:t>
      </w:r>
    </w:p>
    <w:p>
      <w:pPr>
        <w:pStyle w:val="FirstParagraph"/>
      </w:pPr>
      <w:r>
        <w:t xml:space="preserve">Soporte y reporte de errores:</w:t>
      </w:r>
      <w:r>
        <w:t xml:space="preserve"> </w:t>
      </w:r>
      <w:r>
        <w:rPr>
          <w:rStyle w:val="VerbatimChar"/>
        </w:rPr>
        <w:t xml:space="preserve">bioszenf@gmail.com</w:t>
      </w:r>
    </w:p>
    <w:bookmarkEnd w:id="148"/>
    <w:bookmarkEnd w:id="149"/>
    <w:sectPr>
      <w:footnotePr>
        <w:numRestart w:val="eachSect"/>
      </w:footnotePr>
      <w:pgSz w:w="12240" w:h="158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6">
    <w:abstractNumId w:val="991"/>
  </w:num>
  <w:num w:numId="105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78" Type="http://schemas.openxmlformats.org/officeDocument/2006/relationships/numbering" Target="numbering.xml"/><Relationship Id="rId77" Type="http://schemas.openxmlformats.org/officeDocument/2006/relationships/styles" Target="styles.xml"/><Relationship Id="rId76" Type="http://schemas.openxmlformats.org/officeDocument/2006/relationships/settings" Target="settings.xml"/><Relationship Id="rId75" Type="http://schemas.openxmlformats.org/officeDocument/2006/relationships/webSettings" Target="webSettings.xml"/><Relationship Id="rId74" Type="http://schemas.openxmlformats.org/officeDocument/2006/relationships/fontTable" Target="fontTable.xml"/><Relationship Id="rId73" Type="http://schemas.openxmlformats.org/officeDocument/2006/relationships/theme" Target="theme/theme1.xml"/><Relationship Id="rId72" Type="http://schemas.openxmlformats.org/officeDocument/2006/relationships/footnotes" Target="footnotes.xml"/><Relationship Id="rId71" Type="http://schemas.openxmlformats.org/officeDocument/2006/relationships/comments" Target="comments.xml"/><Relationship Id="rId9" Type="http://schemas.openxmlformats.org/officeDocument/2006/relationships/image" Target="media/rId9.png"/><Relationship Id="rId21" Type="http://schemas.openxmlformats.org/officeDocument/2006/relationships/image" Target="media/rId21.png"/><Relationship Id="rId36" Type="http://schemas.openxmlformats.org/officeDocument/2006/relationships/image" Target="media/rId36.png"/><Relationship Id="rId63" Type="http://schemas.openxmlformats.org/officeDocument/2006/relationships/image" Target="media/rId63.png"/><Relationship Id="rId52" Type="http://schemas.openxmlformats.org/officeDocument/2006/relationships/image" Target="media/rId52.png"/><Relationship Id="rId48" Type="http://schemas.openxmlformats.org/officeDocument/2006/relationships/image" Target="media/rId48.png"/><Relationship Id="rId70" Type="http://schemas.openxmlformats.org/officeDocument/2006/relationships/image" Target="media/rId70.png"/><Relationship Id="rId79" Type="http://schemas.openxmlformats.org/officeDocument/2006/relationships/image" Target="media/rId79.png"/><Relationship Id="rId91" Type="http://schemas.openxmlformats.org/officeDocument/2006/relationships/image" Target="media/rId91.png"/><Relationship Id="rId106" Type="http://schemas.openxmlformats.org/officeDocument/2006/relationships/image" Target="media/rId106.png"/><Relationship Id="rId136" Type="http://schemas.openxmlformats.org/officeDocument/2006/relationships/image" Target="media/rId136.png"/><Relationship Id="rId125" Type="http://schemas.openxmlformats.org/officeDocument/2006/relationships/image" Target="media/rId125.png"/><Relationship Id="rId121" Type="http://schemas.openxmlformats.org/officeDocument/2006/relationships/image" Target="media/rId121.png"/><Relationship Id="rId143" Type="http://schemas.openxmlformats.org/officeDocument/2006/relationships/image" Target="media/rId143.png"/><Relationship Id="rId103" Type="http://schemas.openxmlformats.org/officeDocument/2006/relationships/hyperlink" Target="https://github.com/bioszen/BIOSZEN/archive/refs/heads/main.zip" TargetMode="External"/><Relationship Id="rId102" Type="http://schemas.openxmlformats.org/officeDocument/2006/relationships/hyperlink" Target="https://github.com/bioszen/BIOSZEN/tree/main/skills/bioszen-platemap-curves" TargetMode="External"/><Relationship Id="rId84" Type="http://schemas.openxmlformats.org/officeDocument/2006/relationships/hyperlink" Target="reference_files/Ejemplo_curvas.xlsx" TargetMode="External"/><Relationship Id="rId86" Type="http://schemas.openxmlformats.org/officeDocument/2006/relationships/hyperlink" Target="reference_files/Ejemplo_input_summary_mean_sd.xlsx" TargetMode="External"/><Relationship Id="rId85" Type="http://schemas.openxmlformats.org/officeDocument/2006/relationships/hyperlink" Target="reference_files/Ejemplo_parametros_agrupados.xlsx" TargetMode="External"/><Relationship Id="rId83" Type="http://schemas.openxmlformats.org/officeDocument/2006/relationships/hyperlink" Target="reference_files/Ejemplo_platemap_parametros.xlsx" TargetMode="External"/></Relationships>
</file>

<file path=word/_rels/footnotes.xml.rels><?xml version='1.0' encoding='UTF-8' standalone='yes'?>
<Relationships xmlns="http://schemas.openxmlformats.org/package/2006/relationships"><Relationship Id="rId103" Type="http://schemas.openxmlformats.org/officeDocument/2006/relationships/hyperlink" Target="https://github.com/bioszen/BIOSZEN/archive/refs/heads/main.zip" TargetMode="External"/><Relationship Id="rId102" Type="http://schemas.openxmlformats.org/officeDocument/2006/relationships/hyperlink" Target="https://github.com/bioszen/BIOSZEN/tree/main/skills/bioszen-platemap-curves" TargetMode="External"/><Relationship Id="rId84" Type="http://schemas.openxmlformats.org/officeDocument/2006/relationships/hyperlink" Target="reference_files/Ejemplo_curvas.xlsx" TargetMode="External"/><Relationship Id="rId86" Type="http://schemas.openxmlformats.org/officeDocument/2006/relationships/hyperlink" Target="reference_files/Ejemplo_input_summary_mean_sd.xlsx" TargetMode="External"/><Relationship Id="rId85" Type="http://schemas.openxmlformats.org/officeDocument/2006/relationships/hyperlink" Target="reference_files/Ejemplo_parametros_agrupados.xlsx" TargetMode="External"/><Relationship Id="rId83" Type="http://schemas.openxmlformats.org/officeDocument/2006/relationships/hyperlink" Target="reference_files/Ejemplo_platemap_parametros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2026-08-24T14:19:19Z</dcterms:created>
  <dcterms:modified xsi:type="dcterms:W3CDTF">2026-08-24T14:19:19Z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