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png" ContentType="image/png"/>
  <Override PartName="/word/media/rId63.png" ContentType="image/png"/>
  <Override PartName="/word/media/rId52.png" ContentType="image/png"/>
  <Override PartName="/word/media/rId48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manual-de-usuario-bioszen-español"/>
    <w:p>
      <w:pPr>
        <w:pStyle w:val="Heading1"/>
      </w:pPr>
      <w:r>
        <w:t xml:space="preserve">Manual de Usuario BIOSZEN (Español)</w:t>
      </w:r>
    </w:p>
    <w:p>
      <w:pPr>
        <w:pStyle w:val="FirstParagraph"/>
      </w:pPr>
      <w:r>
        <w:t xml:space="preserve">Guía práctica para usar BIOSZEN desde archivos crudos hasta salidas reproducibles.</w:t>
      </w:r>
    </w:p>
    <w:p>
      <w:pPr>
        <w:pStyle w:val="BodyText"/>
      </w:pPr>
      <w:r>
        <w:drawing>
          <wp:inline>
            <wp:extent cx="5334000" cy="2341239"/>
            <wp:effectExtent b="0" l="0" r="0" t="0"/>
            <wp:docPr descr="Vista general de BIOSZEN" title="" id="10" name="Picture"/>
            <a:graphic>
              <a:graphicData uri="http://schemas.openxmlformats.org/drawingml/2006/picture">
                <pic:pic>
                  <pic:nvPicPr>
                    <pic:cNvPr descr="manual_images/01_app_home_overvie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Si es posible, usa el modo</w:t>
      </w:r>
      <w:r>
        <w:t xml:space="preserve"> </w:t>
      </w:r>
      <w:r>
        <w:rPr>
          <w:b/>
          <w:bCs/>
        </w:rPr>
        <w:t xml:space="preserve">Platemap + Curvas</w:t>
      </w:r>
      <w:r>
        <w:t xml:space="preserve">. Es el flujo con mejor soporte para estadística, control de calidad de réplicas y exportaciones completas.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Mantén este manual abierto mientras trabajas. Cada sección incluye acciones rápidas y referencia técnica.</w:t>
      </w:r>
    </w:p>
    <w:bookmarkStart w:id="12" w:name="mapa-del-manual"/>
    <w:p>
      <w:pPr>
        <w:pStyle w:val="Heading2"/>
      </w:pPr>
      <w:r>
        <w:t xml:space="preserve">Mapa del Manual</w:t>
      </w:r>
    </w:p>
    <w:p>
      <w:pPr>
        <w:pStyle w:val="Compact"/>
        <w:numPr>
          <w:ilvl w:val="0"/>
          <w:numId w:val="1001"/>
        </w:numPr>
      </w:pPr>
      <w:hyperlink w:anchor="Xfa07d81b5028cbd5b0e841e8fb030e9e91246a4">
        <w:r>
          <w:rPr>
            <w:rStyle w:val="Hyperlink"/>
          </w:rPr>
          <w:t xml:space="preserve">1. Antes de Empezar</w:t>
        </w:r>
      </w:hyperlink>
    </w:p>
    <w:p>
      <w:pPr>
        <w:pStyle w:val="Compact"/>
        <w:numPr>
          <w:ilvl w:val="0"/>
          <w:numId w:val="1001"/>
        </w:numPr>
      </w:pPr>
      <w:hyperlink w:anchor="X9fb895dda62211d8c48fb9835c8aff5234266cd">
        <w:r>
          <w:rPr>
            <w:rStyle w:val="Hyperlink"/>
          </w:rPr>
          <w:t xml:space="preserve">2. Inicio Rápido por Escenario</w:t>
        </w:r>
      </w:hyperlink>
    </w:p>
    <w:p>
      <w:pPr>
        <w:pStyle w:val="Compact"/>
        <w:numPr>
          <w:ilvl w:val="0"/>
          <w:numId w:val="1001"/>
        </w:numPr>
      </w:pPr>
      <w:hyperlink w:anchor="X1091fe1583fe3857e5eb63f1db55c9abd452c2a">
        <w:r>
          <w:rPr>
            <w:rStyle w:val="Hyperlink"/>
          </w:rPr>
          <w:t xml:space="preserve">3. Elegir un Modo de Entrada</w:t>
        </w:r>
      </w:hyperlink>
    </w:p>
    <w:p>
      <w:pPr>
        <w:pStyle w:val="Compact"/>
        <w:numPr>
          <w:ilvl w:val="0"/>
          <w:numId w:val="1001"/>
        </w:numPr>
      </w:pPr>
      <w:hyperlink w:anchor="Xbe7d00576ea19b5f785210b268d589dfe016b9b">
        <w:r>
          <w:rPr>
            <w:rStyle w:val="Hyperlink"/>
          </w:rPr>
          <w:t xml:space="preserve">4. Especificaciones de Entrada</w:t>
        </w:r>
      </w:hyperlink>
    </w:p>
    <w:p>
      <w:pPr>
        <w:pStyle w:val="Compact"/>
        <w:numPr>
          <w:ilvl w:val="0"/>
          <w:numId w:val="1001"/>
        </w:numPr>
      </w:pPr>
      <w:hyperlink w:anchor="Xae12b15562da4a61da4abe7db29e767bcfa80b7">
        <w:r>
          <w:rPr>
            <w:rStyle w:val="Hyperlink"/>
          </w:rPr>
          <w:t xml:space="preserve">5. Flujo Estándar</w:t>
        </w:r>
      </w:hyperlink>
    </w:p>
    <w:p>
      <w:pPr>
        <w:pStyle w:val="Compact"/>
        <w:numPr>
          <w:ilvl w:val="0"/>
          <w:numId w:val="1001"/>
        </w:numPr>
      </w:pPr>
      <w:hyperlink w:anchor="Xaf81bc0f9fdfe300180131f47955cd5d6f20688">
        <w:r>
          <w:rPr>
            <w:rStyle w:val="Hyperlink"/>
          </w:rPr>
          <w:t xml:space="preserve">6. Tipos de Gráfico y Controles</w:t>
        </w:r>
      </w:hyperlink>
    </w:p>
    <w:p>
      <w:pPr>
        <w:pStyle w:val="Compact"/>
        <w:numPr>
          <w:ilvl w:val="0"/>
          <w:numId w:val="1001"/>
        </w:numPr>
      </w:pPr>
      <w:hyperlink w:anchor="X784a3f1f5904a93f9634a04c4f667f10394c63c">
        <w:r>
          <w:rPr>
            <w:rStyle w:val="Hyperlink"/>
          </w:rPr>
          <w:t xml:space="preserve">7. Normalización</w:t>
        </w:r>
      </w:hyperlink>
    </w:p>
    <w:p>
      <w:pPr>
        <w:pStyle w:val="Compact"/>
        <w:numPr>
          <w:ilvl w:val="0"/>
          <w:numId w:val="1001"/>
        </w:numPr>
      </w:pPr>
      <w:hyperlink w:anchor="X08b670b6b7f9a75f2188e36fdc7de5816db16f1">
        <w:r>
          <w:rPr>
            <w:rStyle w:val="Hyperlink"/>
          </w:rPr>
          <w:t xml:space="preserve">8. Estadística</w:t>
        </w:r>
      </w:hyperlink>
    </w:p>
    <w:p>
      <w:pPr>
        <w:pStyle w:val="Compact"/>
        <w:numPr>
          <w:ilvl w:val="0"/>
          <w:numId w:val="1001"/>
        </w:numPr>
      </w:pPr>
      <w:hyperlink w:anchor="Xfd951e1857e16be0fbfbc51e6054c4da8871e10">
        <w:r>
          <w:rPr>
            <w:rStyle w:val="Hyperlink"/>
          </w:rPr>
          <w:t xml:space="preserve">9. Anotaciones de Significancia</w:t>
        </w:r>
      </w:hyperlink>
    </w:p>
    <w:p>
      <w:pPr>
        <w:pStyle w:val="Compact"/>
        <w:numPr>
          <w:ilvl w:val="0"/>
          <w:numId w:val="1001"/>
        </w:numPr>
      </w:pPr>
      <w:hyperlink w:anchor="Xc2b86501cc804adc80e56831b8510edbedb0cab">
        <w:r>
          <w:rPr>
            <w:rStyle w:val="Hyperlink"/>
          </w:rPr>
          <w:t xml:space="preserve">10. Control de Calidad y Réplicas</w:t>
        </w:r>
      </w:hyperlink>
    </w:p>
    <w:p>
      <w:pPr>
        <w:pStyle w:val="Compact"/>
        <w:numPr>
          <w:ilvl w:val="0"/>
          <w:numId w:val="1001"/>
        </w:numPr>
      </w:pPr>
      <w:hyperlink w:anchor="Xfea01682663a764101ef30ec6c870560247e7f1">
        <w:r>
          <w:rPr>
            <w:rStyle w:val="Hyperlink"/>
          </w:rPr>
          <w:t xml:space="preserve">11. Metadatos y Reproducibilidad</w:t>
        </w:r>
      </w:hyperlink>
    </w:p>
    <w:p>
      <w:pPr>
        <w:pStyle w:val="Compact"/>
        <w:numPr>
          <w:ilvl w:val="0"/>
          <w:numId w:val="1001"/>
        </w:numPr>
      </w:pPr>
      <w:hyperlink w:anchor="X218df2ee725d0504d93acc386923c3d90ed9ec6">
        <w:r>
          <w:rPr>
            <w:rStyle w:val="Hyperlink"/>
          </w:rPr>
          <w:t xml:space="preserve">12. Descargas</w:t>
        </w:r>
      </w:hyperlink>
    </w:p>
    <w:p>
      <w:pPr>
        <w:pStyle w:val="Compact"/>
        <w:numPr>
          <w:ilvl w:val="0"/>
          <w:numId w:val="1001"/>
        </w:numPr>
      </w:pPr>
      <w:hyperlink w:anchor="X08302a07caa98f2a5467429728a16104e228911">
        <w:r>
          <w:rPr>
            <w:rStyle w:val="Hyperlink"/>
          </w:rPr>
          <w:t xml:space="preserve">13. Módulo de Crecimiento</w:t>
        </w:r>
      </w:hyperlink>
    </w:p>
    <w:p>
      <w:pPr>
        <w:pStyle w:val="Compact"/>
        <w:numPr>
          <w:ilvl w:val="0"/>
          <w:numId w:val="1001"/>
        </w:numPr>
      </w:pPr>
      <w:hyperlink w:anchor="X44a0d0ba4189ec8e25809d14d8a3a2c3cd163ae">
        <w:r>
          <w:rPr>
            <w:rStyle w:val="Hyperlink"/>
          </w:rPr>
          <w:t xml:space="preserve">14. Guía de Solución de Problemas</w:t>
        </w:r>
      </w:hyperlink>
    </w:p>
    <w:p>
      <w:pPr>
        <w:pStyle w:val="Compact"/>
        <w:numPr>
          <w:ilvl w:val="0"/>
          <w:numId w:val="1001"/>
        </w:numPr>
      </w:pPr>
      <w:hyperlink w:anchor="X8b3f1f11e9cb04fc73976d75c0f04065017c149">
        <w:r>
          <w:rPr>
            <w:rStyle w:val="Hyperlink"/>
          </w:rPr>
          <w:t xml:space="preserve">15. Soporte</w:t>
        </w:r>
      </w:hyperlink>
    </w:p>
    <w:bookmarkEnd w:id="12"/>
    <w:bookmarkStart w:id="17" w:name="Xfa07d81b5028cbd5b0e841e8fb030e9e91246a4"/>
    <w:p>
      <w:pPr>
        <w:pStyle w:val="Heading2"/>
      </w:pPr>
      <w:r>
        <w:t xml:space="preserve">1. Antes de Empezar</w:t>
      </w:r>
    </w:p>
    <w:p>
      <w:pPr>
        <w:pStyle w:val="FirstParagraph"/>
      </w:pPr>
      <w:r>
        <w:t xml:space="preserve">Requisitos:</w:t>
      </w:r>
    </w:p>
    <w:p>
      <w:pPr>
        <w:pStyle w:val="Compact"/>
        <w:numPr>
          <w:ilvl w:val="0"/>
          <w:numId w:val="1002"/>
        </w:numPr>
      </w:pPr>
      <w:r>
        <w:t xml:space="preserve">R &gt;= 4.1.</w:t>
      </w:r>
    </w:p>
    <w:p>
      <w:pPr>
        <w:pStyle w:val="Compact"/>
        <w:numPr>
          <w:ilvl w:val="0"/>
          <w:numId w:val="1002"/>
        </w:numPr>
      </w:pPr>
      <w:r>
        <w:t xml:space="preserve">BIOSZEN ejecutado desde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,</w:t>
      </w:r>
      <w:r>
        <w:t xml:space="preserve"> </w:t>
      </w:r>
      <w:r>
        <w:rPr>
          <w:rStyle w:val="VerbatimChar"/>
        </w:rPr>
        <w:t xml:space="preserve">BIOSZEN::BIOSZEN()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BIOSZEN::run_app()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Archivo de datos para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Archivo de curvas para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cuando las curvas no vienen embebidas en el workbook principal.</w:t>
      </w:r>
    </w:p>
    <w:p>
      <w:pPr>
        <w:pStyle w:val="FirstParagraph"/>
      </w:pPr>
      <w:r>
        <w:t xml:space="preserve">Instala el paquete estable desde R-universe con: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"BIOSZEN"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"https://bioszen.r-universe.dev"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"https://cloud.r-project.org"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BIOSZEN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BIOSZEN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Los métodos independientes mediante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y el bundle siguen disponibles</w:t>
      </w:r>
      <w:r>
        <w:t xml:space="preserve"> </w:t>
      </w:r>
      <w:r>
        <w:t xml:space="preserve">para quienes prefieran no instalar BIOSZEN desde un repositorio de paquetes.</w:t>
      </w:r>
    </w:p>
    <w:p>
      <w:pPr>
        <w:pStyle w:val="BodyText"/>
      </w:pPr>
      <w:r>
        <w:t xml:space="preserve">Plantillas de referencia disponibles en la app (</w:t>
      </w:r>
      <w:r>
        <w:rPr>
          <w:b/>
          <w:bCs/>
        </w:rPr>
        <w:t xml:space="preserve">Archivos de entrada de referencia (descargar)</w:t>
      </w:r>
      <w:r>
        <w:t xml:space="preserve">) y en: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inst/app/www/reference_files/</w:t>
      </w:r>
    </w:p>
    <w:p>
      <w:pPr>
        <w:pStyle w:val="FirstParagraph"/>
      </w:pPr>
      <w:r>
        <w:t xml:space="preserve">Archivos de plantilla:</w:t>
      </w:r>
    </w:p>
    <w:p>
      <w:pPr>
        <w:pStyle w:val="Compact"/>
        <w:numPr>
          <w:ilvl w:val="0"/>
          <w:numId w:val="1004"/>
        </w:numPr>
      </w:pPr>
      <w:hyperlink r:id="rId13">
        <w:r>
          <w:rPr>
            <w:rStyle w:val="Hyperlink"/>
          </w:rPr>
          <w:t xml:space="preserve">Ejemplo_platemap_parametros.xlsx</w:t>
        </w:r>
      </w:hyperlink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</w:rPr>
          <w:t xml:space="preserve">Ejemplo_curvas.xlsx</w:t>
        </w:r>
      </w:hyperlink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Ejemplo_parametros_agrupados.xlsx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Ejemplo_input_summary_mean_sd.xlsx</w:t>
        </w:r>
      </w:hyperlink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En la primera ejecución se pueden instalar dependencias en</w:t>
      </w:r>
      <w:r>
        <w:t xml:space="preserve"> </w:t>
      </w:r>
      <w:r>
        <w:rPr>
          <w:rStyle w:val="VerbatimChar"/>
        </w:rPr>
        <w:t xml:space="preserve">R_libs</w:t>
      </w:r>
      <w:r>
        <w:t xml:space="preserve">. Conserva esa carpeta para evitar reinstalaciones.</w:t>
      </w:r>
    </w:p>
    <w:bookmarkEnd w:id="17"/>
    <w:bookmarkStart w:id="25" w:name="X9fb895dda62211d8c48fb9835c8aff5234266cd"/>
    <w:p>
      <w:pPr>
        <w:pStyle w:val="Heading2"/>
      </w:pPr>
      <w:r>
        <w:t xml:space="preserve">2. Inicio Rápido por Escenario</w:t>
      </w:r>
    </w:p>
    <w:bookmarkStart w:id="18" w:name="X2321f1725a28bb077f5deafe205ec5296906e73"/>
    <w:p>
      <w:pPr>
        <w:pStyle w:val="Heading3"/>
      </w:pPr>
      <w:r>
        <w:t xml:space="preserve">Escenario A: Tengo datos crudos de placa y curvas (recomendado)</w:t>
      </w:r>
    </w:p>
    <w:p>
      <w:pPr>
        <w:pStyle w:val="Compact"/>
        <w:numPr>
          <w:ilvl w:val="0"/>
          <w:numId w:val="1005"/>
        </w:numPr>
      </w:pPr>
      <w:r>
        <w:t xml:space="preserve">Carga el platemap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Carga el archivo de curvas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Selecciona alcance y tipo de gráfico.</w:t>
      </w:r>
    </w:p>
    <w:p>
      <w:pPr>
        <w:pStyle w:val="Compact"/>
        <w:numPr>
          <w:ilvl w:val="0"/>
          <w:numId w:val="1005"/>
        </w:numPr>
      </w:pPr>
      <w:r>
        <w:t xml:space="preserve">Aplica filtros y QC de réplicas.</w:t>
      </w:r>
    </w:p>
    <w:p>
      <w:pPr>
        <w:pStyle w:val="Compact"/>
        <w:numPr>
          <w:ilvl w:val="0"/>
          <w:numId w:val="1005"/>
        </w:numPr>
      </w:pPr>
      <w:r>
        <w:t xml:space="preserve">Ejecuta estadística y anotaciones.</w:t>
      </w:r>
    </w:p>
    <w:p>
      <w:pPr>
        <w:pStyle w:val="Compact"/>
        <w:numPr>
          <w:ilvl w:val="0"/>
          <w:numId w:val="1005"/>
        </w:numPr>
      </w:pPr>
      <w:r>
        <w:t xml:space="preserve">Exporta gráfico, tablas, metadatos y bundle ZIP.</w:t>
      </w:r>
    </w:p>
    <w:bookmarkEnd w:id="18"/>
    <w:bookmarkStart w:id="19" w:name="Xcf545a811cd07656e0055dc2381ada816e3363b"/>
    <w:p>
      <w:pPr>
        <w:pStyle w:val="Heading3"/>
      </w:pPr>
      <w:r>
        <w:t xml:space="preserve">Escenario B: Solo tengo datos agrupados o resumen</w:t>
      </w:r>
    </w:p>
    <w:p>
      <w:pPr>
        <w:pStyle w:val="Compact"/>
        <w:numPr>
          <w:ilvl w:val="0"/>
          <w:numId w:val="1006"/>
        </w:numPr>
      </w:pPr>
      <w:r>
        <w:t xml:space="preserve">Carga el archivo agrupado/resumen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Configura gráficos y filtros.</w:t>
      </w:r>
    </w:p>
    <w:p>
      <w:pPr>
        <w:pStyle w:val="Compact"/>
        <w:numPr>
          <w:ilvl w:val="0"/>
          <w:numId w:val="1006"/>
        </w:numPr>
      </w:pPr>
      <w:r>
        <w:t xml:space="preserve">Ejecuta la estadística disponible para ese modo.</w:t>
      </w:r>
    </w:p>
    <w:p>
      <w:pPr>
        <w:pStyle w:val="Compact"/>
        <w:numPr>
          <w:ilvl w:val="0"/>
          <w:numId w:val="1006"/>
        </w:numPr>
      </w:pPr>
      <w:r>
        <w:t xml:space="preserve">Exporta gráficos y metadatos.</w:t>
      </w:r>
    </w:p>
    <w:bookmarkEnd w:id="19"/>
    <w:bookmarkStart w:id="20" w:name="X086db0decf77911936b72506b859d7bedfa829a"/>
    <w:p>
      <w:pPr>
        <w:pStyle w:val="Heading3"/>
      </w:pPr>
      <w:r>
        <w:t xml:space="preserve">Escenario C: Necesito mejor rendimiento con alto volumen</w:t>
      </w:r>
    </w:p>
    <w:p>
      <w:pPr>
        <w:pStyle w:val="Compact"/>
        <w:numPr>
          <w:ilvl w:val="0"/>
          <w:numId w:val="1007"/>
        </w:numPr>
      </w:pPr>
      <w:r>
        <w:t xml:space="preserve">Comienza con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Mantén pocos parámetros seleccionados durante iteración.</w:t>
      </w:r>
    </w:p>
    <w:p>
      <w:pPr>
        <w:pStyle w:val="Compact"/>
        <w:numPr>
          <w:ilvl w:val="0"/>
          <w:numId w:val="1007"/>
        </w:numPr>
      </w:pPr>
      <w:r>
        <w:t xml:space="preserve">Activa capas avanzadas solo al final.</w:t>
      </w:r>
    </w:p>
    <w:bookmarkEnd w:id="20"/>
    <w:bookmarkStart w:id="24" w:name="X4db9812a0bf1faf805046245ea70fc9be790166"/>
    <w:p>
      <w:pPr>
        <w:pStyle w:val="Heading3"/>
      </w:pPr>
      <w:r>
        <w:t xml:space="preserve">Escenario D: Necesito un script reproducible en R</w:t>
      </w:r>
    </w:p>
    <w:p>
      <w:pPr>
        <w:pStyle w:val="Compact"/>
        <w:numPr>
          <w:ilvl w:val="0"/>
          <w:numId w:val="1008"/>
        </w:numPr>
      </w:pPr>
      <w:r>
        <w:t xml:space="preserve">Inicia la misma app con</w:t>
      </w:r>
      <w:r>
        <w:t xml:space="preserve"> </w:t>
      </w:r>
      <w:r>
        <w:rPr>
          <w:rStyle w:val="VerbatimChar"/>
        </w:rPr>
        <w:t xml:space="preserve">BIOSZEN::BIOSZEN()</w:t>
      </w:r>
      <w:r>
        <w:t xml:space="preserve">;</w:t>
      </w:r>
      <w:r>
        <w:t xml:space="preserve"> </w:t>
      </w:r>
      <w:r>
        <w:rPr>
          <w:rStyle w:val="VerbatimChar"/>
        </w:rPr>
        <w:t xml:space="preserve">BIOSZEN::run_app()</w:t>
      </w:r>
      <w:r>
        <w:t xml:space="preserve"> </w:t>
      </w:r>
      <w:r>
        <w:t xml:space="preserve">sigue disponible.</w:t>
      </w:r>
    </w:p>
    <w:p>
      <w:pPr>
        <w:pStyle w:val="Compact"/>
        <w:numPr>
          <w:ilvl w:val="0"/>
          <w:numId w:val="1008"/>
        </w:numPr>
      </w:pPr>
      <w:r>
        <w:t xml:space="preserve">Usa</w:t>
      </w:r>
      <w:r>
        <w:t xml:space="preserve"> </w:t>
      </w:r>
      <w:r>
        <w:rPr>
          <w:rStyle w:val="VerbatimChar"/>
        </w:rPr>
        <w:t xml:space="preserve">BIOSZEN::growth_parameters()</w:t>
      </w:r>
      <w:r>
        <w:t xml:space="preserve"> </w:t>
      </w:r>
      <w:r>
        <w:t xml:space="preserve">para obtener los mismos parámetros de crecimiento que la pestaña de crecimiento sin abrir la interfaz visual.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growth_parameters()</w:t>
      </w:r>
      <w:r>
        <w:t xml:space="preserve"> </w:t>
      </w:r>
      <w:r>
        <w:t xml:space="preserve">acepta data frames anchos/ordenados, uno o más archivos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</w:t>
      </w:r>
      <w:r>
        <w:t xml:space="preserve">/</w:t>
      </w:r>
      <w:r>
        <w:rPr>
          <w:rStyle w:val="VerbatimChar"/>
        </w:rPr>
        <w:t xml:space="preserve">.csv</w:t>
      </w:r>
      <w:r>
        <w:t xml:space="preserve">, o una carpeta. No escribe archivos salvo que se indique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Usa</w:t>
      </w:r>
      <w:r>
        <w:t xml:space="preserve"> </w:t>
      </w:r>
      <w:r>
        <w:rPr>
          <w:rStyle w:val="VerbatimChar"/>
        </w:rPr>
        <w:t xml:space="preserve">BIOSZEN::bioszen_update_available()</w:t>
      </w:r>
      <w:r>
        <w:t xml:space="preserve"> </w:t>
      </w:r>
      <w:r>
        <w:t xml:space="preserve">para revisar actualizaciones y</w:t>
      </w:r>
      <w:r>
        <w:t xml:space="preserve"> </w:t>
      </w:r>
      <w:r>
        <w:rPr>
          <w:rStyle w:val="VerbatimChar"/>
        </w:rPr>
        <w:t xml:space="preserve">BIOSZEN::bioszen_update()</w:t>
      </w:r>
      <w:r>
        <w:t xml:space="preserve"> </w:t>
      </w:r>
      <w:r>
        <w:t xml:space="preserve">para instalar una después de confirmarla y cerrar la app.</w:t>
      </w:r>
    </w:p>
    <w:p>
      <w:pPr>
        <w:pStyle w:val="Compact"/>
        <w:numPr>
          <w:ilvl w:val="0"/>
          <w:numId w:val="1008"/>
        </w:numPr>
      </w:pPr>
      <w:r>
        <w:t xml:space="preserve">Usa</w:t>
      </w:r>
      <w:r>
        <w:t xml:space="preserve"> </w:t>
      </w:r>
      <w:r>
        <w:rPr>
          <w:rStyle w:val="VerbatimChar"/>
        </w:rPr>
        <w:t xml:space="preserve">BIOSZEN::bioszen_citation()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citation("BIOSZEN")</w:t>
      </w:r>
      <w:r>
        <w:t xml:space="preserve"> </w:t>
      </w:r>
      <w:r>
        <w:t xml:space="preserve">para la cita oficial.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Configuración de gráficos y capas" title="" id="22" name="Picture"/>
            <a:graphic>
              <a:graphicData uri="http://schemas.openxmlformats.org/drawingml/2006/picture">
                <pic:pic>
                  <pic:nvPicPr>
                    <pic:cNvPr descr="manual_images/02_plot_setup_layer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26" w:name="X1091fe1583fe3857e5eb63f1db55c9abd452c2a"/>
    <w:p>
      <w:pPr>
        <w:pStyle w:val="Heading2"/>
      </w:pPr>
      <w:r>
        <w:t xml:space="preserve">3. Elegir un Modo de Entrada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Platemap + Curvas</w:t>
      </w:r>
      <w:r>
        <w:br/>
      </w:r>
      <w:r>
        <w:t xml:space="preserve">Ideal cuando: Necesitas el flujo más completo.</w:t>
      </w:r>
      <w:r>
        <w:br/>
      </w:r>
      <w:r>
        <w:t xml:space="preserve">Limitaciones principales: Requiere mapeo estricto de wells y estructura de hojas.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Parámetros agrupados</w:t>
      </w:r>
      <w:r>
        <w:br/>
      </w:r>
      <w:r>
        <w:t xml:space="preserve">Ideal cuando: Solo necesitas parámetros y estadística.</w:t>
      </w:r>
      <w:r>
        <w:br/>
      </w:r>
      <w:r>
        <w:t xml:space="preserve">Limitaciones principales: Curvas requiere hojas embebidas tipo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cargar un archivo aparte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Resumen (Media/SD/N)</w:t>
      </w:r>
      <w:r>
        <w:br/>
      </w:r>
      <w:r>
        <w:t xml:space="preserve">Ideal cuando: No dispones de réplicas crudas por fila.</w:t>
      </w:r>
      <w:r>
        <w:br/>
      </w:r>
      <w:r>
        <w:t xml:space="preserve">Limitaciones principales: Algunas rutas de normalidad/no paramétrica pueden limitarse.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Modo CSV</w:t>
      </w:r>
      <w:r>
        <w:br/>
      </w:r>
      <w:r>
        <w:t xml:space="preserve">Ideal cuando: Tienes datasets grandes y buscas IO más liviano.</w:t>
      </w:r>
      <w:r>
        <w:br/>
      </w:r>
      <w:r>
        <w:t xml:space="preserve">Limitaciones principales: Metadatos siguen en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.</w:t>
      </w:r>
    </w:p>
    <w:bookmarkEnd w:id="26"/>
    <w:bookmarkStart w:id="35" w:name="Xbe7d00576ea19b5f785210b268d589dfe016b9b"/>
    <w:p>
      <w:pPr>
        <w:pStyle w:val="Heading2"/>
      </w:pPr>
      <w:r>
        <w:t xml:space="preserve">4. Especificaciones de Entrada</w:t>
      </w:r>
    </w:p>
    <w:bookmarkStart w:id="27" w:name="Xf68407b5dd2b5ce153fdc68437af388089e5a16"/>
    <w:p>
      <w:pPr>
        <w:pStyle w:val="Heading3"/>
      </w:pPr>
      <w:r>
        <w:t xml:space="preserve">4.1 Workbook de platemap</w:t>
      </w:r>
    </w:p>
    <w:p>
      <w:pPr>
        <w:pStyle w:val="FirstParagraph"/>
      </w:pPr>
      <w:r>
        <w:t xml:space="preserve">Hojas requeridas: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Datos</w:t>
      </w:r>
      <w:r>
        <w:t xml:space="preserve">: metadata + parámetros.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PlotSettings</w:t>
      </w:r>
      <w:r>
        <w:t xml:space="preserve">: configuración de ejes por parámetro.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Well</w:t>
      </w:r>
      <w:r>
        <w:t xml:space="preserve">: ID de pocillo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B3</w:t>
      </w:r>
      <w:r>
        <w:t xml:space="preserve">, etc.), clave para vincular curvas.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Strain</w:t>
      </w:r>
      <w:r>
        <w:t xml:space="preserve">: cepa o grupo biológico.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Media</w:t>
      </w:r>
      <w:r>
        <w:t xml:space="preserve">: condición/tratamiento (</w:t>
      </w:r>
      <w:r>
        <w:rPr>
          <w:rStyle w:val="VerbatimChar"/>
        </w:rPr>
        <w:t xml:space="preserve">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 A</w:t>
      </w:r>
      <w:r>
        <w:t xml:space="preserve">, etc.).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BiologicalReplicate</w:t>
      </w:r>
      <w:r>
        <w:t xml:space="preserve">: ID de réplica biológica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 ...).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TechnicalReplicate</w:t>
      </w:r>
      <w:r>
        <w:t xml:space="preserve">: réplica técnica dentro de cada réplica biológica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Replicate</w:t>
      </w:r>
      <w:r>
        <w:t xml:space="preserve"> </w:t>
      </w:r>
      <w:r>
        <w:t xml:space="preserve">(compatibilidad): campo alternativo legado para réplica biológica.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Orden</w:t>
      </w:r>
      <w:r>
        <w:t xml:space="preserve">: entero para orden de visualización/exportación.</w:t>
      </w:r>
    </w:p>
    <w:p>
      <w:pPr>
        <w:pStyle w:val="Compact"/>
        <w:numPr>
          <w:ilvl w:val="0"/>
          <w:numId w:val="1011"/>
        </w:numPr>
      </w:pPr>
      <w:r>
        <w:t xml:space="preserve">Columnas de parámetros: una o más variables numéricas.</w:t>
      </w:r>
    </w:p>
    <w:p>
      <w:pPr>
        <w:pStyle w:val="FirstParagraph"/>
      </w:pPr>
      <w:r>
        <w:t xml:space="preserve">Regla práctica de consistencia: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Strain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BiologicalReplicate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TechnicalReplicate</w:t>
      </w:r>
      <w:r>
        <w:t xml:space="preserve"> </w:t>
      </w:r>
      <w:r>
        <w:t xml:space="preserve">debería identificar cada fila experimental de forma estable.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Parameter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Y_Max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Interval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Y_Title</w:t>
      </w:r>
    </w:p>
    <w:bookmarkEnd w:id="27"/>
    <w:bookmarkStart w:id="28" w:name="Xda61436f4146a35c9827245175b1f9ac9e008a5"/>
    <w:p>
      <w:pPr>
        <w:pStyle w:val="Heading3"/>
      </w:pPr>
      <w:r>
        <w:t xml:space="preserve">4.2 Archivo de curvas</w:t>
      </w:r>
    </w:p>
    <w:p>
      <w:pPr>
        <w:pStyle w:val="FirstParagraph"/>
      </w:pPr>
      <w:r>
        <w:t xml:space="preserve">Excel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Sheet1</w:t>
      </w:r>
      <w:r>
        <w:t xml:space="preserve">: 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...).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Sheet2</w:t>
      </w:r>
      <w:r>
        <w:t xml:space="preserve">: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Interval_X</w:t>
      </w:r>
      <w:r>
        <w:t xml:space="preserve">,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,</w:t>
      </w:r>
      <w:r>
        <w:t xml:space="preserve"> </w:t>
      </w:r>
      <w:r>
        <w:rPr>
          <w:rStyle w:val="VerbatimChar"/>
        </w:rPr>
        <w:t xml:space="preserve">X_Title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.</w:t>
      </w:r>
    </w:p>
    <w:p>
      <w:pPr>
        <w:pStyle w:val="FirstParagraph"/>
      </w:pPr>
      <w:r>
        <w:t xml:space="preserve">CSV (</w:t>
      </w:r>
      <w:r>
        <w:rPr>
          <w:rStyle w:val="VerbatimChar"/>
        </w:rPr>
        <w:t xml:space="preserve">.csv</w:t>
      </w:r>
      <w:r>
        <w:t xml:space="preserve">):</w:t>
      </w:r>
    </w:p>
    <w:p>
      <w:pPr>
        <w:pStyle w:val="Compact"/>
        <w:numPr>
          <w:ilvl w:val="0"/>
          <w:numId w:val="1015"/>
        </w:numPr>
      </w:pPr>
      <w:r>
        <w:t xml:space="preserve">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...).</w:t>
      </w:r>
    </w:p>
    <w:p>
      <w:pPr>
        <w:pStyle w:val="Compact"/>
        <w:numPr>
          <w:ilvl w:val="0"/>
          <w:numId w:val="1015"/>
        </w:numPr>
      </w:pPr>
      <w:r>
        <w:t xml:space="preserve">Configuración de ejes auto-generada: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X_Max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: máximos observados.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Interval_X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:</w:t>
      </w:r>
      <w:r>
        <w:t xml:space="preserve"> </w:t>
      </w:r>
      <w:r>
        <w:rPr>
          <w:rStyle w:val="VerbatimChar"/>
        </w:rPr>
        <w:t xml:space="preserve">max/4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X_Title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: vacíos por defecto.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Los errores de merge de curvas suelen deberse a inconsistencias entre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(platemap) y los encabezados de curvas.</w:t>
      </w:r>
    </w:p>
    <w:bookmarkEnd w:id="28"/>
    <w:bookmarkStart w:id="29" w:name="Xec42c79e34c9852a155b47685eb842e04ba89d4"/>
    <w:p>
      <w:pPr>
        <w:pStyle w:val="Heading3"/>
      </w:pPr>
      <w:r>
        <w:t xml:space="preserve">4.3 Modo parámetros agrupados</w:t>
      </w:r>
    </w:p>
    <w:p>
      <w:pPr>
        <w:pStyle w:val="Compact"/>
        <w:numPr>
          <w:ilvl w:val="0"/>
          <w:numId w:val="1017"/>
        </w:numPr>
      </w:pPr>
      <w:r>
        <w:t xml:space="preserve">Carga el archivo agrupado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Diseñado para gráficos/estadística de parámetros desde hojas agrupadas (por ejemplo</w:t>
      </w:r>
      <w:r>
        <w:t xml:space="preserve"> </w:t>
      </w:r>
      <w:r>
        <w:rPr>
          <w:rStyle w:val="VerbatimChar"/>
        </w:rPr>
        <w:t xml:space="preserve">Parametro_1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Parametro_2</w:t>
      </w:r>
      <w:r>
        <w:t xml:space="preserve">, ...).</w:t>
      </w:r>
    </w:p>
    <w:p>
      <w:pPr>
        <w:pStyle w:val="Compact"/>
        <w:numPr>
          <w:ilvl w:val="0"/>
          <w:numId w:val="1017"/>
        </w:numPr>
      </w:pPr>
      <w:r>
        <w:t xml:space="preserve">Soporta curvas embebidas opcionales mediante hojas de resumen de curvas en el mismo workbook.</w:t>
      </w:r>
    </w:p>
    <w:p>
      <w:pPr>
        <w:pStyle w:val="Compact"/>
        <w:numPr>
          <w:ilvl w:val="0"/>
          <w:numId w:val="1017"/>
        </w:numPr>
      </w:pPr>
      <w:r>
        <w:t xml:space="preserve">Mantén el flujo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para archivos agrupados (no subirlos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bookmarkEnd w:id="29"/>
    <w:bookmarkStart w:id="30" w:name="X1b4e6a2869c7556afb3c107fc030195f56a0483"/>
    <w:p>
      <w:pPr>
        <w:pStyle w:val="Heading3"/>
      </w:pPr>
      <w:r>
        <w:t xml:space="preserve">4.4 Modo resumen</w:t>
      </w:r>
    </w:p>
    <w:p>
      <w:pPr>
        <w:pStyle w:val="Compact"/>
        <w:numPr>
          <w:ilvl w:val="0"/>
          <w:numId w:val="1018"/>
        </w:numPr>
      </w:pPr>
      <w:r>
        <w:t xml:space="preserve">Carga el archivo 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BIOSZEN detecta resumen de parámetros con cualquiera de estos nombres de hoja: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Parameters_Summary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Parametros_Summary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Summary_Parameters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Resumen_Parametros</w:t>
      </w:r>
    </w:p>
    <w:p>
      <w:pPr>
        <w:pStyle w:val="Compact"/>
        <w:numPr>
          <w:ilvl w:val="0"/>
          <w:numId w:val="1018"/>
        </w:numPr>
      </w:pPr>
      <w:r>
        <w:t xml:space="preserve">BIOSZEN detecta resumen de curvas embebidas con cualquiera de estos nombres: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Curves_Summary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Curvas_Summary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Summary_Curves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Resumen_Curvas</w:t>
      </w:r>
    </w:p>
    <w:p>
      <w:pPr>
        <w:pStyle w:val="Compact"/>
        <w:numPr>
          <w:ilvl w:val="0"/>
          <w:numId w:val="1018"/>
        </w:numPr>
      </w:pPr>
      <w:r>
        <w:t xml:space="preserve">Útil cuando no existen réplicas crudas por fila.</w:t>
      </w:r>
    </w:p>
    <w:p>
      <w:pPr>
        <w:pStyle w:val="Compact"/>
        <w:numPr>
          <w:ilvl w:val="0"/>
          <w:numId w:val="1018"/>
        </w:numPr>
      </w:pPr>
      <w:r>
        <w:t xml:space="preserve">El gráfico de curvas requiere un archivo válido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o una hoja de resumen de curvas embebida.</w:t>
      </w:r>
    </w:p>
    <w:bookmarkEnd w:id="30"/>
    <w:bookmarkStart w:id="31" w:name="Xf16c6e1904251089dd353ddc2e40142df3f2d4c"/>
    <w:p>
      <w:pPr>
        <w:pStyle w:val="Heading3"/>
      </w:pPr>
      <w:r>
        <w:t xml:space="preserve">4.5 Modo CSV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Cargar datos</w:t>
      </w:r>
      <w:r>
        <w:t xml:space="preserve"> </w:t>
      </w:r>
      <w:r>
        <w:t xml:space="preserve">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y detecta delimitador automáticamente (</w:t>
      </w:r>
      <w:r>
        <w:rPr>
          <w:rStyle w:val="VerbatimChar"/>
        </w:rPr>
        <w:t xml:space="preserve">,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 tab,</w:t>
      </w:r>
      <w:r>
        <w:t xml:space="preserve"> </w:t>
      </w:r>
      <w:r>
        <w:rPr>
          <w:rStyle w:val="VerbatimChar"/>
        </w:rPr>
        <w:t xml:space="preserve">|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BIOSZEN intenta convertir perfiles no platemap a un formato compatible.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Cargar curvas</w:t>
      </w:r>
      <w:r>
        <w:t xml:space="preserve"> </w:t>
      </w:r>
      <w:r>
        <w:t xml:space="preserve">también 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</w:t>
      </w:r>
      <w:r>
        <w:t xml:space="preserve"> </w:t>
      </w:r>
      <w:r>
        <w:t xml:space="preserve">+ wells).</w:t>
      </w:r>
    </w:p>
    <w:bookmarkEnd w:id="31"/>
    <w:bookmarkStart w:id="34" w:name="X302fd3e56ed3f93c7d8b1e7892925566e0923a5"/>
    <w:p>
      <w:pPr>
        <w:pStyle w:val="Heading3"/>
      </w:pPr>
      <w:r>
        <w:t xml:space="preserve">4.6 Skill de IA opcional para preparar entradas</w:t>
      </w:r>
    </w:p>
    <w:p>
      <w:pPr>
        <w:pStyle w:val="FirstParagraph"/>
      </w:pPr>
      <w:r>
        <w:t xml:space="preserve">El repositorio fuente/GitHub incluye una skill opcional para agentes de IA en la</w:t>
      </w:r>
      <w:r>
        <w:t xml:space="preserve"> </w:t>
      </w:r>
      <w:hyperlink r:id="rId32">
        <w:r>
          <w:rPr>
            <w:rStyle w:val="Hyperlink"/>
          </w:rPr>
          <w:t xml:space="preserve">carpeta de GitHub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skills/bioszen-platemap-curves/</w:t>
        </w:r>
      </w:hyperlink>
      <w:r>
        <w:t xml:space="preserve">.</w:t>
      </w:r>
      <w:r>
        <w:t xml:space="preserve"> </w:t>
      </w:r>
      <w:r>
        <w:t xml:space="preserve">Para usarla, entrega ese URL de la carpeta de GitHub a la IA o agente</w:t>
      </w:r>
      <w:r>
        <w:t xml:space="preserve"> </w:t>
      </w:r>
      <w:r>
        <w:t xml:space="preserve">correspondiente para que lea o adquiera la skill. Si el agente necesita archivos</w:t>
      </w:r>
      <w:r>
        <w:t xml:space="preserve"> </w:t>
      </w:r>
      <w:r>
        <w:t xml:space="preserve">locales, descarga el ZIP del repositorio desde</w:t>
      </w:r>
      <w:r>
        <w:t xml:space="preserve"> </w:t>
      </w:r>
      <w:hyperlink r:id="rId33">
        <w:r>
          <w:rPr>
            <w:rStyle w:val="Hyperlink"/>
          </w:rPr>
          <w:t xml:space="preserve">https://github.com/bioszen/BIOSZEN/archive/refs/heads/main.zip</w:t>
        </w:r>
      </w:hyperlink>
      <w:r>
        <w:t xml:space="preserve"> </w:t>
      </w:r>
      <w:r>
        <w:t xml:space="preserve">y copia la</w:t>
      </w:r>
      <w:r>
        <w:t xml:space="preserve"> </w:t>
      </w:r>
      <w:r>
        <w:t xml:space="preserve">carpeta</w:t>
      </w:r>
      <w:r>
        <w:t xml:space="preserve"> </w:t>
      </w:r>
      <w:r>
        <w:rPr>
          <w:rStyle w:val="VerbatimChar"/>
        </w:rPr>
        <w:t xml:space="preserve">skills/bioszen-platemap-curves/</w:t>
      </w:r>
      <w:r>
        <w:t xml:space="preserve"> </w:t>
      </w:r>
      <w:r>
        <w:t xml:space="preserve">al sistema de skills de tu agente.</w:t>
      </w:r>
    </w:p>
    <w:p>
      <w:pPr>
        <w:pStyle w:val="BodyText"/>
      </w:pPr>
      <w:r>
        <w:t xml:space="preserve">Usa esta skill desde Codex, Claude, Antigravity u otras herramientas agénticas</w:t>
      </w:r>
      <w:r>
        <w:t xml:space="preserve"> </w:t>
      </w:r>
      <w:r>
        <w:t xml:space="preserve">similares cuando necesites generar un platemap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 </w:t>
      </w:r>
      <w:r>
        <w:t xml:space="preserve">desde</w:t>
      </w:r>
      <w:r>
        <w:t xml:space="preserve"> </w:t>
      </w:r>
      <w:r>
        <w:t xml:space="preserve">cualquier archivo legible con datos, corregir un platemap existente, reparar</w:t>
      </w:r>
      <w:r>
        <w:t xml:space="preserve"> </w:t>
      </w:r>
      <w:r>
        <w:t xml:space="preserve">errores de tipeo en nombres de parámetros entre columnas de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PlotSettings$Parameter</w:t>
      </w:r>
      <w:r>
        <w:t xml:space="preserve">, preparar un workbook de curvas separado, o validar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Datos$Well</w:t>
      </w:r>
      <w:r>
        <w:t xml:space="preserve"> </w:t>
      </w:r>
      <w:r>
        <w:t xml:space="preserve">coincida exactamente con los encabezados de curvas antes de</w:t>
      </w:r>
      <w:r>
        <w:t xml:space="preserve"> </w:t>
      </w:r>
      <w:r>
        <w:t xml:space="preserve">subir los archivos a BIOSZEN.</w:t>
      </w:r>
    </w:p>
    <w:p>
      <w:pPr>
        <w:pStyle w:val="BodyText"/>
      </w:pPr>
      <w:r>
        <w:t xml:space="preserve">La skill es un extra de documentación/herramientas. No modifica la app BIOSZEN</w:t>
      </w:r>
      <w:r>
        <w:t xml:space="preserve"> </w:t>
      </w:r>
      <w:r>
        <w:t xml:space="preserve">y no asume nombres fijos de parámetros, etiquetas fijas de experimento ni un</w:t>
      </w:r>
      <w:r>
        <w:t xml:space="preserve"> </w:t>
      </w:r>
      <w:r>
        <w:t xml:space="preserve">tipo específico de medición.</w:t>
      </w:r>
    </w:p>
    <w:bookmarkEnd w:id="34"/>
    <w:bookmarkEnd w:id="35"/>
    <w:bookmarkStart w:id="39" w:name="Xae12b15562da4a61da4abe7db29e767bcfa80b7"/>
    <w:p>
      <w:pPr>
        <w:pStyle w:val="Heading2"/>
      </w:pPr>
      <w:r>
        <w:t xml:space="preserve">5. Flujo Estándar</w:t>
      </w:r>
    </w:p>
    <w:p>
      <w:pPr>
        <w:pStyle w:val="Compact"/>
        <w:numPr>
          <w:ilvl w:val="0"/>
          <w:numId w:val="1022"/>
        </w:numPr>
      </w:pPr>
      <w:r>
        <w:t xml:space="preserve">Carga el archivo principal de datos.</w:t>
      </w:r>
    </w:p>
    <w:p>
      <w:pPr>
        <w:pStyle w:val="Compact"/>
        <w:numPr>
          <w:ilvl w:val="0"/>
          <w:numId w:val="1022"/>
        </w:numPr>
      </w:pPr>
      <w:r>
        <w:t xml:space="preserve">Opcionalmente carga/mergea curvas.</w:t>
      </w:r>
    </w:p>
    <w:p>
      <w:pPr>
        <w:pStyle w:val="Compact"/>
        <w:numPr>
          <w:ilvl w:val="0"/>
          <w:numId w:val="1022"/>
        </w:numPr>
      </w:pPr>
      <w:r>
        <w:t xml:space="preserve">Opcionalmente carga metadatos.</w:t>
      </w:r>
    </w:p>
    <w:p>
      <w:pPr>
        <w:pStyle w:val="Compact"/>
        <w:numPr>
          <w:ilvl w:val="0"/>
          <w:numId w:val="1022"/>
        </w:numPr>
      </w:pPr>
      <w:r>
        <w:t xml:space="preserve">Elige alcance (</w:t>
      </w:r>
      <w:r>
        <w:rPr>
          <w:rStyle w:val="VerbatimChar"/>
        </w:rPr>
        <w:t xml:space="preserve">Por cepa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Combinado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Elige tipo de gráfico.</w:t>
      </w:r>
    </w:p>
    <w:p>
      <w:pPr>
        <w:pStyle w:val="Compact"/>
        <w:numPr>
          <w:ilvl w:val="0"/>
          <w:numId w:val="1022"/>
        </w:numPr>
      </w:pPr>
      <w:r>
        <w:t xml:space="preserve">Aplica filtros y selección de réplicas.</w:t>
      </w:r>
    </w:p>
    <w:p>
      <w:pPr>
        <w:pStyle w:val="Compact"/>
        <w:numPr>
          <w:ilvl w:val="0"/>
          <w:numId w:val="1022"/>
        </w:numPr>
      </w:pPr>
      <w:r>
        <w:t xml:space="preserve">Opcionalmente normaliza por control.</w:t>
      </w:r>
    </w:p>
    <w:p>
      <w:pPr>
        <w:pStyle w:val="Compact"/>
        <w:numPr>
          <w:ilvl w:val="0"/>
          <w:numId w:val="1022"/>
        </w:numPr>
      </w:pPr>
      <w:r>
        <w:t xml:space="preserve">Ejecuta estadística.</w:t>
      </w:r>
    </w:p>
    <w:p>
      <w:pPr>
        <w:pStyle w:val="Compact"/>
        <w:numPr>
          <w:ilvl w:val="0"/>
          <w:numId w:val="1022"/>
        </w:numPr>
      </w:pPr>
      <w:r>
        <w:t xml:space="preserve">Agrega anotaciones de significancia.</w:t>
      </w:r>
    </w:p>
    <w:p>
      <w:pPr>
        <w:pStyle w:val="Compact"/>
        <w:numPr>
          <w:ilvl w:val="0"/>
          <w:numId w:val="1022"/>
        </w:numPr>
      </w:pPr>
      <w:r>
        <w:t xml:space="preserve">Exporta salidas.</w:t>
      </w:r>
    </w:p>
    <w:p>
      <w:pPr>
        <w:pStyle w:val="FirstParagraph"/>
      </w:pPr>
      <w:r>
        <w:drawing>
          <wp:inline>
            <wp:extent cx="5334000" cy="1320297"/>
            <wp:effectExtent b="0" l="0" r="0" t="0"/>
            <wp:docPr descr="Filtrado por media/condiciones" title="" id="37" name="Picture"/>
            <a:graphic>
              <a:graphicData uri="http://schemas.openxmlformats.org/drawingml/2006/picture">
                <pic:pic>
                  <pic:nvPicPr>
                    <pic:cNvPr descr="manual_images/03_filter_media_conditio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0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57" w:name="Xaf81bc0f9fdfe300180131f47955cd5d6f20688"/>
    <w:p>
      <w:pPr>
        <w:pStyle w:val="Heading2"/>
      </w:pPr>
      <w:r>
        <w:t xml:space="preserve">6. Tipos de Gráfico y Controles</w:t>
      </w:r>
    </w:p>
    <w:bookmarkStart w:id="40" w:name="caja"/>
    <w:p>
      <w:pPr>
        <w:pStyle w:val="Heading3"/>
      </w:pPr>
      <w:r>
        <w:t xml:space="preserve">Caja</w:t>
      </w:r>
    </w:p>
    <w:p>
      <w:pPr>
        <w:pStyle w:val="Compact"/>
        <w:numPr>
          <w:ilvl w:val="0"/>
          <w:numId w:val="1023"/>
        </w:numPr>
      </w:pPr>
      <w:r>
        <w:t xml:space="preserve">Ideal para distribución de réplicas crudas.</w:t>
      </w:r>
    </w:p>
    <w:p>
      <w:pPr>
        <w:pStyle w:val="Compact"/>
        <w:numPr>
          <w:ilvl w:val="0"/>
          <w:numId w:val="1023"/>
        </w:numPr>
      </w:pPr>
      <w:r>
        <w:t xml:space="preserve">Controles: jitter, ancho de caja, tamaño de punto.</w:t>
      </w:r>
    </w:p>
    <w:p>
      <w:pPr>
        <w:pStyle w:val="Compact"/>
        <w:numPr>
          <w:ilvl w:val="0"/>
          <w:numId w:val="1023"/>
        </w:numPr>
      </w:pPr>
      <w:r>
        <w:t xml:space="preserve">Soporta anotaciones manuales/automáticas.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Voltear orientación (horizontal)</w:t>
      </w:r>
      <w:r>
        <w:t xml:space="preserve"> </w:t>
      </w:r>
      <w:r>
        <w:t xml:space="preserve">mejora legibilidad con etiquetas largas.</w:t>
      </w:r>
    </w:p>
    <w:bookmarkEnd w:id="40"/>
    <w:bookmarkStart w:id="41" w:name="barras"/>
    <w:p>
      <w:pPr>
        <w:pStyle w:val="Heading3"/>
      </w:pPr>
      <w:r>
        <w:t xml:space="preserve">Barras</w:t>
      </w:r>
    </w:p>
    <w:p>
      <w:pPr>
        <w:pStyle w:val="Compact"/>
        <w:numPr>
          <w:ilvl w:val="0"/>
          <w:numId w:val="1024"/>
        </w:numPr>
      </w:pPr>
      <w:r>
        <w:t xml:space="preserve">Ideal para comparación resumida por grupo.</w:t>
      </w:r>
    </w:p>
    <w:p>
      <w:pPr>
        <w:pStyle w:val="Compact"/>
        <w:numPr>
          <w:ilvl w:val="0"/>
          <w:numId w:val="1024"/>
        </w:numPr>
      </w:pPr>
      <w:r>
        <w:t xml:space="preserve">Soporta barras de error y puntos crudos opcionales.</w:t>
      </w:r>
    </w:p>
    <w:p>
      <w:pPr>
        <w:pStyle w:val="Compact"/>
        <w:numPr>
          <w:ilvl w:val="0"/>
          <w:numId w:val="1024"/>
        </w:numPr>
      </w:pPr>
      <w:r>
        <w:t xml:space="preserve">Orientación horizontal disponible.</w:t>
      </w:r>
    </w:p>
    <w:bookmarkEnd w:id="41"/>
    <w:bookmarkStart w:id="42" w:name="violín"/>
    <w:p>
      <w:pPr>
        <w:pStyle w:val="Heading3"/>
      </w:pPr>
      <w:r>
        <w:t xml:space="preserve">Violín</w:t>
      </w:r>
    </w:p>
    <w:p>
      <w:pPr>
        <w:pStyle w:val="Compact"/>
        <w:numPr>
          <w:ilvl w:val="0"/>
          <w:numId w:val="1025"/>
        </w:numPr>
      </w:pPr>
      <w:r>
        <w:t xml:space="preserve">Ideal para forma de distribución + réplica superpuesta.</w:t>
      </w:r>
    </w:p>
    <w:p>
      <w:pPr>
        <w:pStyle w:val="Compact"/>
        <w:numPr>
          <w:ilvl w:val="0"/>
          <w:numId w:val="1025"/>
        </w:numPr>
      </w:pPr>
      <w:r>
        <w:t xml:space="preserve">Comparte flujo de anotaciones con Caja/Barras.</w:t>
      </w:r>
    </w:p>
    <w:p>
      <w:pPr>
        <w:pStyle w:val="Compact"/>
        <w:numPr>
          <w:ilvl w:val="0"/>
          <w:numId w:val="1025"/>
        </w:numPr>
      </w:pPr>
      <w:r>
        <w:t xml:space="preserve">Orientación horizontal disponible.</w:t>
      </w:r>
    </w:p>
    <w:bookmarkEnd w:id="42"/>
    <w:bookmarkStart w:id="43" w:name="apilado"/>
    <w:p>
      <w:pPr>
        <w:pStyle w:val="Heading3"/>
      </w:pPr>
      <w:r>
        <w:t xml:space="preserve">Apilado</w:t>
      </w:r>
    </w:p>
    <w:p>
      <w:pPr>
        <w:pStyle w:val="Compact"/>
        <w:numPr>
          <w:ilvl w:val="0"/>
          <w:numId w:val="1026"/>
        </w:numPr>
      </w:pPr>
      <w:r>
        <w:t xml:space="preserve">Selector y orden de parámetros.</w:t>
      </w:r>
    </w:p>
    <w:p>
      <w:pPr>
        <w:pStyle w:val="Compact"/>
        <w:numPr>
          <w:ilvl w:val="0"/>
          <w:numId w:val="1026"/>
        </w:numPr>
      </w:pPr>
      <w:r>
        <w:t xml:space="preserve">Configuración de barras de desviación y colores.</w:t>
      </w:r>
    </w:p>
    <w:p>
      <w:pPr>
        <w:pStyle w:val="Compact"/>
        <w:numPr>
          <w:ilvl w:val="0"/>
          <w:numId w:val="1026"/>
        </w:numPr>
      </w:pPr>
      <w:r>
        <w:t xml:space="preserve">La estadística y la significancia automática están disponibles por cada parámetro incluido. Las comparaciones se hacen dentro de cada parámetro, por ejemplo</w:t>
      </w:r>
      <w:r>
        <w:t xml:space="preserve"> </w:t>
      </w:r>
      <w:r>
        <w:rPr>
          <w:rStyle w:val="VerbatimChar"/>
        </w:rPr>
        <w:t xml:space="preserve">Parámetro A - Grupo 1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Parámetro A - Grupo 2</w:t>
      </w:r>
      <w:r>
        <w:t xml:space="preserve">, no contra otro segmento apilado.</w:t>
      </w:r>
    </w:p>
    <w:p>
      <w:pPr>
        <w:pStyle w:val="Compact"/>
        <w:numPr>
          <w:ilvl w:val="0"/>
          <w:numId w:val="1026"/>
        </w:numPr>
      </w:pPr>
      <w:r>
        <w:t xml:space="preserve">Las etiquetas de significancia se pueden agregar sobre el grupo objetivo seleccionado para el parámetro seleccionado; la tabla de resultados incluye una columna</w:t>
      </w:r>
      <w:r>
        <w:t xml:space="preserve"> </w:t>
      </w:r>
      <w:r>
        <w:rPr>
          <w:rStyle w:val="VerbatimChar"/>
        </w:rPr>
        <w:t xml:space="preserve">Parameter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Para gráficos apilados se recomiendan las anotaciones como etiquetas.</w:t>
      </w:r>
    </w:p>
    <w:p>
      <w:pPr>
        <w:pStyle w:val="Compact"/>
        <w:numPr>
          <w:ilvl w:val="0"/>
          <w:numId w:val="1026"/>
        </w:numPr>
      </w:pPr>
      <w:r>
        <w:t xml:space="preserve">Orientación horizontal disponible; al voltear el gráfico se conservan leyendas, estilos de texto, barras de error y etiquetas de significancia.</w:t>
      </w:r>
    </w:p>
    <w:bookmarkEnd w:id="43"/>
    <w:bookmarkStart w:id="44" w:name="correlación"/>
    <w:p>
      <w:pPr>
        <w:pStyle w:val="Heading3"/>
      </w:pPr>
      <w:r>
        <w:t xml:space="preserve">Correlación</w:t>
      </w:r>
    </w:p>
    <w:p>
      <w:pPr>
        <w:pStyle w:val="Compact"/>
        <w:numPr>
          <w:ilvl w:val="0"/>
          <w:numId w:val="1027"/>
        </w:numPr>
      </w:pPr>
      <w:r>
        <w:t xml:space="preserve">Selección de parámetros X/Y.</w:t>
      </w:r>
    </w:p>
    <w:p>
      <w:pPr>
        <w:pStyle w:val="Compact"/>
        <w:numPr>
          <w:ilvl w:val="0"/>
          <w:numId w:val="1027"/>
        </w:numPr>
      </w:pPr>
      <w:r>
        <w:t xml:space="preserve">Métodos: Pearson, Spearman, Kendall.</w:t>
      </w:r>
    </w:p>
    <w:p>
      <w:pPr>
        <w:pStyle w:val="Compact"/>
        <w:numPr>
          <w:ilvl w:val="0"/>
          <w:numId w:val="1027"/>
        </w:numPr>
      </w:pPr>
      <w:r>
        <w:t xml:space="preserve">Capas opcionales: recta,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R2</w:t>
      </w:r>
      <w:r>
        <w:t xml:space="preserve">, ecuación.</w:t>
      </w:r>
    </w:p>
    <w:p>
      <w:pPr>
        <w:pStyle w:val="Compact"/>
        <w:numPr>
          <w:ilvl w:val="0"/>
          <w:numId w:val="1027"/>
        </w:numPr>
      </w:pPr>
      <w:r>
        <w:t xml:space="preserve">Panel avanzado con cribado uno-contra-todos y exportación Excel.</w:t>
      </w:r>
    </w:p>
    <w:bookmarkEnd w:id="44"/>
    <w:bookmarkStart w:id="45" w:name="mapa-de-calor"/>
    <w:p>
      <w:pPr>
        <w:pStyle w:val="Heading3"/>
      </w:pPr>
      <w:r>
        <w:t xml:space="preserve">Mapa de calor</w:t>
      </w:r>
    </w:p>
    <w:p>
      <w:pPr>
        <w:pStyle w:val="Compact"/>
        <w:numPr>
          <w:ilvl w:val="0"/>
          <w:numId w:val="1028"/>
        </w:numPr>
      </w:pPr>
      <w:r>
        <w:t xml:space="preserve">Selección de subconjunto de parámetros.</w:t>
      </w:r>
    </w:p>
    <w:p>
      <w:pPr>
        <w:pStyle w:val="Compact"/>
        <w:numPr>
          <w:ilvl w:val="0"/>
          <w:numId w:val="1028"/>
        </w:numPr>
      </w:pPr>
      <w:r>
        <w:t xml:space="preserve">Escalado: ninguno, por fila o columna.</w:t>
      </w:r>
    </w:p>
    <w:p>
      <w:pPr>
        <w:pStyle w:val="Compact"/>
        <w:numPr>
          <w:ilvl w:val="0"/>
          <w:numId w:val="1028"/>
        </w:numPr>
      </w:pPr>
      <w:r>
        <w:t xml:space="preserve">Clustering/dendrogramas opcionales.</w:t>
      </w:r>
    </w:p>
    <w:p>
      <w:pPr>
        <w:pStyle w:val="Compact"/>
        <w:numPr>
          <w:ilvl w:val="0"/>
          <w:numId w:val="1028"/>
        </w:numPr>
      </w:pPr>
      <w:r>
        <w:t xml:space="preserve">Etiquetas de valor en celdas opcionales.</w:t>
      </w:r>
    </w:p>
    <w:bookmarkEnd w:id="45"/>
    <w:bookmarkStart w:id="46" w:name="matriz-de-correlación"/>
    <w:p>
      <w:pPr>
        <w:pStyle w:val="Heading3"/>
      </w:pPr>
      <w:r>
        <w:t xml:space="preserve">Matriz de correlación</w:t>
      </w:r>
    </w:p>
    <w:p>
      <w:pPr>
        <w:pStyle w:val="Compact"/>
        <w:numPr>
          <w:ilvl w:val="0"/>
          <w:numId w:val="1029"/>
        </w:numPr>
      </w:pPr>
      <w:r>
        <w:t xml:space="preserve">Selección múltiple de parámetros.</w:t>
      </w:r>
    </w:p>
    <w:p>
      <w:pPr>
        <w:pStyle w:val="Compact"/>
        <w:numPr>
          <w:ilvl w:val="0"/>
          <w:numId w:val="1029"/>
        </w:numPr>
      </w:pPr>
      <w:r>
        <w:t xml:space="preserve">Método de correlación + corrección de p-values.</w:t>
      </w:r>
    </w:p>
    <w:p>
      <w:pPr>
        <w:pStyle w:val="Compact"/>
        <w:numPr>
          <w:ilvl w:val="0"/>
          <w:numId w:val="1029"/>
        </w:numPr>
      </w:pPr>
      <w:r>
        <w:t xml:space="preserve">Opción de mostrar solo etiquetas significativas.</w:t>
      </w:r>
    </w:p>
    <w:bookmarkEnd w:id="46"/>
    <w:bookmarkStart w:id="47" w:name="curvas"/>
    <w:p>
      <w:pPr>
        <w:pStyle w:val="Heading3"/>
      </w:pPr>
      <w:r>
        <w:t xml:space="preserve">Curvas</w:t>
      </w:r>
    </w:p>
    <w:p>
      <w:pPr>
        <w:pStyle w:val="Compact"/>
        <w:numPr>
          <w:ilvl w:val="0"/>
          <w:numId w:val="1030"/>
        </w:numPr>
      </w:pPr>
      <w:r>
        <w:t xml:space="preserve">Configura ejes, etiquetas, grosor de línea y tamaño de puntos de curvas.</w:t>
      </w:r>
    </w:p>
    <w:p>
      <w:pPr>
        <w:pStyle w:val="Compact"/>
        <w:numPr>
          <w:ilvl w:val="0"/>
          <w:numId w:val="1030"/>
        </w:numPr>
      </w:pPr>
      <w:r>
        <w:t xml:space="preserve">Elige geometría de línea e intervalo de confianza.</w:t>
      </w:r>
    </w:p>
    <w:p>
      <w:pPr>
        <w:pStyle w:val="Compact"/>
        <w:numPr>
          <w:ilvl w:val="0"/>
          <w:numId w:val="1030"/>
        </w:numPr>
      </w:pPr>
      <w:r>
        <w:t xml:space="preserve">Opción de mostrar trayectorias crudas de réplicas.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Tamaño de puntos de curvas</w:t>
      </w:r>
      <w:r>
        <w:t xml:space="preserve"> </w:t>
      </w:r>
      <w:r>
        <w:t xml:space="preserve">controla los marcadores visibles cuando se selecciona la geometría de línea y puntos. Solo cambia el tamaño de los marcadores; no modifica los valores, la geometría de las líneas ni los resultados estadísticos.</w:t>
      </w:r>
    </w:p>
    <w:bookmarkEnd w:id="47"/>
    <w:bookmarkStart w:id="51" w:name="controles-compartidos-de-apariencia"/>
    <w:p>
      <w:pPr>
        <w:pStyle w:val="Heading3"/>
      </w:pPr>
      <w:r>
        <w:t xml:space="preserve">Controles compartidos de apariencia</w:t>
      </w:r>
    </w:p>
    <w:p>
      <w:pPr>
        <w:pStyle w:val="Compact"/>
        <w:numPr>
          <w:ilvl w:val="0"/>
          <w:numId w:val="1031"/>
        </w:numPr>
      </w:pPr>
      <w:r>
        <w:t xml:space="preserve">El selector</w:t>
      </w:r>
      <w:r>
        <w:t xml:space="preserve"> </w:t>
      </w:r>
      <w:r>
        <w:rPr>
          <w:b/>
          <w:bCs/>
        </w:rPr>
        <w:t xml:space="preserve">Estadístico de barras de error</w:t>
      </w:r>
      <w:r>
        <w:t xml:space="preserve"> </w:t>
      </w:r>
      <w:r>
        <w:t xml:space="preserve">controla las barras de desviación cuando están disponibles: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SD</w:t>
      </w:r>
      <w:r>
        <w:t xml:space="preserve">/</w:t>
      </w:r>
      <w:r>
        <w:rPr>
          <w:rStyle w:val="VerbatimChar"/>
        </w:rPr>
        <w:t xml:space="preserve">DE</w:t>
      </w:r>
      <w:r>
        <w:t xml:space="preserve">: media +/- desviación estándar.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SEM</w:t>
      </w:r>
      <w:r>
        <w:t xml:space="preserve">: media +/- error estándar.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Min-Max</w:t>
      </w:r>
      <w:r>
        <w:t xml:space="preserve">: mínimo observado a máximo observado; disponible solo en Caja.</w:t>
      </w:r>
    </w:p>
    <w:p>
      <w:pPr>
        <w:pStyle w:val="Compact"/>
        <w:numPr>
          <w:ilvl w:val="0"/>
          <w:numId w:val="1031"/>
        </w:numPr>
      </w:pPr>
      <w:r>
        <w:t xml:space="preserve">La sección desplegable</w:t>
      </w:r>
      <w:r>
        <w:t xml:space="preserve"> </w:t>
      </w:r>
      <w:r>
        <w:rPr>
          <w:b/>
          <w:bCs/>
        </w:rPr>
        <w:t xml:space="preserve">Estilo de texto</w:t>
      </w:r>
      <w:r>
        <w:t xml:space="preserve"> </w:t>
      </w:r>
      <w:r>
        <w:t xml:space="preserve">está disponible para gráficos individuales.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Familia tipográfica</w:t>
      </w:r>
      <w:r>
        <w:t xml:space="preserve"> </w:t>
      </w:r>
      <w:r>
        <w:t xml:space="preserve">se aplica a todo el texto del gráfico actual. Las opciones incluyen fuentes comunes de publicación y sistema como Helvetica, Arial, Calibri, Cambria, Segoe UI, Times New Roman, Georgia, Verdana y variantes relacionadas.</w:t>
      </w:r>
    </w:p>
    <w:p>
      <w:pPr>
        <w:pStyle w:val="Compact"/>
        <w:numPr>
          <w:ilvl w:val="0"/>
          <w:numId w:val="1031"/>
        </w:numPr>
      </w:pPr>
      <w:r>
        <w:t xml:space="preserve">Negrita, cursiva y subrayado se aplican de forma independiente por tipo de texto: título del gráfico, títulos de ejes, etiquetas de ticks de ejes, leyenda, etiquetas de datos y texto de significancia.</w:t>
      </w:r>
    </w:p>
    <w:p>
      <w:pPr>
        <w:pStyle w:val="Compact"/>
        <w:numPr>
          <w:ilvl w:val="0"/>
          <w:numId w:val="1031"/>
        </w:numPr>
      </w:pPr>
      <w:r>
        <w:t xml:space="preserve">El estilo de títulos de eje se aplica tanto al título del eje X como al del eje Y cuando esos títulos están visibles. El estilo de etiquetas de ticks se aplica a las etiquetas mostradas en los ejes, sean números o categorías.</w:t>
      </w:r>
    </w:p>
    <w:p>
      <w:pPr>
        <w:pStyle w:val="Compact"/>
        <w:numPr>
          <w:ilvl w:val="0"/>
          <w:numId w:val="1031"/>
        </w:numPr>
      </w:pPr>
      <w:r>
        <w:t xml:space="preserve">Los controles de leyenda incluyen si se muestra a la derecha cuando corresponde, además del tamaño y estilo del texto de la leyenda (normal, negrita, cursiva y/o subrayado).</w:t>
      </w:r>
    </w:p>
    <w:p>
      <w:pPr>
        <w:pStyle w:val="Compact"/>
        <w:numPr>
          <w:ilvl w:val="0"/>
          <w:numId w:val="1031"/>
        </w:numPr>
      </w:pPr>
      <w:r>
        <w:t xml:space="preserve">Cada tipo de texto puede tener su propia combinación de estilos; subrayar significancia, por ejemplo, no obliga a subrayar el título ni la leyenda.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Voltear orientación (horizontal)</w:t>
      </w:r>
      <w:r>
        <w:t xml:space="preserve">, cuando está disponible, solo cambia la orientación visual. Conserva los mismos valores graficados, leyendas, familia tipográfica, ajustes de negrita/cursiva/subrayado, barras de error y anotaciones de significancia.</w:t>
      </w:r>
    </w:p>
    <w:p>
      <w:pPr>
        <w:pStyle w:val="Compact"/>
        <w:numPr>
          <w:ilvl w:val="0"/>
          <w:numId w:val="1031"/>
        </w:numPr>
      </w:pPr>
      <w:r>
        <w:t xml:space="preserve">Estos ajustes se aplican a la previsualización y se incluyen al exportar</w:t>
      </w:r>
      <w:r>
        <w:t xml:space="preserve"> </w:t>
      </w:r>
      <w:r>
        <w:rPr>
          <w:rStyle w:val="VerbatimChar"/>
        </w:rPr>
        <w:t xml:space="preserve">PNG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PDF</w:t>
      </w:r>
      <w:r>
        <w:t xml:space="preserve">.</w:t>
      </w:r>
    </w:p>
    <w:p>
      <w:pPr>
        <w:pStyle w:val="FirstParagraph"/>
      </w:pPr>
      <w:r>
        <w:drawing>
          <wp:inline>
            <wp:extent cx="3185962" cy="5014762"/>
            <wp:effectExtent b="0" l="0" r="0" t="0"/>
            <wp:docPr descr="Controles de estilo de texto" title="" id="49" name="Picture"/>
            <a:graphic>
              <a:graphicData uri="http://schemas.openxmlformats.org/drawingml/2006/picture">
                <pic:pic>
                  <pic:nvPicPr>
                    <pic:cNvPr descr="manual_images/11_text_styling_control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962" cy="501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panel-de-composición"/>
    <w:p>
      <w:pPr>
        <w:pStyle w:val="Heading3"/>
      </w:pPr>
      <w:r>
        <w:t xml:space="preserve">Panel de Composición</w:t>
      </w:r>
    </w:p>
    <w:p>
      <w:pPr>
        <w:pStyle w:val="FirstParagraph"/>
      </w:pPr>
      <w:r>
        <w:t xml:space="preserve">Flujo recomendado:</w:t>
      </w:r>
    </w:p>
    <w:p>
      <w:pPr>
        <w:pStyle w:val="Compact"/>
        <w:numPr>
          <w:ilvl w:val="0"/>
          <w:numId w:val="1033"/>
        </w:numPr>
      </w:pPr>
      <w:r>
        <w:t xml:space="preserve">Crear y editar cada gráfico de origen y luego usar</w:t>
      </w:r>
      <w:r>
        <w:t xml:space="preserve"> </w:t>
      </w:r>
      <w:r>
        <w:rPr>
          <w:b/>
          <w:bCs/>
        </w:rPr>
        <w:t xml:space="preserve">Añadir al panel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Abrir</w:t>
      </w:r>
      <w:r>
        <w:t xml:space="preserve"> </w:t>
      </w:r>
      <w:r>
        <w:rPr>
          <w:b/>
          <w:bCs/>
        </w:rPr>
        <w:t xml:space="preserve">Panel de Composición</w:t>
      </w:r>
      <w:r>
        <w:t xml:space="preserve"> </w:t>
      </w:r>
      <w:r>
        <w:t xml:space="preserve">y usar el selector para incluir, excluir y ordenar gráficos. Deseleccionar un gráfico lo quita de la composición activa sin borrar el gráfico de origen.</w:t>
      </w:r>
    </w:p>
    <w:p>
      <w:pPr>
        <w:pStyle w:val="Compact"/>
        <w:numPr>
          <w:ilvl w:val="0"/>
          <w:numId w:val="1033"/>
        </w:numPr>
      </w:pPr>
      <w:r>
        <w:t xml:space="preserve">Definir filas y columnas. Para distribuciones no rectangulares o celdas repetidas, ingresar la malla; los anchos de columna y altos de fila controlan el tamaño y la posición relativos.</w:t>
      </w:r>
    </w:p>
    <w:p>
      <w:pPr>
        <w:pStyle w:val="Compact"/>
        <w:numPr>
          <w:ilvl w:val="0"/>
          <w:numId w:val="1033"/>
        </w:numPr>
      </w:pPr>
      <w:r>
        <w:t xml:space="preserve">Definir ancho y alto de la composición en píxeles. Estos valores determinan el lienzo de previsualización y su proporción; son independientes de los DPI de exportación y del tamaño de diapositiva de PowerPoint.</w:t>
      </w:r>
    </w:p>
    <w:p>
      <w:pPr>
        <w:pStyle w:val="Compact"/>
        <w:numPr>
          <w:ilvl w:val="0"/>
          <w:numId w:val="1033"/>
        </w:numPr>
      </w:pPr>
      <w:r>
        <w:t xml:space="preserve">Configurar estilo, leyendas compartidas, tipografía, paleta, texto enriquecido y ajustes opcionales por gráfico.</w:t>
      </w:r>
      <w:r>
        <w:t xml:space="preserve"> </w:t>
      </w:r>
      <w:r>
        <w:rPr>
          <w:b/>
          <w:bCs/>
        </w:rPr>
        <w:t xml:space="preserve">Aplicar la tipografía de la composición a todos los gráficos</w:t>
      </w:r>
      <w:r>
        <w:t xml:space="preserve"> </w:t>
      </w:r>
      <w:r>
        <w:t xml:space="preserve">modifica tamaños de etiquetas de ticks, ángulos y alineación X/Y, familia tipográfica y estilos de texto en todos los gráficos incluidos sin cambiar la geometría de los datos.</w:t>
      </w:r>
    </w:p>
    <w:p>
      <w:pPr>
        <w:pStyle w:val="Compact"/>
        <w:numPr>
          <w:ilvl w:val="0"/>
          <w:numId w:val="1033"/>
        </w:numPr>
      </w:pPr>
      <w:r>
        <w:t xml:space="preserve">Configurar el formato de diapositiva (</w:t>
      </w:r>
      <w:r>
        <w:rPr>
          <w:rStyle w:val="VerbatimChar"/>
        </w:rPr>
        <w:t xml:space="preserve">4:3</w:t>
      </w:r>
      <w:r>
        <w:t xml:space="preserve">,</w:t>
      </w:r>
      <w:r>
        <w:t xml:space="preserve"> </w:t>
      </w:r>
      <w:r>
        <w:rPr>
          <w:rStyle w:val="VerbatimChar"/>
        </w:rPr>
        <w:t xml:space="preserve">16:9</w:t>
      </w:r>
      <w:r>
        <w:t xml:space="preserve"> </w:t>
      </w:r>
      <w:r>
        <w:t xml:space="preserve">o personalizado), ancho, alto, orientación y margen de borde.</w:t>
      </w:r>
    </w:p>
    <w:p>
      <w:pPr>
        <w:pStyle w:val="Compact"/>
        <w:numPr>
          <w:ilvl w:val="0"/>
          <w:numId w:val="1033"/>
        </w:numPr>
      </w:pPr>
      <w:r>
        <w:t xml:space="preserve">Revisar la previsualización y exportar</w:t>
      </w:r>
      <w:r>
        <w:t xml:space="preserve"> 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o el metadata de composición.</w:t>
      </w:r>
    </w:p>
    <w:bookmarkStart w:id="55" w:name="dpi-y-dimensiones-físicas"/>
    <w:p>
      <w:pPr>
        <w:pStyle w:val="Heading4"/>
      </w:pPr>
      <w:r>
        <w:t xml:space="preserve">DPI y dimensiones físicas</w:t>
      </w:r>
    </w:p>
    <w:p>
      <w:pPr>
        <w:pStyle w:val="Compact"/>
        <w:numPr>
          <w:ilvl w:val="0"/>
          <w:numId w:val="1034"/>
        </w:numPr>
      </w:pPr>
      <w:r>
        <w:t xml:space="preserve">La resolución de exportación predeterminada es</w:t>
      </w:r>
      <w:r>
        <w:t xml:space="preserve"> </w:t>
      </w:r>
      <w:r>
        <w:rPr>
          <w:b/>
          <w:bCs/>
        </w:rPr>
        <w:t xml:space="preserve">300 DPI</w:t>
      </w:r>
      <w:r>
        <w:t xml:space="preserve">. El rango compatible es</w:t>
      </w:r>
      <w:r>
        <w:t xml:space="preserve"> </w:t>
      </w:r>
      <w:r>
        <w:rPr>
          <w:b/>
          <w:bCs/>
        </w:rPr>
        <w:t xml:space="preserve">72 a 600 DPI</w:t>
      </w:r>
      <w:r>
        <w:t xml:space="preserve"> </w:t>
      </w:r>
      <w:r>
        <w:t xml:space="preserve">y el valor sigue siendo editable.</w:t>
      </w:r>
    </w:p>
    <w:p>
      <w:pPr>
        <w:pStyle w:val="Compact"/>
        <w:numPr>
          <w:ilvl w:val="0"/>
          <w:numId w:val="1034"/>
        </w:numPr>
      </w:pPr>
      <w:r>
        <w:t xml:space="preserve">Los DPI se aplican a salidas raster, incluyendo</w:t>
      </w:r>
      <w:r>
        <w:t xml:space="preserve"> </w:t>
      </w:r>
      <w:r>
        <w:rPr>
          <w:rStyle w:val="VerbatimChar"/>
        </w:rPr>
        <w:t xml:space="preserve">PNG</w:t>
      </w:r>
      <w:r>
        <w:t xml:space="preserve">, imagen raster copiada al portapapeles y el respaldo raster que se usa solo cuando no está disponible la representación vectorial editable de PowerPoint.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PDF</w:t>
      </w:r>
      <w:r>
        <w:t xml:space="preserve"> </w:t>
      </w:r>
      <w:r>
        <w:t xml:space="preserve">y la ruta normal editable de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son vectoriales, por lo que los DPI no modifican sus elementos vectoriales. El DPI seleccionado igualmente se guarda en el metadata para reproducibilidad y para cualquier respaldo raster.</w:t>
      </w:r>
    </w:p>
    <w:p>
      <w:pPr>
        <w:pStyle w:val="Compact"/>
        <w:numPr>
          <w:ilvl w:val="0"/>
          <w:numId w:val="1034"/>
        </w:numPr>
      </w:pPr>
      <w:r>
        <w:t xml:space="preserve">La previsualización del navegador utiliza densidad de píxeles de pantalla/CSS. Cambiar los DPI de exportación no redimensiona ni reposiciona la previsualización.</w:t>
      </w:r>
    </w:p>
    <w:p>
      <w:pPr>
        <w:pStyle w:val="Compact"/>
        <w:numPr>
          <w:ilvl w:val="0"/>
          <w:numId w:val="1034"/>
        </w:numPr>
      </w:pPr>
      <w:r>
        <w:t xml:space="preserve">Aumentar los DPI incrementa la cantidad de píxeles, el tiempo de renderizado, el uso de memoria y el tamaño del archivo. No cambia el ancho/alto de la composición, las proporciones, las posiciones del layout ni las dimensiones de la diapositiva.</w:t>
      </w:r>
    </w:p>
    <w:p>
      <w:pPr>
        <w:pStyle w:val="Compact"/>
        <w:numPr>
          <w:ilvl w:val="0"/>
          <w:numId w:val="1034"/>
        </w:numPr>
      </w:pPr>
      <w:r>
        <w:t xml:space="preserve">El ancho/alto de composición controlan el lienzo lógico. El ancho/alto de PowerPoint controlan la diapositiva física. Los DPI controlan la calidad de muestreo raster. Son ajustes independientes.</w:t>
      </w:r>
    </w:p>
    <w:p>
      <w:pPr>
        <w:pStyle w:val="Compact"/>
        <w:numPr>
          <w:ilvl w:val="0"/>
          <w:numId w:val="1034"/>
        </w:numPr>
      </w:pPr>
      <w:r>
        <w:t xml:space="preserve">El metadata guarda el DPI efectivo y lo restaura al cargarlo. El metadata antiguo sin campo DPI usa 300 DPI. Valores ausentes, no numéricos, cero, negativos o fuera de rango vuelven de forma segura a 300 DPI; los demás campos válidos igualmente se restauran.</w:t>
      </w:r>
    </w:p>
    <w:p>
      <w:pPr>
        <w:pStyle w:val="FirstParagraph"/>
      </w:pPr>
      <w:r>
        <w:t xml:space="preserve">Los controles de estilo de la composición se aplican en paralelo a todos los gráficos seleccionados. La sección</w:t>
      </w:r>
      <w:r>
        <w:t xml:space="preserve"> </w:t>
      </w:r>
      <w:r>
        <w:rPr>
          <w:b/>
          <w:bCs/>
        </w:rPr>
        <w:t xml:space="preserve">Estilo de texto</w:t>
      </w:r>
      <w:r>
        <w:t xml:space="preserve"> </w:t>
      </w:r>
      <w:r>
        <w:t xml:space="preserve">de composición replica los controles de gráficos individuales: la familia tipográfica se aplica a todo el texto de todos los gráficos, mientras que negrita/cursiva/subrayado se seleccionan por separado para títulos, ejes, leyendas, etiquetas de datos y texto de significancia. El metadata de composición también conserva layout, dimensiones, ajustes de diapositiva, DPI, tipografía, configuración de leyendas, paleta, texto enriquecido y ajustes por gráfico.</w:t>
      </w:r>
    </w:p>
    <w:p>
      <w:pPr>
        <w:pStyle w:val="BodyText"/>
      </w:pPr>
      <w:r>
        <w:t xml:space="preserve">La exportación a PowerPoint siempre crea una diapositiva y ajusta proporcionalmente el layout de la previsualización dentro de los márgenes seleccionados. Si la diapositiva es demasiado pequeña, BIOSZEN reduce proporcionalmente la composición y avisa al usuario en lugar de superponer o cortar gráficos. Los layouts muy densos, etiquetas largas, fuentes grandes y diapositivas verticales pequeñas pueden requerir una diapositiva mayor, menos gráficos, etiquetas más breves o márgenes más amplios. La tipografía puede diferir levemente entre la previsualización y PowerPoint porque el navegador y PowerPoint usan métricas distintas; BIOSZEN aplica un margen proporcional de seguridad al reducir el layout.</w:t>
      </w:r>
    </w:p>
    <w:p>
      <w:pPr>
        <w:pStyle w:val="BodyText"/>
      </w:pPr>
      <w:r>
        <w:drawing>
          <wp:inline>
            <wp:extent cx="5334000" cy="2115879"/>
            <wp:effectExtent b="0" l="0" r="0" t="0"/>
            <wp:docPr descr="Configuración de significancia y anotaciones" title="" id="53" name="Picture"/>
            <a:graphic>
              <a:graphicData uri="http://schemas.openxmlformats.org/drawingml/2006/picture">
                <pic:pic>
                  <pic:nvPicPr>
                    <pic:cNvPr descr="manual_images/10_significance_annotat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End w:id="56"/>
    <w:bookmarkEnd w:id="57"/>
    <w:bookmarkStart w:id="58" w:name="X784a3f1f5904a93f9634a04c4f667f10394c63c"/>
    <w:p>
      <w:pPr>
        <w:pStyle w:val="Heading2"/>
      </w:pPr>
      <w:r>
        <w:t xml:space="preserve">7. Normalización</w:t>
      </w:r>
    </w:p>
    <w:p>
      <w:pPr>
        <w:pStyle w:val="FirstParagraph"/>
      </w:pPr>
      <w:r>
        <w:t xml:space="preserve">Activa</w:t>
      </w:r>
      <w:r>
        <w:t xml:space="preserve"> </w:t>
      </w:r>
      <w:r>
        <w:rPr>
          <w:b/>
          <w:bCs/>
        </w:rPr>
        <w:t xml:space="preserve">Normalizar por control</w:t>
      </w:r>
      <w:r>
        <w:t xml:space="preserve"> </w:t>
      </w:r>
      <w:r>
        <w:t xml:space="preserve">y selecciona un medio control.</w:t>
      </w:r>
    </w:p>
    <w:p>
      <w:pPr>
        <w:pStyle w:val="Compact"/>
        <w:numPr>
          <w:ilvl w:val="0"/>
          <w:numId w:val="1035"/>
        </w:numPr>
      </w:pPr>
      <w:r>
        <w:t xml:space="preserve">BIOSZEN crea columnas con sufijo</w:t>
      </w:r>
      <w:r>
        <w:t xml:space="preserve"> </w:t>
      </w:r>
      <w:r>
        <w:rPr>
          <w:rStyle w:val="VerbatimChar"/>
        </w:rPr>
        <w:t xml:space="preserve">_Norm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Correlación permite normalizar por eje (</w:t>
      </w:r>
      <w:r>
        <w:rPr>
          <w:rStyle w:val="VerbatimChar"/>
        </w:rPr>
        <w:t xml:space="preserve">ambos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X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Y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Si no hay emparejamiento estricto, se aplica lógica de respaldo.</w:t>
      </w:r>
    </w:p>
    <w:bookmarkEnd w:id="58"/>
    <w:bookmarkStart w:id="60" w:name="X08b670b6b7f9a75f2188e36fdc7de5816db16f1"/>
    <w:p>
      <w:pPr>
        <w:pStyle w:val="Heading2"/>
      </w:pPr>
      <w:r>
        <w:t xml:space="preserve">8. Estadística</w:t>
      </w:r>
    </w:p>
    <w:bookmarkStart w:id="59" w:name="herramientas-estadísticas-principales"/>
    <w:p>
      <w:pPr>
        <w:pStyle w:val="Heading3"/>
      </w:pPr>
      <w:r>
        <w:t xml:space="preserve">Herramientas estadísticas principales</w:t>
      </w:r>
    </w:p>
    <w:p>
      <w:pPr>
        <w:pStyle w:val="Compact"/>
        <w:numPr>
          <w:ilvl w:val="0"/>
          <w:numId w:val="1036"/>
        </w:numPr>
      </w:pPr>
      <w:r>
        <w:t xml:space="preserve">Shapiro-Wilk:</w:t>
      </w:r>
      <w:r>
        <w:t xml:space="preserve"> </w:t>
      </w:r>
      <w:r>
        <w:rPr>
          <w:rStyle w:val="VerbatimChar"/>
        </w:rPr>
        <w:t xml:space="preserve">stats::shapiro.test</w:t>
      </w:r>
    </w:p>
    <w:p>
      <w:pPr>
        <w:pStyle w:val="Compact"/>
        <w:numPr>
          <w:ilvl w:val="0"/>
          <w:numId w:val="1036"/>
        </w:numPr>
      </w:pPr>
      <w:r>
        <w:t xml:space="preserve">Kolmogorov-Smirnov:</w:t>
      </w:r>
      <w:r>
        <w:t xml:space="preserve"> </w:t>
      </w:r>
      <w:r>
        <w:rPr>
          <w:rStyle w:val="VerbatimChar"/>
        </w:rPr>
        <w:t xml:space="preserve">stats::ks.test</w:t>
      </w:r>
    </w:p>
    <w:p>
      <w:pPr>
        <w:pStyle w:val="Compact"/>
        <w:numPr>
          <w:ilvl w:val="0"/>
          <w:numId w:val="1036"/>
        </w:numPr>
      </w:pPr>
      <w:r>
        <w:t xml:space="preserve">Anderson-Darling:</w:t>
      </w:r>
      <w:r>
        <w:t xml:space="preserve"> </w:t>
      </w:r>
      <w:r>
        <w:rPr>
          <w:rStyle w:val="VerbatimChar"/>
        </w:rPr>
        <w:t xml:space="preserve">nortest::ad.test</w:t>
      </w:r>
    </w:p>
    <w:p>
      <w:pPr>
        <w:pStyle w:val="Compact"/>
        <w:numPr>
          <w:ilvl w:val="0"/>
          <w:numId w:val="1036"/>
        </w:numPr>
      </w:pPr>
      <w:r>
        <w:t xml:space="preserve">ANOVA:</w:t>
      </w:r>
      <w:r>
        <w:t xml:space="preserve"> </w:t>
      </w:r>
      <w:r>
        <w:rPr>
          <w:rStyle w:val="VerbatimChar"/>
        </w:rPr>
        <w:t xml:space="preserve">stats::aov</w:t>
      </w:r>
    </w:p>
    <w:p>
      <w:pPr>
        <w:pStyle w:val="Compact"/>
        <w:numPr>
          <w:ilvl w:val="0"/>
          <w:numId w:val="1036"/>
        </w:numPr>
      </w:pPr>
      <w:r>
        <w:t xml:space="preserve">Kruskal-Wallis:</w:t>
      </w:r>
      <w:r>
        <w:t xml:space="preserve"> </w:t>
      </w:r>
      <w:r>
        <w:rPr>
          <w:rStyle w:val="VerbatimChar"/>
        </w:rPr>
        <w:t xml:space="preserve">stats::kruskal.test</w:t>
      </w:r>
    </w:p>
    <w:p>
      <w:pPr>
        <w:pStyle w:val="Compact"/>
        <w:numPr>
          <w:ilvl w:val="0"/>
          <w:numId w:val="1036"/>
        </w:numPr>
      </w:pPr>
      <w:r>
        <w:t xml:space="preserve">Rutas t-test:</w:t>
      </w:r>
      <w:r>
        <w:t xml:space="preserve"> </w:t>
      </w:r>
      <w:r>
        <w:rPr>
          <w:rStyle w:val="VerbatimChar"/>
        </w:rPr>
        <w:t xml:space="preserve">rstatix::t_test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rstatix::pairwise_t_test</w:t>
      </w:r>
    </w:p>
    <w:p>
      <w:pPr>
        <w:pStyle w:val="Compact"/>
        <w:numPr>
          <w:ilvl w:val="0"/>
          <w:numId w:val="1036"/>
        </w:numPr>
      </w:pPr>
      <w:r>
        <w:t xml:space="preserve">Rutas Wilcoxon:</w:t>
      </w:r>
      <w:r>
        <w:t xml:space="preserve"> </w:t>
      </w:r>
      <w:r>
        <w:rPr>
          <w:rStyle w:val="VerbatimChar"/>
        </w:rPr>
        <w:t xml:space="preserve">rstatix::wilcox_test</w:t>
      </w:r>
    </w:p>
    <w:p>
      <w:pPr>
        <w:pStyle w:val="Compact"/>
        <w:numPr>
          <w:ilvl w:val="0"/>
          <w:numId w:val="1036"/>
        </w:numPr>
      </w:pPr>
      <w:r>
        <w:t xml:space="preserve">Corrección múltiple:</w:t>
      </w:r>
      <w:r>
        <w:t xml:space="preserve"> </w:t>
      </w:r>
      <w:r>
        <w:rPr>
          <w:rStyle w:val="VerbatimChar"/>
        </w:rPr>
        <w:t xml:space="preserve">stats::p.adjust</w:t>
      </w:r>
    </w:p>
    <w:p>
      <w:pPr>
        <w:pStyle w:val="FirstParagraph"/>
      </w:pPr>
      <w:r>
        <w:t xml:space="preserve">Rutas post hoc por selección:</w:t>
      </w:r>
    </w:p>
    <w:p>
      <w:pPr>
        <w:pStyle w:val="Compact"/>
        <w:numPr>
          <w:ilvl w:val="0"/>
          <w:numId w:val="1037"/>
        </w:numPr>
      </w:pPr>
      <w:r>
        <w:t xml:space="preserve">Tukey / Games-Howell:</w:t>
      </w:r>
      <w:r>
        <w:t xml:space="preserve"> </w:t>
      </w:r>
      <w:r>
        <w:rPr>
          <w:rStyle w:val="VerbatimChar"/>
        </w:rPr>
        <w:t xml:space="preserve">rstatix</w:t>
      </w:r>
    </w:p>
    <w:p>
      <w:pPr>
        <w:pStyle w:val="Compact"/>
        <w:numPr>
          <w:ilvl w:val="0"/>
          <w:numId w:val="1037"/>
        </w:numPr>
      </w:pPr>
      <w:r>
        <w:t xml:space="preserve">Dunn:</w:t>
      </w:r>
      <w:r>
        <w:t xml:space="preserve"> </w:t>
      </w:r>
      <w:r>
        <w:rPr>
          <w:rStyle w:val="VerbatimChar"/>
        </w:rPr>
        <w:t xml:space="preserve">rstatix::dunn_test</w:t>
      </w:r>
    </w:p>
    <w:p>
      <w:pPr>
        <w:pStyle w:val="Compact"/>
        <w:numPr>
          <w:ilvl w:val="0"/>
          <w:numId w:val="1037"/>
        </w:numPr>
      </w:pPr>
      <w:r>
        <w:t xml:space="preserve">Dunnett:</w:t>
      </w:r>
      <w:r>
        <w:t xml:space="preserve"> </w:t>
      </w:r>
      <w:r>
        <w:rPr>
          <w:rStyle w:val="VerbatimChar"/>
        </w:rPr>
        <w:t xml:space="preserve">DescTools::DunnettTest</w:t>
      </w:r>
    </w:p>
    <w:p>
      <w:pPr>
        <w:pStyle w:val="Compact"/>
        <w:numPr>
          <w:ilvl w:val="0"/>
          <w:numId w:val="1037"/>
        </w:numPr>
      </w:pPr>
      <w:r>
        <w:t xml:space="preserve">Scheffe, Conover, Nemenyi, DSCF:</w:t>
      </w:r>
      <w:r>
        <w:t xml:space="preserve"> </w:t>
      </w:r>
      <w:r>
        <w:rPr>
          <w:rStyle w:val="VerbatimChar"/>
        </w:rPr>
        <w:t xml:space="preserve">PMCMRplus</w:t>
      </w:r>
    </w:p>
    <w:p>
      <w:pPr>
        <w:pStyle w:val="FirstParagraph"/>
      </w:pPr>
      <w:r>
        <w:t xml:space="preserve">Estadística de curvas (</w:t>
      </w:r>
      <w:r>
        <w:rPr>
          <w:rStyle w:val="VerbatimChar"/>
        </w:rPr>
        <w:t xml:space="preserve">S1</w:t>
      </w:r>
      <w:r>
        <w:t xml:space="preserve">-</w:t>
      </w:r>
      <w:r>
        <w:rPr>
          <w:rStyle w:val="VerbatimChar"/>
        </w:rPr>
        <w:t xml:space="preserve">S4</w:t>
      </w:r>
      <w:r>
        <w:t xml:space="preserve">):</w:t>
      </w:r>
    </w:p>
    <w:p>
      <w:pPr>
        <w:pStyle w:val="BodyText"/>
      </w:pPr>
      <w:r>
        <w:t xml:space="preserve">El acordeón</w:t>
      </w:r>
      <w:r>
        <w:t xml:space="preserve"> </w:t>
      </w:r>
      <w:r>
        <w:rPr>
          <w:b/>
          <w:bCs/>
        </w:rPr>
        <w:t xml:space="preserve">Estadística de curvas</w:t>
      </w:r>
      <w:r>
        <w:t xml:space="preserve"> </w:t>
      </w:r>
      <w:r>
        <w:t xml:space="preserve">aparece para gráficos de Curvas. Selecciona uno o más métodos y luego usa</w:t>
      </w:r>
      <w:r>
        <w:t xml:space="preserve"> </w:t>
      </w:r>
      <w:r>
        <w:rPr>
          <w:b/>
          <w:bCs/>
        </w:rPr>
        <w:t xml:space="preserve">Ejecutar estadística de curvas</w:t>
      </w:r>
      <w:r>
        <w:t xml:space="preserve"> </w:t>
      </w:r>
      <w:r>
        <w:t xml:space="preserve">para generar la tabla de resultados.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stats::lm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splines::ns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stats::anova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S2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stats::pchisq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S3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S4</w:t>
      </w:r>
      <w:r>
        <w:t xml:space="preserve">:</w:t>
      </w:r>
      <w:r>
        <w:t xml:space="preserve"> </w:t>
      </w:r>
      <w:r>
        <w:rPr>
          <w:rStyle w:val="VerbatimChar"/>
        </w:rPr>
        <w:t xml:space="preserve">gcplyr::auc</w:t>
      </w:r>
      <w:r>
        <w:t xml:space="preserve"> </w:t>
      </w:r>
      <w:r>
        <w:t xml:space="preserve">+ comparaciones guiadas por normalidad (</w:t>
      </w:r>
      <w:r>
        <w:rPr>
          <w:rStyle w:val="VerbatimChar"/>
        </w:rPr>
        <w:t xml:space="preserve">stats::t.test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stats::wilcox.test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stats::aov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stats::kruskal.test</w:t>
      </w:r>
      <w:r>
        <w:t xml:space="preserve">)</w:t>
      </w:r>
    </w:p>
    <w:p>
      <w:pPr>
        <w:pStyle w:val="FirstParagraph"/>
      </w:pPr>
      <w:r>
        <w:t xml:space="preserve">Modos de comparación:</w:t>
      </w:r>
    </w:p>
    <w:p>
      <w:pPr>
        <w:pStyle w:val="Compact"/>
        <w:numPr>
          <w:ilvl w:val="0"/>
          <w:numId w:val="1039"/>
        </w:numPr>
      </w:pPr>
      <w:r>
        <w:t xml:space="preserve">Todos contra todos</w:t>
      </w:r>
    </w:p>
    <w:p>
      <w:pPr>
        <w:pStyle w:val="Compact"/>
        <w:numPr>
          <w:ilvl w:val="0"/>
          <w:numId w:val="1039"/>
        </w:numPr>
      </w:pPr>
      <w:r>
        <w:t xml:space="preserve">Control contra todos</w:t>
      </w:r>
    </w:p>
    <w:p>
      <w:pPr>
        <w:pStyle w:val="Compact"/>
        <w:numPr>
          <w:ilvl w:val="0"/>
          <w:numId w:val="1039"/>
        </w:numPr>
      </w:pPr>
      <w:r>
        <w:t xml:space="preserve">Par</w:t>
      </w:r>
    </w:p>
    <w:p>
      <w:pPr>
        <w:pStyle w:val="FirstParagraph"/>
      </w:pPr>
      <w:r>
        <w:t xml:space="preserve">Opciones de corrección p-value:</w:t>
      </w:r>
    </w:p>
    <w:p>
      <w:pPr>
        <w:pStyle w:val="Compact"/>
        <w:numPr>
          <w:ilvl w:val="0"/>
          <w:numId w:val="1040"/>
        </w:numPr>
      </w:pPr>
      <w:r>
        <w:t xml:space="preserve">Holm</w:t>
      </w:r>
    </w:p>
    <w:p>
      <w:pPr>
        <w:pStyle w:val="Compact"/>
        <w:numPr>
          <w:ilvl w:val="0"/>
          <w:numId w:val="1040"/>
        </w:numPr>
      </w:pPr>
      <w:r>
        <w:t xml:space="preserve">FDR</w:t>
      </w:r>
    </w:p>
    <w:p>
      <w:pPr>
        <w:pStyle w:val="Compact"/>
        <w:numPr>
          <w:ilvl w:val="0"/>
          <w:numId w:val="1040"/>
        </w:numPr>
      </w:pPr>
      <w:r>
        <w:t xml:space="preserve">Bonferroni</w:t>
      </w:r>
    </w:p>
    <w:p>
      <w:pPr>
        <w:pStyle w:val="Compact"/>
        <w:numPr>
          <w:ilvl w:val="0"/>
          <w:numId w:val="1040"/>
        </w:numPr>
      </w:pPr>
      <w:r>
        <w:t xml:space="preserve">Ninguna</w:t>
      </w:r>
    </w:p>
    <w:p>
      <w:pPr>
        <w:pStyle w:val="FirstParagraph"/>
      </w:pPr>
      <w:r>
        <w:t xml:space="preserve">Para gráficos</w:t>
      </w:r>
      <w:r>
        <w:t xml:space="preserve"> </w:t>
      </w:r>
      <w:r>
        <w:rPr>
          <w:b/>
          <w:bCs/>
        </w:rPr>
        <w:t xml:space="preserve">Apilados</w:t>
      </w:r>
      <w:r>
        <w:t xml:space="preserve">, la normalidad y la significancia se calculan por separado para cada parámetro incluido. La tabla de salida incluye</w:t>
      </w:r>
      <w:r>
        <w:t xml:space="preserve"> </w:t>
      </w:r>
      <w:r>
        <w:rPr>
          <w:rStyle w:val="VerbatimChar"/>
        </w:rPr>
        <w:t xml:space="preserve">Parameter</w:t>
      </w:r>
      <w:r>
        <w:t xml:space="preserve">, y cada comparación por parámetro debe coincidir con la misma comparación ejecutada desde el gráfico de ese parámetro individual.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En modo Resumen, la normalidad puede ser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y algunas rutas no paramétricas que requieren datos crudos se desactivan.</w:t>
      </w:r>
    </w:p>
    <w:bookmarkEnd w:id="59"/>
    <w:bookmarkEnd w:id="60"/>
    <w:bookmarkStart w:id="61" w:name="Xfd951e1857e16be0fbfbc51e6054c4da8871e10"/>
    <w:p>
      <w:pPr>
        <w:pStyle w:val="Heading2"/>
      </w:pPr>
      <w:r>
        <w:t xml:space="preserve">9. Anotaciones de Significancia</w:t>
      </w:r>
    </w:p>
    <w:p>
      <w:pPr>
        <w:pStyle w:val="FirstParagraph"/>
      </w:pPr>
      <w:r>
        <w:t xml:space="preserve">Flujo manual:</w:t>
      </w:r>
    </w:p>
    <w:p>
      <w:pPr>
        <w:pStyle w:val="Compact"/>
        <w:numPr>
          <w:ilvl w:val="0"/>
          <w:numId w:val="1041"/>
        </w:numPr>
      </w:pPr>
      <w:r>
        <w:t xml:space="preserve">Selecciona Grupo 1 y Grupo 2.</w:t>
      </w:r>
    </w:p>
    <w:p>
      <w:pPr>
        <w:pStyle w:val="Compact"/>
        <w:numPr>
          <w:ilvl w:val="0"/>
          <w:numId w:val="1041"/>
        </w:numPr>
      </w:pPr>
      <w:r>
        <w:t xml:space="preserve">Ingresa etiqueta (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***</w:t>
      </w:r>
      <w:r>
        <w:t xml:space="preserve">,</w:t>
      </w:r>
      <w:r>
        <w:t xml:space="preserve"> </w:t>
      </w:r>
      <w:r>
        <w:rPr>
          <w:rStyle w:val="VerbatimChar"/>
        </w:rPr>
        <w:t xml:space="preserve">ns</w:t>
      </w:r>
      <w:r>
        <w:t xml:space="preserve">, texto libre).</w:t>
      </w:r>
    </w:p>
    <w:p>
      <w:pPr>
        <w:pStyle w:val="Compact"/>
        <w:numPr>
          <w:ilvl w:val="0"/>
          <w:numId w:val="1041"/>
        </w:numPr>
      </w:pPr>
      <w:r>
        <w:t xml:space="preserve">Agrega/reordena/edita/elimina anotaciones.</w:t>
      </w:r>
    </w:p>
    <w:p>
      <w:pPr>
        <w:pStyle w:val="FirstParagraph"/>
      </w:pPr>
      <w:r>
        <w:t xml:space="preserve">Flujo automático:</w:t>
      </w:r>
    </w:p>
    <w:p>
      <w:pPr>
        <w:pStyle w:val="Compact"/>
        <w:numPr>
          <w:ilvl w:val="0"/>
          <w:numId w:val="1042"/>
        </w:numPr>
      </w:pPr>
      <w:r>
        <w:t xml:space="preserve">Ejecuta pruebas de significancia.</w:t>
      </w:r>
    </w:p>
    <w:p>
      <w:pPr>
        <w:pStyle w:val="Compact"/>
        <w:numPr>
          <w:ilvl w:val="0"/>
          <w:numId w:val="1042"/>
        </w:numPr>
      </w:pPr>
      <w:r>
        <w:t xml:space="preserve">Abre opciones de auto-anotación.</w:t>
      </w:r>
    </w:p>
    <w:p>
      <w:pPr>
        <w:pStyle w:val="Compact"/>
        <w:numPr>
          <w:ilvl w:val="0"/>
          <w:numId w:val="1042"/>
        </w:numPr>
      </w:pPr>
      <w:r>
        <w:t xml:space="preserve">Define inclusión (</w:t>
      </w:r>
      <w:r>
        <w:rPr>
          <w:rStyle w:val="VerbatimChar"/>
        </w:rPr>
        <w:t xml:space="preserve">solo significativos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Elige formato (</w:t>
      </w:r>
      <w:r>
        <w:rPr>
          <w:rStyle w:val="VerbatimChar"/>
        </w:rPr>
        <w:t xml:space="preserve">estrellas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Reemplaza o agrega anotaciones.</w:t>
      </w:r>
    </w:p>
    <w:p>
      <w:pPr>
        <w:pStyle w:val="FirstParagraph"/>
      </w:pPr>
      <w:r>
        <w:t xml:space="preserve">Para gráficos</w:t>
      </w:r>
      <w:r>
        <w:t xml:space="preserve"> </w:t>
      </w:r>
      <w:r>
        <w:rPr>
          <w:b/>
          <w:bCs/>
        </w:rPr>
        <w:t xml:space="preserve">Apilados</w:t>
      </w:r>
      <w:r>
        <w:t xml:space="preserve">, elige el parámetro antes de agregar una etiqueta. Las etiquetas automáticas conservan la identidad del parámetro y se ubican sobre el grupo objetivo seleccionado para ese parámetro.</w:t>
      </w:r>
    </w:p>
    <w:bookmarkEnd w:id="61"/>
    <w:bookmarkStart w:id="67" w:name="Xc2b86501cc804adc80e56831b8510edbedb0cab"/>
    <w:p>
      <w:pPr>
        <w:pStyle w:val="Heading2"/>
      </w:pPr>
      <w:r>
        <w:t xml:space="preserve">10. Control de Calidad y Réplicas</w:t>
      </w:r>
    </w:p>
    <w:p>
      <w:pPr>
        <w:pStyle w:val="FirstParagraph"/>
      </w:pPr>
      <w:r>
        <w:t xml:space="preserve">Paneles QC para revisar:</w:t>
      </w:r>
    </w:p>
    <w:p>
      <w:pPr>
        <w:pStyle w:val="Compact"/>
        <w:numPr>
          <w:ilvl w:val="0"/>
          <w:numId w:val="1043"/>
        </w:numPr>
      </w:pPr>
      <w:r>
        <w:t xml:space="preserve">Valores faltantes.</w:t>
      </w:r>
    </w:p>
    <w:p>
      <w:pPr>
        <w:pStyle w:val="Compact"/>
        <w:numPr>
          <w:ilvl w:val="0"/>
          <w:numId w:val="1043"/>
        </w:numPr>
      </w:pPr>
      <w:r>
        <w:t xml:space="preserve">Outliers por grupo.</w:t>
      </w:r>
    </w:p>
    <w:p>
      <w:pPr>
        <w:pStyle w:val="Compact"/>
        <w:numPr>
          <w:ilvl w:val="0"/>
          <w:numId w:val="1043"/>
        </w:numPr>
      </w:pPr>
      <w:r>
        <w:t xml:space="preserve">Tamaño muestral y cobertura de réplicas.</w:t>
      </w:r>
    </w:p>
    <w:bookmarkStart w:id="62" w:name="réplicas-biológicas"/>
    <w:p>
      <w:pPr>
        <w:pStyle w:val="Heading3"/>
      </w:pPr>
      <w:r>
        <w:t xml:space="preserve">Réplicas biológicas</w:t>
      </w:r>
    </w:p>
    <w:p>
      <w:pPr>
        <w:pStyle w:val="Compact"/>
        <w:numPr>
          <w:ilvl w:val="0"/>
          <w:numId w:val="1044"/>
        </w:numPr>
      </w:pPr>
      <w:r>
        <w:t xml:space="preserve">Inclusión/exclusión manual.</w:t>
      </w:r>
    </w:p>
    <w:p>
      <w:pPr>
        <w:pStyle w:val="Compact"/>
        <w:numPr>
          <w:ilvl w:val="0"/>
          <w:numId w:val="1044"/>
        </w:numPr>
      </w:pPr>
      <w:r>
        <w:t xml:space="preserve">Filtrado automático por IQR.</w:t>
      </w:r>
    </w:p>
    <w:p>
      <w:pPr>
        <w:pStyle w:val="Compact"/>
        <w:numPr>
          <w:ilvl w:val="0"/>
          <w:numId w:val="1044"/>
        </w:numPr>
      </w:pPr>
      <w:r>
        <w:t xml:space="preserve">Selección Keep-N por reproducibilidad.</w:t>
      </w:r>
    </w:p>
    <w:p>
      <w:pPr>
        <w:pStyle w:val="FirstParagraph"/>
      </w:pPr>
      <w:r>
        <w:t xml:space="preserve">Comportamiento Keep-N:</w:t>
      </w:r>
    </w:p>
    <w:p>
      <w:pPr>
        <w:pStyle w:val="Compact"/>
        <w:numPr>
          <w:ilvl w:val="0"/>
          <w:numId w:val="1045"/>
        </w:numPr>
      </w:pPr>
      <w:r>
        <w:t xml:space="preserve">Ordena réplicas por distancia a la mediana del grupo entre parámetros.</w:t>
      </w:r>
    </w:p>
    <w:p>
      <w:pPr>
        <w:pStyle w:val="Compact"/>
        <w:numPr>
          <w:ilvl w:val="0"/>
          <w:numId w:val="1045"/>
        </w:numPr>
      </w:pPr>
      <w:r>
        <w:t xml:space="preserve">Conserva las de menor puntaje (más reproducibles).</w:t>
      </w:r>
    </w:p>
    <w:bookmarkEnd w:id="62"/>
    <w:bookmarkStart w:id="66" w:name="réplicas-técnicas"/>
    <w:p>
      <w:pPr>
        <w:pStyle w:val="Heading3"/>
      </w:pPr>
      <w:r>
        <w:t xml:space="preserve">Réplicas técnicas</w:t>
      </w:r>
    </w:p>
    <w:p>
      <w:pPr>
        <w:pStyle w:val="FirstParagraph"/>
      </w:pPr>
      <w:r>
        <w:t xml:space="preserve">Disponible cuando hay estructura técnica válida:</w:t>
      </w:r>
    </w:p>
    <w:p>
      <w:pPr>
        <w:pStyle w:val="Compact"/>
        <w:numPr>
          <w:ilvl w:val="0"/>
          <w:numId w:val="1046"/>
        </w:numPr>
      </w:pPr>
      <w:r>
        <w:t xml:space="preserve">Pestaña dedicada de QC técnico.</w:t>
      </w:r>
    </w:p>
    <w:p>
      <w:pPr>
        <w:pStyle w:val="Compact"/>
        <w:numPr>
          <w:ilvl w:val="0"/>
          <w:numId w:val="1046"/>
        </w:numPr>
      </w:pPr>
      <w:r>
        <w:t xml:space="preserve">Selectores por grupo y réplica biológica.</w:t>
      </w:r>
    </w:p>
    <w:p>
      <w:pPr>
        <w:pStyle w:val="Compact"/>
        <w:numPr>
          <w:ilvl w:val="0"/>
          <w:numId w:val="1046"/>
        </w:numPr>
      </w:pPr>
      <w:r>
        <w:t xml:space="preserve">Botones globales seleccionar/deseleccionar.</w:t>
      </w:r>
    </w:p>
    <w:p>
      <w:pPr>
        <w:pStyle w:val="Compact"/>
        <w:numPr>
          <w:ilvl w:val="0"/>
          <w:numId w:val="1046"/>
        </w:numPr>
      </w:pPr>
      <w:r>
        <w:t xml:space="preserve">Detección automática de outliers técnicos por IQR.</w:t>
      </w:r>
    </w:p>
    <w:p>
      <w:pPr>
        <w:pStyle w:val="Compact"/>
        <w:numPr>
          <w:ilvl w:val="0"/>
          <w:numId w:val="1046"/>
        </w:numPr>
      </w:pPr>
      <w:r>
        <w:t xml:space="preserve">Keep-N técnico por subgrupo.</w:t>
      </w:r>
    </w:p>
    <w:p>
      <w:pPr>
        <w:pStyle w:val="FirstParagraph"/>
      </w:pPr>
      <w:r>
        <w:drawing>
          <wp:inline>
            <wp:extent cx="5334000" cy="2228174"/>
            <wp:effectExtent b="0" l="0" r="0" t="0"/>
            <wp:docPr descr="Filtrado de réplicas biológicas" title="" id="64" name="Picture"/>
            <a:graphic>
              <a:graphicData uri="http://schemas.openxmlformats.org/drawingml/2006/picture">
                <pic:pic>
                  <pic:nvPicPr>
                    <pic:cNvPr descr="manual_images/04_filter_biological_replicate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bookmarkStart w:id="68" w:name="Xfea01682663a764101ef30ec6c870560247e7f1"/>
    <w:p>
      <w:pPr>
        <w:pStyle w:val="Heading2"/>
      </w:pPr>
      <w:r>
        <w:t xml:space="preserve">11. Metadatos y Reproducibilidad</w:t>
      </w:r>
    </w:p>
    <w:p>
      <w:pPr>
        <w:pStyle w:val="FirstParagraph"/>
      </w:pPr>
      <w:r>
        <w:t xml:space="preserve">Flujo de metadatos: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Descargar metadatos</w:t>
      </w:r>
      <w:r>
        <w:t xml:space="preserve"> </w:t>
      </w:r>
      <w:r>
        <w:t xml:space="preserve">para guardar estado actual.</w:t>
      </w:r>
    </w:p>
    <w:p>
      <w:pPr>
        <w:pStyle w:val="Compact"/>
        <w:numPr>
          <w:ilvl w:val="0"/>
          <w:numId w:val="1047"/>
        </w:numPr>
      </w:pPr>
      <w:r>
        <w:t xml:space="preserve">Reimportar metadatos en sesiones futuras.</w:t>
      </w:r>
    </w:p>
    <w:p>
      <w:pPr>
        <w:pStyle w:val="Compact"/>
        <w:numPr>
          <w:ilvl w:val="0"/>
          <w:numId w:val="1047"/>
        </w:numPr>
      </w:pPr>
      <w:r>
        <w:t xml:space="preserve">El estado de orientación horizontal se conserva en roundtrip.</w:t>
      </w:r>
    </w:p>
    <w:p>
      <w:pPr>
        <w:pStyle w:val="Compact"/>
        <w:numPr>
          <w:ilvl w:val="0"/>
          <w:numId w:val="1047"/>
        </w:numPr>
      </w:pPr>
      <w:r>
        <w:t xml:space="preserve">Las opciones tipográficas se conservan en el roundtrip de metadatos, incluyendo familia de letra, tamaños y estado normal/negrita/cursiva/subrayado para título del gráfico, títulos de eje X/Y, etiquetas de ticks de ejes, texto de leyenda, etiquetas de datos y texto de significancia.</w:t>
      </w:r>
    </w:p>
    <w:p>
      <w:pPr>
        <w:pStyle w:val="Compact"/>
        <w:numPr>
          <w:ilvl w:val="0"/>
          <w:numId w:val="1047"/>
        </w:numPr>
      </w:pPr>
      <w:r>
        <w:t xml:space="preserve">La visibilidad/posición de la leyenda, incluyendo la selección de leyenda a la derecha cuando corresponde, se guarda en metadatos y se aplica nuevamente al cargarlos.</w:t>
      </w:r>
    </w:p>
    <w:p>
      <w:pPr>
        <w:pStyle w:val="Compact"/>
        <w:numPr>
          <w:ilvl w:val="0"/>
          <w:numId w:val="1047"/>
        </w:numPr>
      </w:pPr>
      <w:r>
        <w:t xml:space="preserve">El tamaño de puntos de curvas se guarda en los metadatos de diseño de curvas y se restaura al cargarlos. Los metadatos de diseño no restauran el orden de grupos/muestras, el ámbito ni la selección de cepa.</w:t>
      </w:r>
    </w:p>
    <w:p>
      <w:pPr>
        <w:pStyle w:val="Compact"/>
        <w:numPr>
          <w:ilvl w:val="0"/>
          <w:numId w:val="1047"/>
        </w:numPr>
      </w:pPr>
      <w:r>
        <w:t xml:space="preserve">El estadístico de barras de error y la selección de métodos de estadística de curvas se conservan en el roundtrip de metadatos.</w:t>
      </w:r>
    </w:p>
    <w:p>
      <w:pPr>
        <w:pStyle w:val="FirstParagraph"/>
      </w:pPr>
      <w:r>
        <w:t xml:space="preserve">Bundle reproducible:</w:t>
      </w:r>
    </w:p>
    <w:p>
      <w:pPr>
        <w:pStyle w:val="Compact"/>
        <w:numPr>
          <w:ilvl w:val="0"/>
          <w:numId w:val="1048"/>
        </w:numPr>
      </w:pPr>
      <w:r>
        <w:t xml:space="preserve">Guardar versiones de gráficos en sesión.</w:t>
      </w:r>
    </w:p>
    <w:p>
      <w:pPr>
        <w:pStyle w:val="Compact"/>
        <w:numPr>
          <w:ilvl w:val="0"/>
          <w:numId w:val="1048"/>
        </w:numPr>
      </w:pPr>
      <w:r>
        <w:t xml:space="preserve">Exportar ZIP con gráficos + metadatos.</w:t>
      </w:r>
    </w:p>
    <w:p>
      <w:pPr>
        <w:pStyle w:val="Compact"/>
        <w:numPr>
          <w:ilvl w:val="0"/>
          <w:numId w:val="1048"/>
        </w:numPr>
      </w:pPr>
      <w:r>
        <w:t xml:space="preserve">Reabrir análisis con configuración consistente.</w:t>
      </w:r>
    </w:p>
    <w:p>
      <w:pPr>
        <w:pStyle w:val="FirstParagraph"/>
      </w:pPr>
      <w:r>
        <w:t xml:space="preserve">Cobertura de regresión incluye:</w:t>
      </w:r>
    </w:p>
    <w:p>
      <w:pPr>
        <w:pStyle w:val="Compact"/>
        <w:numPr>
          <w:ilvl w:val="0"/>
          <w:numId w:val="1049"/>
        </w:numPr>
      </w:pPr>
      <w:r>
        <w:t xml:space="preserve">Orientación horizontal solo en Caja/Barras/Violín/Apilado.</w:t>
      </w:r>
    </w:p>
    <w:p>
      <w:pPr>
        <w:pStyle w:val="Compact"/>
        <w:numPr>
          <w:ilvl w:val="0"/>
          <w:numId w:val="1049"/>
        </w:numPr>
      </w:pPr>
      <w:r>
        <w:t xml:space="preserve">Persistencia de metadatos roundtrip.</w:t>
      </w:r>
    </w:p>
    <w:p>
      <w:pPr>
        <w:pStyle w:val="Compact"/>
        <w:numPr>
          <w:ilvl w:val="0"/>
          <w:numId w:val="1049"/>
        </w:numPr>
      </w:pPr>
      <w:r>
        <w:t xml:space="preserve">Verificación de orientación en constructores finales.</w:t>
      </w:r>
    </w:p>
    <w:bookmarkEnd w:id="68"/>
    <w:bookmarkStart w:id="69" w:name="X218df2ee725d0504d93acc386923c3d90ed9ec6"/>
    <w:p>
      <w:pPr>
        <w:pStyle w:val="Heading2"/>
      </w:pPr>
      <w:r>
        <w:t xml:space="preserve">12. Descargas</w:t>
      </w:r>
    </w:p>
    <w:p>
      <w:pPr>
        <w:pStyle w:val="FirstParagraph"/>
      </w:pPr>
      <w:r>
        <w:t xml:space="preserve">Salidas principales:</w:t>
      </w:r>
    </w:p>
    <w:p>
      <w:pPr>
        <w:pStyle w:val="Compact"/>
        <w:numPr>
          <w:ilvl w:val="0"/>
          <w:numId w:val="1050"/>
        </w:numPr>
      </w:pPr>
      <w:r>
        <w:t xml:space="preserve">Imagen de gráfico (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 según gráfico).</w:t>
      </w:r>
    </w:p>
    <w:p>
      <w:pPr>
        <w:pStyle w:val="Compact"/>
        <w:numPr>
          <w:ilvl w:val="0"/>
          <w:numId w:val="1050"/>
        </w:numPr>
      </w:pPr>
      <w:r>
        <w:t xml:space="preserve">Exportación de datos.</w:t>
      </w:r>
    </w:p>
    <w:p>
      <w:pPr>
        <w:pStyle w:val="Compact"/>
        <w:numPr>
          <w:ilvl w:val="0"/>
          <w:numId w:val="1050"/>
        </w:numPr>
      </w:pPr>
      <w:r>
        <w:t xml:space="preserve">Exportación de metadatos.</w:t>
      </w:r>
    </w:p>
    <w:p>
      <w:pPr>
        <w:pStyle w:val="Compact"/>
        <w:numPr>
          <w:ilvl w:val="0"/>
          <w:numId w:val="1050"/>
        </w:numPr>
      </w:pPr>
      <w:r>
        <w:t xml:space="preserve">Exportación de estadística.</w:t>
      </w:r>
    </w:p>
    <w:p>
      <w:pPr>
        <w:pStyle w:val="Compact"/>
        <w:numPr>
          <w:ilvl w:val="0"/>
          <w:numId w:val="1050"/>
        </w:numPr>
      </w:pPr>
      <w:r>
        <w:t xml:space="preserve">Bundle ZIP.</w:t>
      </w:r>
    </w:p>
    <w:p>
      <w:pPr>
        <w:pStyle w:val="Compact"/>
        <w:numPr>
          <w:ilvl w:val="0"/>
          <w:numId w:val="1050"/>
        </w:numPr>
      </w:pPr>
      <w:r>
        <w:t xml:space="preserve">Tabla de correlación avanzada.</w:t>
      </w:r>
    </w:p>
    <w:p>
      <w:pPr>
        <w:pStyle w:val="Compact"/>
        <w:numPr>
          <w:ilvl w:val="0"/>
          <w:numId w:val="1050"/>
        </w:numPr>
      </w:pPr>
      <w:r>
        <w:t xml:space="preserve">Exportación de merge platemap/curvas (si se usó merge).</w:t>
      </w:r>
    </w:p>
    <w:p>
      <w:pPr>
        <w:pStyle w:val="FirstParagraph"/>
      </w:pPr>
      <w:r>
        <w:t xml:space="preserve">Las exportaciones de gráficos conservan la configuración visual activa, incluyendo familia tipográfica, estilos por tipo de texto (negrita/cursiva/subrayado), estadístico de barras de error seleccionado, etiquetas de significancia y ajustes de ejes/leyenda. Las exportaciones de composición conservan los mismos controles tipográficos en todos los gráficos del layout.</w:t>
      </w:r>
    </w:p>
    <w:p>
      <w:pPr>
        <w:pStyle w:val="BodyText"/>
      </w:pPr>
      <w:r>
        <w:t xml:space="preserve">Las exportaciones raster usan</w:t>
      </w:r>
      <w:r>
        <w:t xml:space="preserve"> </w:t>
      </w:r>
      <w:r>
        <w:rPr>
          <w:b/>
          <w:bCs/>
        </w:rPr>
        <w:t xml:space="preserve">300 DPI de forma predeterminada</w:t>
      </w:r>
      <w:r>
        <w:t xml:space="preserve"> </w:t>
      </w:r>
      <w:r>
        <w:t xml:space="preserve">y aceptan valores compatibles elegidos por el usuario entre 72 y 600 DPI. El DPI efectivo seleccionado se incluye en el metadata y en las versiones del bundle. Los elementos vectoriales PDF/PPTX no usan DPI; el ancho, alto y tamaño de diapositiva se configuran por separado.</w:t>
      </w:r>
    </w:p>
    <w:bookmarkEnd w:id="69"/>
    <w:bookmarkStart w:id="73" w:name="X08302a07caa98f2a5467429728a16104e228911"/>
    <w:p>
      <w:pPr>
        <w:pStyle w:val="Heading2"/>
      </w:pPr>
      <w:r>
        <w:t xml:space="preserve">13. Módulo de Crecimiento</w:t>
      </w:r>
    </w:p>
    <w:p>
      <w:pPr>
        <w:pStyle w:val="FirstParagraph"/>
      </w:pPr>
      <w:r>
        <w:t xml:space="preserve">Soporte de archivos en pestaña crecimiento:</w:t>
      </w:r>
    </w:p>
    <w:p>
      <w:pPr>
        <w:pStyle w:val="Compact"/>
        <w:numPr>
          <w:ilvl w:val="0"/>
          <w:numId w:val="1051"/>
        </w:numPr>
      </w:pPr>
      <w:r>
        <w:t xml:space="preserve">Tipo aceptado: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t xml:space="preserve">Estructuras auto-detectadas:</w:t>
      </w:r>
    </w:p>
    <w:p>
      <w:pPr>
        <w:pStyle w:val="Compact"/>
        <w:numPr>
          <w:ilvl w:val="1"/>
          <w:numId w:val="1052"/>
        </w:numPr>
      </w:pPr>
      <w:r>
        <w:t xml:space="preserve">Layout crudo tipo lector/Tecan (normalmente datos desde filas posteriores en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).</w:t>
      </w:r>
    </w:p>
    <w:p>
      <w:pPr>
        <w:pStyle w:val="Compact"/>
        <w:numPr>
          <w:ilvl w:val="1"/>
          <w:numId w:val="1052"/>
        </w:numPr>
      </w:pPr>
      <w:r>
        <w:t xml:space="preserve">Tabla procesada desde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(primera columna tiempo, siguientes columnas curvas/wells).</w:t>
      </w:r>
    </w:p>
    <w:p>
      <w:pPr>
        <w:pStyle w:val="FirstParagraph"/>
      </w:pPr>
      <w:r>
        <w:t xml:space="preserve">Parámetros extraídos: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uMax</w:t>
      </w:r>
      <w:r>
        <w:t xml:space="preserve">: pendiente máxima en fase exponencial.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max_percap_time</w:t>
      </w:r>
      <w:r>
        <w:t xml:space="preserve">: ventana temporal de máximo crecimiento per-cápita.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doub_time</w:t>
      </w:r>
      <w:r>
        <w:t xml:space="preserve">: tiempo de duplicación (</w:t>
      </w:r>
      <w:r>
        <w:rPr>
          <w:rStyle w:val="VerbatimChar"/>
        </w:rPr>
        <w:t xml:space="preserve">ln(2) / uMax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lag_time</w:t>
      </w:r>
      <w:r>
        <w:t xml:space="preserve">: transición previa al crecimiento exponencial.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ODmax</w:t>
      </w:r>
      <w:r>
        <w:t xml:space="preserve">: señal/OD máxima medida.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max_time</w:t>
      </w:r>
      <w:r>
        <w:t xml:space="preserve">: tiempo en que se alcanza</w:t>
      </w:r>
      <w:r>
        <w:t xml:space="preserve"> </w:t>
      </w:r>
      <w:r>
        <w:rPr>
          <w:rStyle w:val="VerbatimChar"/>
        </w:rPr>
        <w:t xml:space="preserve">ODmax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AUC</w:t>
      </w:r>
      <w:r>
        <w:t xml:space="preserve">: área bajo la curva.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OD0</w:t>
      </w:r>
      <w:r>
        <w:t xml:space="preserve">: señal/OD inicial en el primer punto medido de cada curva.</w:t>
      </w:r>
    </w:p>
    <w:p>
      <w:pPr>
        <w:pStyle w:val="FirstParagraph"/>
      </w:pPr>
      <w:r>
        <w:t xml:space="preserve">Flujo típico:</w:t>
      </w:r>
    </w:p>
    <w:p>
      <w:pPr>
        <w:pStyle w:val="Compact"/>
        <w:numPr>
          <w:ilvl w:val="0"/>
          <w:numId w:val="1054"/>
        </w:numPr>
      </w:pPr>
      <w:r>
        <w:t xml:space="preserve">Carga uno o más archivos de crecimiento.</w:t>
      </w:r>
    </w:p>
    <w:p>
      <w:pPr>
        <w:pStyle w:val="Compact"/>
        <w:numPr>
          <w:ilvl w:val="0"/>
          <w:numId w:val="1054"/>
        </w:numPr>
      </w:pPr>
      <w:r>
        <w:t xml:space="preserve">Define tiempo máximo e intervalo.</w:t>
      </w:r>
    </w:p>
    <w:p>
      <w:pPr>
        <w:pStyle w:val="Compact"/>
        <w:numPr>
          <w:ilvl w:val="0"/>
          <w:numId w:val="1054"/>
        </w:numPr>
      </w:pPr>
      <w:r>
        <w:t xml:space="preserve">Ejecuta extracción.</w:t>
      </w:r>
    </w:p>
    <w:p>
      <w:pPr>
        <w:pStyle w:val="Compact"/>
        <w:numPr>
          <w:ilvl w:val="0"/>
          <w:numId w:val="1054"/>
        </w:numPr>
      </w:pPr>
      <w:r>
        <w:t xml:space="preserve">Descarga ZIP de resultados.</w:t>
      </w:r>
    </w:p>
    <w:p>
      <w:pPr>
        <w:pStyle w:val="Compact"/>
        <w:numPr>
          <w:ilvl w:val="0"/>
          <w:numId w:val="1054"/>
        </w:numPr>
      </w:pPr>
      <w:r>
        <w:t xml:space="preserve">Reusa resultados en flujos de gráficos.</w:t>
      </w:r>
    </w:p>
    <w:p>
      <w:pPr>
        <w:pStyle w:val="FirstParagraph"/>
      </w:pPr>
      <w:r>
        <w:t xml:space="preserve">Autoguardado y manejo de interrupciones:</w:t>
      </w:r>
    </w:p>
    <w:p>
      <w:pPr>
        <w:pStyle w:val="Compact"/>
        <w:numPr>
          <w:ilvl w:val="0"/>
          <w:numId w:val="105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Carpeta de autoguardado</w:t>
      </w:r>
      <w:r>
        <w:t xml:space="preserve"> </w:t>
      </w:r>
      <w:r>
        <w:t xml:space="preserve">opcional se puede escribir manualmente o seleccionar con</w:t>
      </w:r>
      <w:r>
        <w:t xml:space="preserve"> </w:t>
      </w:r>
      <w:r>
        <w:rPr>
          <w:b/>
          <w:bCs/>
        </w:rPr>
        <w:t xml:space="preserve">Examinar...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Si no quieres autoguardado, deja esta carpeta en blanco y descarga el ZIP con</w:t>
      </w:r>
      <w:r>
        <w:t xml:space="preserve"> </w:t>
      </w:r>
      <w:r>
        <w:rPr>
          <w:b/>
          <w:bCs/>
        </w:rPr>
        <w:t xml:space="preserve">Descargar resultados</w:t>
      </w:r>
      <w:r>
        <w:t xml:space="preserve"> </w:t>
      </w:r>
      <w:r>
        <w:t xml:space="preserve">al final.</w:t>
      </w:r>
    </w:p>
    <w:p>
      <w:pPr>
        <w:pStyle w:val="Compact"/>
        <w:numPr>
          <w:ilvl w:val="0"/>
          <w:numId w:val="1055"/>
        </w:numPr>
      </w:pPr>
      <w:r>
        <w:t xml:space="preserve">Si escribes una carpeta, debe existir previamente. Si la ruta no existe, BIOSZEN muestra un mensaje para corregirla y no inicia esa corrida hasta que la ruta se corrija o se borre.</w:t>
      </w:r>
    </w:p>
    <w:p>
      <w:pPr>
        <w:pStyle w:val="Compact"/>
        <w:numPr>
          <w:ilvl w:val="0"/>
          <w:numId w:val="1055"/>
        </w:numPr>
      </w:pPr>
      <w:r>
        <w:t xml:space="preserve">Cuando se define una carpeta de autoguardado, los archivos finales</w:t>
      </w:r>
      <w:r>
        <w:t xml:space="preserve"> </w:t>
      </w:r>
      <w:r>
        <w:rPr>
          <w:rStyle w:val="VerbatimChar"/>
        </w:rPr>
        <w:t xml:space="preserve">Curvas_*.xlsx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Parametros_*.xlsx</w:t>
      </w:r>
      <w:r>
        <w:t xml:space="preserve"> </w:t>
      </w:r>
      <w:r>
        <w:t xml:space="preserve">se copian allí automáticamente, y la opción normal</w:t>
      </w:r>
      <w:r>
        <w:t xml:space="preserve"> </w:t>
      </w:r>
      <w:r>
        <w:rPr>
          <w:b/>
          <w:bCs/>
        </w:rPr>
        <w:t xml:space="preserve">Descargar resultados</w:t>
      </w:r>
      <w:r>
        <w:t xml:space="preserve"> </w:t>
      </w:r>
      <w:r>
        <w:t xml:space="preserve">en ZIP sigue disponible.</w:t>
      </w:r>
    </w:p>
    <w:p>
      <w:pPr>
        <w:pStyle w:val="Compact"/>
        <w:numPr>
          <w:ilvl w:val="0"/>
          <w:numId w:val="1055"/>
        </w:numPr>
      </w:pPr>
      <w:r>
        <w:t xml:space="preserve">Durante procesos largos, BIOSZEN guarda puntos de control por well en una carpeta temporal</w:t>
      </w:r>
      <w:r>
        <w:t xml:space="preserve"> </w:t>
      </w:r>
      <w:r>
        <w:rPr>
          <w:rStyle w:val="VerbatimChar"/>
        </w:rPr>
        <w:t xml:space="preserve">BIOSZEN_growth_checkpoints</w:t>
      </w:r>
      <w:r>
        <w:t xml:space="preserve"> </w:t>
      </w:r>
      <w:r>
        <w:t xml:space="preserve">dentro de la carpeta de autoguardado seleccionada. Estos puntos de control permiten reanudar una corrida interrumpida desde los wells ya completados, en lugar de empezar desde cero.</w:t>
      </w:r>
    </w:p>
    <w:p>
      <w:pPr>
        <w:pStyle w:val="Compact"/>
        <w:numPr>
          <w:ilvl w:val="0"/>
          <w:numId w:val="1055"/>
        </w:numPr>
      </w:pPr>
      <w:r>
        <w:t xml:space="preserve">Los puntos de control se eliminan automáticamente después de completar correctamente el proceso o después de reanudarlo con éxito. Solo se conservan cuando el procesamiento se interrumpe antes de terminar.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Detener proceso</w:t>
      </w:r>
      <w:r>
        <w:t xml:space="preserve"> </w:t>
      </w:r>
      <w:r>
        <w:t xml:space="preserve">solicita una cancelación segura. La app puede terminar el well/punto de control actual antes de liberar la corrida para que los archivos parciales sigan siendo utilizables y no se modifique el cálculo de parámetros de crecimiento.</w:t>
      </w:r>
    </w:p>
    <w:p>
      <w:pPr>
        <w:pStyle w:val="FirstParagraph"/>
      </w:pPr>
      <w:r>
        <w:t xml:space="preserve">Comando equivalente en R:</w:t>
      </w:r>
    </w:p>
    <w:p>
      <w:pPr>
        <w:pStyle w:val="SourceCode"/>
      </w:pPr>
      <w:r>
        <w:rPr>
          <w:rStyle w:val="NormalTok"/>
        </w:rPr>
        <w:t xml:space="preserve">parametros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BIOSZEN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growth_parameters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"Curvas.xlsx"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parametros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BIOSZEN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growth_parameters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"Curvas.xlsx"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output_dir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"resultados_crecimiento"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comando ejecuta primero el mismo detector robusto y usa el mismo fallback</w:t>
      </w:r>
      <w:r>
        <w:t xml:space="preserve"> </w:t>
      </w:r>
      <w:r>
        <w:t xml:space="preserve">permisivo solo para los valores que el método robusto no pudo calcular. Las</w:t>
      </w:r>
      <w:r>
        <w:t xml:space="preserve"> </w:t>
      </w:r>
      <w:r>
        <w:t xml:space="preserve">columnas y resultados numéricos coinciden con la pestaña de crecimiento. Sin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, devuelve el resultado en R y no crea archivos.</w:t>
      </w:r>
    </w:p>
    <w:p>
      <w:pPr>
        <w:pStyle w:val="BodyText"/>
      </w:pPr>
      <w:r>
        <w:drawing>
          <wp:inline>
            <wp:extent cx="5334000" cy="2011947"/>
            <wp:effectExtent b="0" l="0" r="0" t="0"/>
            <wp:docPr descr="Flujo de parámetros de crecimiento" title="" id="71" name="Picture"/>
            <a:graphic>
              <a:graphicData uri="http://schemas.openxmlformats.org/drawingml/2006/picture">
                <pic:pic>
                  <pic:nvPicPr>
                    <pic:cNvPr descr="manual_images/13_growth_parameters_workflow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1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X44a0d0ba4189ec8e25809d14d8a3a2c3cd163ae"/>
    <w:p>
      <w:pPr>
        <w:pStyle w:val="Heading2"/>
      </w:pPr>
      <w:r>
        <w:t xml:space="preserve">14. Guía de Solución de Problemas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Error al cargar archivo</w:t>
      </w:r>
      <w:r>
        <w:br/>
      </w:r>
      <w:r>
        <w:t xml:space="preserve">Causa probable: Hojas/columnas obligatorias faltantes.</w:t>
      </w:r>
      <w:r>
        <w:br/>
      </w:r>
      <w:r>
        <w:t xml:space="preserve">Qué hacer: Validar estructura y encabezados exactos.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No se genera gráfico</w:t>
      </w:r>
      <w:r>
        <w:br/>
      </w:r>
      <w:r>
        <w:t xml:space="preserve">Causa probable: Parámetro/grupo ausente tras filtros.</w:t>
      </w:r>
      <w:r>
        <w:br/>
      </w:r>
      <w:r>
        <w:t xml:space="preserve">Qué hacer: Resetear filtros y validar disponibilidad.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Solo aparece Curvas en el selector de tipo de gráfico</w:t>
      </w:r>
      <w:r>
        <w:br/>
      </w:r>
      <w:r>
        <w:t xml:space="preserve">Causa probable: No se detectaron columnas de parámetros válidas en el archivo cargado.</w:t>
      </w:r>
      <w:r>
        <w:br/>
      </w:r>
      <w:r>
        <w:t xml:space="preserve">Qué hacer: Revisar estructura de hojas agrupadas/resumen y encabezados de parámetros, luego recargar.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Normalización no disponible</w:t>
      </w:r>
      <w:r>
        <w:br/>
      </w:r>
      <w:r>
        <w:t xml:space="preserve">Causa probable: Falta medio control en alcance activo.</w:t>
      </w:r>
      <w:r>
        <w:br/>
      </w:r>
      <w:r>
        <w:t xml:space="preserve">Qué hacer: Confirmar grupo control en el subconjunto.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Estadística deshabilitada</w:t>
      </w:r>
      <w:r>
        <w:br/>
      </w:r>
      <w:r>
        <w:t xml:space="preserve">Causa probable: Mismatch entre modo y prueba.</w:t>
      </w:r>
      <w:r>
        <w:br/>
      </w:r>
      <w:r>
        <w:t xml:space="preserve">Qué hacer: Cambiar prueba o usar modo con datos compatibles.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Falla merge de curvas</w:t>
      </w:r>
      <w:r>
        <w:br/>
      </w:r>
      <w:r>
        <w:t xml:space="preserve">Causa probable: IDs de well inconsistentes.</w:t>
      </w:r>
      <w:r>
        <w:br/>
      </w:r>
      <w:r>
        <w:t xml:space="preserve">Qué hacer: Alinear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con columnas de curvas.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El workbook agrupado/resumen carga, pero Curvas queda sin datos</w:t>
      </w:r>
      <w:r>
        <w:br/>
      </w:r>
      <w:r>
        <w:t xml:space="preserve">Causa probable: Falta la hoja de resumen de curvas embebida.</w:t>
      </w:r>
      <w:r>
        <w:br/>
      </w:r>
      <w:r>
        <w:t xml:space="preserve">Qué hacer: Agregar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alias) al workbook, o cargar curvas por separado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CSV no reconocido</w:t>
      </w:r>
      <w:r>
        <w:br/>
      </w:r>
      <w:r>
        <w:t xml:space="preserve">Causa probable: Delimitador erróneo o headers faltantes.</w:t>
      </w:r>
      <w:r>
        <w:br/>
      </w:r>
      <w:r>
        <w:t xml:space="preserve">Qué hacer: Revisar delimitador y columnas requeridas.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Rendimiento lento</w:t>
      </w:r>
      <w:r>
        <w:br/>
      </w:r>
      <w:r>
        <w:t xml:space="preserve">Causa probable: Demasiados parámetros/capas activas.</w:t>
      </w:r>
      <w:r>
        <w:br/>
      </w:r>
      <w:r>
        <w:t xml:space="preserve">Qué hacer: Reducir parámetros y capas pesadas.</w:t>
      </w:r>
    </w:p>
    <w:bookmarkEnd w:id="74"/>
    <w:bookmarkStart w:id="75" w:name="X8b3f1f11e9cb04fc73976d75c0f04065017c149"/>
    <w:p>
      <w:pPr>
        <w:pStyle w:val="Heading2"/>
      </w:pPr>
      <w:r>
        <w:t xml:space="preserve">15. Soporte</w:t>
      </w:r>
    </w:p>
    <w:p>
      <w:pPr>
        <w:pStyle w:val="FirstParagraph"/>
      </w:pPr>
      <w:r>
        <w:t xml:space="preserve">Soporte y reporte de errores:</w:t>
      </w:r>
      <w:r>
        <w:t xml:space="preserve"> </w:t>
      </w:r>
      <w:r>
        <w:rPr>
          <w:rStyle w:val="VerbatimChar"/>
        </w:rPr>
        <w:t xml:space="preserve">bioszenf@gmail.com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70" Target="media/rId70.png" /><Relationship Type="http://schemas.openxmlformats.org/officeDocument/2006/relationships/hyperlink" Id="rId33" Target="https://github.com/bioszen/BIOSZEN/archive/refs/heads/main.zip" TargetMode="External" /><Relationship Type="http://schemas.openxmlformats.org/officeDocument/2006/relationships/hyperlink" Id="rId32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bioszen/BIOSZEN/archive/refs/heads/main.zip" TargetMode="External" /><Relationship Type="http://schemas.openxmlformats.org/officeDocument/2006/relationships/hyperlink" Id="rId32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2026-07-30T17:04:57Z</dcterms:created>
  <dcterms:modified xsi:type="dcterms:W3CDTF">2026-07-30T17:04:57Z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