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5.png" ContentType="image/png"/>
  <Override PartName="/word/media/rId61.png" ContentType="image/png"/>
  <Override PartName="/word/media/rId51.png" ContentType="image/png"/>
  <Override PartName="/word/media/rId47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CaptionedFigure"/>
      </w:pPr>
      <w:r>
        <w:drawing>
          <wp:inline>
            <wp:extent cx="5334000" cy="2341239"/>
            <wp:effectExtent b="0" l="0" r="0" t="0"/>
            <wp:docPr descr="Vista general de BIOSZEN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Vista general de BIOSZEN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12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12"/>
    <w:bookmarkStart w:id="17" w:name="antes-de-empezar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17"/>
    <w:bookmarkStart w:id="24" w:name="inicio-rápido-por-escenario"/>
    <w:p>
      <w:pPr>
        <w:pStyle w:val="Heading2"/>
      </w:pPr>
      <w:r>
        <w:t xml:space="preserve">2. Inicio Rápido por Escenario</w:t>
      </w:r>
    </w:p>
    <w:bookmarkStart w:id="18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18"/>
    <w:bookmarkStart w:id="19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19"/>
    <w:bookmarkStart w:id="23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Configuración de gráficos y capas" title="" id="21" name="Picture"/>
            <a:graphic>
              <a:graphicData uri="http://schemas.openxmlformats.org/drawingml/2006/picture">
                <pic:pic>
                  <pic:nvPicPr>
                    <pic:cNvPr descr="manual_images/02_plot_setup_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Configuración de gráficos y capas</w:t>
      </w:r>
    </w:p>
    <w:bookmarkEnd w:id="23"/>
    <w:bookmarkEnd w:id="24"/>
    <w:bookmarkStart w:id="25" w:name="elegir-un-modo-de-entrad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5"/>
    <w:bookmarkStart w:id="34" w:name="especificaciones-de-entrada"/>
    <w:p>
      <w:pPr>
        <w:pStyle w:val="Heading2"/>
      </w:pPr>
      <w:r>
        <w:t xml:space="preserve">4. Especificaciones de Entrada</w:t>
      </w:r>
    </w:p>
    <w:bookmarkStart w:id="26" w:name="workbook-de-platemap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0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26"/>
    <w:bookmarkStart w:id="27" w:name="archivo-de-curvas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…).</w:t>
      </w:r>
    </w:p>
    <w:p>
      <w:pPr>
        <w:pStyle w:val="Compact"/>
        <w:numPr>
          <w:ilvl w:val="0"/>
          <w:numId w:val="1014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27"/>
    <w:bookmarkStart w:id="28" w:name="modo-parámetros-agrupados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6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…).</w:t>
      </w:r>
    </w:p>
    <w:p>
      <w:pPr>
        <w:pStyle w:val="Compact"/>
        <w:numPr>
          <w:ilvl w:val="0"/>
          <w:numId w:val="1016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6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28"/>
    <w:bookmarkStart w:id="29" w:name="modo-resumen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7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7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29"/>
    <w:bookmarkStart w:id="30" w:name="modo-csv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0"/>
    <w:bookmarkStart w:id="33" w:name="Xa3abaa9f5c004687f5c309b02aaa64083345ea6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31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32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33"/>
    <w:bookmarkEnd w:id="34"/>
    <w:bookmarkStart w:id="38" w:name="flujo-estándar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1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1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1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1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Elige tipo de gráfico.</w:t>
      </w:r>
    </w:p>
    <w:p>
      <w:pPr>
        <w:pStyle w:val="Compact"/>
        <w:numPr>
          <w:ilvl w:val="0"/>
          <w:numId w:val="1021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1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1"/>
        </w:numPr>
      </w:pPr>
      <w:r>
        <w:t xml:space="preserve">Ejecuta estadística.</w:t>
      </w:r>
    </w:p>
    <w:p>
      <w:pPr>
        <w:pStyle w:val="Compact"/>
        <w:numPr>
          <w:ilvl w:val="0"/>
          <w:numId w:val="1021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1"/>
        </w:numPr>
      </w:pPr>
      <w:r>
        <w:t xml:space="preserve">Exporta salidas.</w:t>
      </w:r>
    </w:p>
    <w:p>
      <w:pPr>
        <w:pStyle w:val="CaptionedFigure"/>
      </w:pPr>
      <w:r>
        <w:drawing>
          <wp:inline>
            <wp:extent cx="5334000" cy="1320297"/>
            <wp:effectExtent b="0" l="0" r="0" t="0"/>
            <wp:docPr descr="Filtrado por media/condiciones" title="" id="36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Filtrado por media/condiciones</w:t>
      </w:r>
    </w:p>
    <w:bookmarkEnd w:id="38"/>
    <w:bookmarkStart w:id="55" w:name="tipos-de-gráfico-y-controles"/>
    <w:p>
      <w:pPr>
        <w:pStyle w:val="Heading2"/>
      </w:pPr>
      <w:r>
        <w:t xml:space="preserve">6. Tipos de Gráfico y Controles</w:t>
      </w:r>
    </w:p>
    <w:bookmarkStart w:id="39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2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2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2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39"/>
    <w:bookmarkStart w:id="40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3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3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3"/>
        </w:numPr>
      </w:pPr>
      <w:r>
        <w:t xml:space="preserve">Orientación horizontal disponible.</w:t>
      </w:r>
    </w:p>
    <w:bookmarkEnd w:id="40"/>
    <w:bookmarkStart w:id="41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4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4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41"/>
    <w:bookmarkStart w:id="42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5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5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5"/>
        </w:numPr>
      </w:pPr>
      <w:r>
        <w:t xml:space="preserve">La estadística y la significancia automática están disponibles por cada parámetro incluido. Las comparaciones se hacen dentro de cada parámetro, por ejemplo</w:t>
      </w:r>
      <w:r>
        <w:t xml:space="preserve"> </w:t>
      </w:r>
      <w:r>
        <w:rPr>
          <w:rStyle w:val="VerbatimChar"/>
        </w:rPr>
        <w:t xml:space="preserve">Parámetro A - Grupo 1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Parámetro A - Grupo 2</w:t>
      </w:r>
      <w:r>
        <w:t xml:space="preserve">, no contra otro segmento apilado.</w:t>
      </w:r>
    </w:p>
    <w:p>
      <w:pPr>
        <w:pStyle w:val="Compact"/>
        <w:numPr>
          <w:ilvl w:val="0"/>
          <w:numId w:val="1025"/>
        </w:numPr>
      </w:pPr>
      <w:r>
        <w:t xml:space="preserve">Las etiquetas de significancia se pueden agregar sobre el grupo objetivo seleccionado para el parámetro seleccionado; la tabla de resultados incluye una columna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Para gráficos apilados se recomiendan las anotaciones como etiquetas.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disponible; al voltear el gráfico se conservan leyendas, estilos de texto, barras de error y etiquetas de significancia.</w:t>
      </w:r>
    </w:p>
    <w:bookmarkEnd w:id="42"/>
    <w:bookmarkStart w:id="43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6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6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6"/>
        </w:numPr>
      </w:pPr>
      <w:r>
        <w:t xml:space="preserve">Panel avanzado con cribado uno-contra-todos y exportación Excel.</w:t>
      </w:r>
    </w:p>
    <w:bookmarkEnd w:id="43"/>
    <w:bookmarkStart w:id="44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7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7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7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7"/>
        </w:numPr>
      </w:pPr>
      <w:r>
        <w:t xml:space="preserve">Etiquetas de valor en celdas opcionales.</w:t>
      </w:r>
    </w:p>
    <w:bookmarkEnd w:id="44"/>
    <w:bookmarkStart w:id="45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8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8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8"/>
        </w:numPr>
      </w:pPr>
      <w:r>
        <w:t xml:space="preserve">Opción de mostrar solo etiquetas significativas.</w:t>
      </w:r>
    </w:p>
    <w:bookmarkEnd w:id="45"/>
    <w:bookmarkStart w:id="46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29"/>
        </w:numPr>
      </w:pPr>
      <w:r>
        <w:t xml:space="preserve">Configura ejes, etiquetas y grosor.</w:t>
      </w:r>
    </w:p>
    <w:p>
      <w:pPr>
        <w:pStyle w:val="Compact"/>
        <w:numPr>
          <w:ilvl w:val="0"/>
          <w:numId w:val="1029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29"/>
        </w:numPr>
      </w:pPr>
      <w:r>
        <w:t xml:space="preserve">Opción de mostrar trayectorias crudas de réplicas.</w:t>
      </w:r>
    </w:p>
    <w:bookmarkEnd w:id="46"/>
    <w:bookmarkStart w:id="50" w:name="controles-compartidos-de-apariencia"/>
    <w:p>
      <w:pPr>
        <w:pStyle w:val="Heading3"/>
      </w:pPr>
      <w:r>
        <w:t xml:space="preserve">Controles compartidos de apariencia</w:t>
      </w:r>
    </w:p>
    <w:p>
      <w:pPr>
        <w:pStyle w:val="Compact"/>
        <w:numPr>
          <w:ilvl w:val="0"/>
          <w:numId w:val="1030"/>
        </w:numPr>
      </w:pPr>
      <w:r>
        <w:t xml:space="preserve">El selector</w:t>
      </w:r>
      <w:r>
        <w:t xml:space="preserve"> </w:t>
      </w:r>
      <w:r>
        <w:rPr>
          <w:b/>
          <w:bCs/>
        </w:rPr>
        <w:t xml:space="preserve">Estadístico de barras de error</w:t>
      </w:r>
      <w:r>
        <w:t xml:space="preserve"> </w:t>
      </w:r>
      <w:r>
        <w:t xml:space="preserve">controla las barras de desviación cuando están disponibles: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SD</w:t>
      </w:r>
      <w:r>
        <w:t xml:space="preserve">/</w:t>
      </w:r>
      <w:r>
        <w:rPr>
          <w:rStyle w:val="VerbatimChar"/>
        </w:rPr>
        <w:t xml:space="preserve">DE</w:t>
      </w:r>
      <w:r>
        <w:t xml:space="preserve">: media +/- desviación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SEM</w:t>
      </w:r>
      <w:r>
        <w:t xml:space="preserve">: media +/- error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Min-Max</w:t>
      </w:r>
      <w:r>
        <w:t xml:space="preserve">: mínimo observado a máximo observado; disponible solo en Caja.</w:t>
      </w:r>
    </w:p>
    <w:p>
      <w:pPr>
        <w:pStyle w:val="Compact"/>
        <w:numPr>
          <w:ilvl w:val="0"/>
          <w:numId w:val="1030"/>
        </w:numPr>
      </w:pPr>
      <w:r>
        <w:t xml:space="preserve">La sección desplegable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está disponible para gráficos individuales.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Familia tipográfica</w:t>
      </w:r>
      <w:r>
        <w:t xml:space="preserve"> </w:t>
      </w:r>
      <w:r>
        <w:t xml:space="preserve">se aplica a todo el texto del gráfico actual. Las opciones incluyen fuentes comunes de publicación y sistema como Helvetica, Arial, Calibri, Cambria, Segoe UI, Times New Roman, Georgia, Verdana y variantes relacionadas.</w:t>
      </w:r>
    </w:p>
    <w:p>
      <w:pPr>
        <w:pStyle w:val="Compact"/>
        <w:numPr>
          <w:ilvl w:val="0"/>
          <w:numId w:val="1030"/>
        </w:numPr>
      </w:pPr>
      <w:r>
        <w:t xml:space="preserve">Negrita, cursiva y subrayado se aplican de forma independiente por tipo de texto: título del gráfico, títulos de ejes, etiquetas de ticks de ejes, leyenda, etiquetas de datos y texto de significancia.</w:t>
      </w:r>
    </w:p>
    <w:p>
      <w:pPr>
        <w:pStyle w:val="Compact"/>
        <w:numPr>
          <w:ilvl w:val="0"/>
          <w:numId w:val="1030"/>
        </w:numPr>
      </w:pPr>
      <w:r>
        <w:t xml:space="preserve">El estilo de títulos de eje se aplica tanto al título del eje X como al del eje Y cuando esos títulos están visibles. El estilo de etiquetas de ticks se aplica a las etiquetas mostradas en los ejes, sean números o categorías.</w:t>
      </w:r>
    </w:p>
    <w:p>
      <w:pPr>
        <w:pStyle w:val="Compact"/>
        <w:numPr>
          <w:ilvl w:val="0"/>
          <w:numId w:val="1030"/>
        </w:numPr>
      </w:pPr>
      <w:r>
        <w:t xml:space="preserve">Los controles de leyenda incluyen si se muestra a la derecha cuando corresponde, además del tamaño y estilo del texto de la leyenda (normal, negrita, cursiva y/o subrayado).</w:t>
      </w:r>
    </w:p>
    <w:p>
      <w:pPr>
        <w:pStyle w:val="Compact"/>
        <w:numPr>
          <w:ilvl w:val="0"/>
          <w:numId w:val="1030"/>
        </w:numPr>
      </w:pPr>
      <w:r>
        <w:t xml:space="preserve">Cada tipo de texto puede tener su propia combinación de estilos; subrayar significancia, por ejemplo, no obliga a subrayar el título ni la leyenda.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Voltear orientación (horizontal)</w:t>
      </w:r>
      <w:r>
        <w:t xml:space="preserve">, cuando está disponible, solo cambia la orientación visual. Conserva los mismos valores graficados, leyendas, familia tipográfica, ajustes de negrita/cursiva/subrayado, barras de error y anotaciones de significancia.</w:t>
      </w:r>
    </w:p>
    <w:p>
      <w:pPr>
        <w:pStyle w:val="Compact"/>
        <w:numPr>
          <w:ilvl w:val="0"/>
          <w:numId w:val="1030"/>
        </w:numPr>
      </w:pPr>
      <w:r>
        <w:t xml:space="preserve">Estos ajustes se aplican a la previsualización y se incluyen al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CaptionedFigure"/>
      </w:pPr>
      <w:r>
        <w:drawing>
          <wp:inline>
            <wp:extent cx="3185962" cy="5014762"/>
            <wp:effectExtent b="0" l="0" r="0" t="0"/>
            <wp:docPr descr="Controles de estilo de texto" title="" id="48" name="Picture"/>
            <a:graphic>
              <a:graphicData uri="http://schemas.openxmlformats.org/drawingml/2006/picture">
                <pic:pic>
                  <pic:nvPicPr>
                    <pic:cNvPr descr="manual_images/11_text_styling_contro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962" cy="501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Controles de estilo de texto</w:t>
      </w:r>
    </w:p>
    <w:bookmarkEnd w:id="50"/>
    <w:bookmarkStart w:id="54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Pasos recomendados:</w:t>
      </w:r>
    </w:p>
    <w:p>
      <w:pPr>
        <w:pStyle w:val="Compact"/>
        <w:numPr>
          <w:ilvl w:val="0"/>
          <w:numId w:val="1032"/>
        </w:numPr>
      </w:pPr>
      <w:r>
        <w:t xml:space="preserve">Desde cada gráfico,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Abrir pestaña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Seleccionar y ordenar gráficos.</w:t>
      </w:r>
    </w:p>
    <w:p>
      <w:pPr>
        <w:pStyle w:val="Compact"/>
        <w:numPr>
          <w:ilvl w:val="0"/>
          <w:numId w:val="1032"/>
        </w:numPr>
      </w:pPr>
      <w:r>
        <w:t xml:space="preserve">Configurar layout (filas/columnas, malla, tamaño final).</w:t>
      </w:r>
    </w:p>
    <w:p>
      <w:pPr>
        <w:pStyle w:val="Compact"/>
        <w:numPr>
          <w:ilvl w:val="0"/>
          <w:numId w:val="1032"/>
        </w:numPr>
      </w:pPr>
      <w:r>
        <w:t xml:space="preserve">Ajustar estilo (modo de leyenda, lado de leyenda, fuentes, tamaños, paleta).</w:t>
      </w:r>
    </w:p>
    <w:p>
      <w:pPr>
        <w:pStyle w:val="Compact"/>
        <w:numPr>
          <w:ilvl w:val="0"/>
          <w:numId w:val="1032"/>
        </w:numPr>
      </w:pPr>
      <w:r>
        <w:t xml:space="preserve">Agregar texto enriquecido y overrides opcionales.</w:t>
      </w:r>
    </w:p>
    <w:p>
      <w:pPr>
        <w:pStyle w:val="Compact"/>
        <w:numPr>
          <w:ilvl w:val="0"/>
          <w:numId w:val="1032"/>
        </w:numPr>
      </w:pPr>
      <w:r>
        <w:t xml:space="preserve">Exportar a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t xml:space="preserve">Los controles de estilo de la composición se aplican en paralelo a todos los gráficos seleccionados. La sección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de composición replica los controles de gráficos individuales: la familia tipográfica se aplica a todo el texto de todos los gráficos, mientras que negrita/cursiva/subrayado se seleccionan por separado para títulos, ejes, leyendas, etiquetas de datos y texto de significancia. Las exportaciones de composición conservan estos ajustes en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PPTX</w:t>
      </w:r>
      <w:r>
        <w:t xml:space="preserve">.</w:t>
      </w:r>
    </w:p>
    <w:p>
      <w:pPr>
        <w:pStyle w:val="CaptionedFigure"/>
      </w:pPr>
      <w:r>
        <w:drawing>
          <wp:inline>
            <wp:extent cx="5334000" cy="2115879"/>
            <wp:effectExtent b="0" l="0" r="0" t="0"/>
            <wp:docPr descr="Configuración de significancia y anotaciones" title="" id="52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Configuración de significancia y anotaciones</w:t>
      </w:r>
    </w:p>
    <w:bookmarkEnd w:id="54"/>
    <w:bookmarkEnd w:id="55"/>
    <w:bookmarkStart w:id="56" w:name="normalización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3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Si no hay emparejamiento estricto, se aplica lógica de respaldo.</w:t>
      </w:r>
    </w:p>
    <w:bookmarkEnd w:id="56"/>
    <w:bookmarkStart w:id="58" w:name="estadística"/>
    <w:p>
      <w:pPr>
        <w:pStyle w:val="Heading2"/>
      </w:pPr>
      <w:r>
        <w:t xml:space="preserve">8. Estadística</w:t>
      </w:r>
    </w:p>
    <w:bookmarkStart w:id="57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4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4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4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4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4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4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4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4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5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5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5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5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BodyText"/>
      </w:pPr>
      <w:r>
        <w:t xml:space="preserve">El acordeón</w:t>
      </w:r>
      <w:r>
        <w:t xml:space="preserve"> </w:t>
      </w:r>
      <w:r>
        <w:rPr>
          <w:b/>
          <w:bCs/>
        </w:rPr>
        <w:t xml:space="preserve">Estadística de curvas</w:t>
      </w:r>
      <w:r>
        <w:t xml:space="preserve"> </w:t>
      </w:r>
      <w:r>
        <w:t xml:space="preserve">aparece para gráficos de Curvas. Selecciona uno o más métodos y luego usa</w:t>
      </w:r>
      <w:r>
        <w:t xml:space="preserve"> </w:t>
      </w:r>
      <w:r>
        <w:rPr>
          <w:b/>
          <w:bCs/>
        </w:rPr>
        <w:t xml:space="preserve">Ejecutar estadística de curvas</w:t>
      </w:r>
      <w:r>
        <w:t xml:space="preserve"> </w:t>
      </w:r>
      <w:r>
        <w:t xml:space="preserve">para generar la tabla de resultados.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7"/>
        </w:numPr>
      </w:pPr>
      <w:r>
        <w:t xml:space="preserve">Todos contra todos</w:t>
      </w:r>
    </w:p>
    <w:p>
      <w:pPr>
        <w:pStyle w:val="Compact"/>
        <w:numPr>
          <w:ilvl w:val="0"/>
          <w:numId w:val="1037"/>
        </w:numPr>
      </w:pPr>
      <w:r>
        <w:t xml:space="preserve">Control contra todos</w:t>
      </w:r>
    </w:p>
    <w:p>
      <w:pPr>
        <w:pStyle w:val="Compact"/>
        <w:numPr>
          <w:ilvl w:val="0"/>
          <w:numId w:val="1037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38"/>
        </w:numPr>
      </w:pPr>
      <w:r>
        <w:t xml:space="preserve">Holm</w:t>
      </w:r>
    </w:p>
    <w:p>
      <w:pPr>
        <w:pStyle w:val="Compact"/>
        <w:numPr>
          <w:ilvl w:val="0"/>
          <w:numId w:val="1038"/>
        </w:numPr>
      </w:pPr>
      <w:r>
        <w:t xml:space="preserve">FDR</w:t>
      </w:r>
    </w:p>
    <w:p>
      <w:pPr>
        <w:pStyle w:val="Compact"/>
        <w:numPr>
          <w:ilvl w:val="0"/>
          <w:numId w:val="1038"/>
        </w:numPr>
      </w:pPr>
      <w:r>
        <w:t xml:space="preserve">Bonferroni</w:t>
      </w:r>
    </w:p>
    <w:p>
      <w:pPr>
        <w:pStyle w:val="Compact"/>
        <w:numPr>
          <w:ilvl w:val="0"/>
          <w:numId w:val="1038"/>
        </w:numPr>
      </w:pPr>
      <w:r>
        <w:t xml:space="preserve">Ninguna</w:t>
      </w:r>
    </w:p>
    <w:p>
      <w:pPr>
        <w:pStyle w:val="FirstParagraph"/>
      </w:pPr>
      <w:r>
        <w:t xml:space="preserve">Para gráficos</w:t>
      </w:r>
      <w:r>
        <w:t xml:space="preserve"> </w:t>
      </w:r>
      <w:r>
        <w:rPr>
          <w:b/>
          <w:bCs/>
        </w:rPr>
        <w:t xml:space="preserve">Apilados</w:t>
      </w:r>
      <w:r>
        <w:t xml:space="preserve">, la normalidad y la significancia se calculan por separado para cada parámetro incluido. La tabla de salida incluye</w:t>
      </w:r>
      <w:r>
        <w:t xml:space="preserve"> </w:t>
      </w:r>
      <w:r>
        <w:rPr>
          <w:rStyle w:val="VerbatimChar"/>
        </w:rPr>
        <w:t xml:space="preserve">Parameter</w:t>
      </w:r>
      <w:r>
        <w:t xml:space="preserve">, y cada comparación por parámetro debe coincidir con la misma comparación ejecutada desde el gráfico de ese parámetro individual.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57"/>
    <w:bookmarkEnd w:id="58"/>
    <w:bookmarkStart w:id="59" w:name="anotaciones-de-significancia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39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39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39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40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40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40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Reemplaza o agrega anotaciones.</w:t>
      </w:r>
    </w:p>
    <w:p>
      <w:pPr>
        <w:pStyle w:val="FirstParagraph"/>
      </w:pPr>
      <w:r>
        <w:t xml:space="preserve">Para gráficos</w:t>
      </w:r>
      <w:r>
        <w:t xml:space="preserve"> </w:t>
      </w:r>
      <w:r>
        <w:rPr>
          <w:b/>
          <w:bCs/>
        </w:rPr>
        <w:t xml:space="preserve">Apilados</w:t>
      </w:r>
      <w:r>
        <w:t xml:space="preserve">, elige el parámetro antes de agregar una etiqueta. Las etiquetas automáticas conservan la identidad del parámetro y se ubican sobre el grupo objetivo seleccionado para ese parámetro.</w:t>
      </w:r>
    </w:p>
    <w:bookmarkEnd w:id="59"/>
    <w:bookmarkStart w:id="65" w:name="control-de-calidad-y-réplicas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41"/>
        </w:numPr>
      </w:pPr>
      <w:r>
        <w:t xml:space="preserve">Valores faltantes.</w:t>
      </w:r>
    </w:p>
    <w:p>
      <w:pPr>
        <w:pStyle w:val="Compact"/>
        <w:numPr>
          <w:ilvl w:val="0"/>
          <w:numId w:val="1041"/>
        </w:numPr>
      </w:pPr>
      <w:r>
        <w:t xml:space="preserve">Outliers por grupo.</w:t>
      </w:r>
    </w:p>
    <w:p>
      <w:pPr>
        <w:pStyle w:val="Compact"/>
        <w:numPr>
          <w:ilvl w:val="0"/>
          <w:numId w:val="1041"/>
        </w:numPr>
      </w:pPr>
      <w:r>
        <w:t xml:space="preserve">Tamaño muestral y cobertura de réplicas.</w:t>
      </w:r>
    </w:p>
    <w:bookmarkStart w:id="60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2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2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2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3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3"/>
        </w:numPr>
      </w:pPr>
      <w:r>
        <w:t xml:space="preserve">Conserva las de menor puntaje (más reproducibles).</w:t>
      </w:r>
    </w:p>
    <w:bookmarkEnd w:id="60"/>
    <w:bookmarkStart w:id="64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4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4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4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4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4"/>
        </w:numPr>
      </w:pPr>
      <w:r>
        <w:t xml:space="preserve">Keep-N técnico por subgrupo.</w:t>
      </w:r>
    </w:p>
    <w:p>
      <w:pPr>
        <w:pStyle w:val="CaptionedFigure"/>
      </w:pPr>
      <w:r>
        <w:drawing>
          <wp:inline>
            <wp:extent cx="5334000" cy="2228174"/>
            <wp:effectExtent b="0" l="0" r="0" t="0"/>
            <wp:docPr descr="Filtrado de réplicas biológicas" title="" id="62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Filtrado de réplicas biológicas</w:t>
      </w:r>
    </w:p>
    <w:bookmarkEnd w:id="64"/>
    <w:bookmarkEnd w:id="65"/>
    <w:bookmarkStart w:id="66" w:name="metadatos-y-reproducibilidad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5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5"/>
        </w:numPr>
      </w:pPr>
      <w:r>
        <w:t xml:space="preserve">El estado de orientación horizontal se conserva en roundtrip.</w:t>
      </w:r>
    </w:p>
    <w:p>
      <w:pPr>
        <w:pStyle w:val="Compact"/>
        <w:numPr>
          <w:ilvl w:val="0"/>
          <w:numId w:val="1045"/>
        </w:numPr>
      </w:pPr>
      <w:r>
        <w:t xml:space="preserve">Las opciones tipográficas se conservan en el roundtrip de metadatos, incluyendo familia de letra, tamaños y estado normal/negrita/cursiva/subrayado para título del gráfico, títulos de eje X/Y, etiquetas de ticks de ejes, texto de leyenda, etiquetas de datos y texto de significancia.</w:t>
      </w:r>
    </w:p>
    <w:p>
      <w:pPr>
        <w:pStyle w:val="Compact"/>
        <w:numPr>
          <w:ilvl w:val="0"/>
          <w:numId w:val="1045"/>
        </w:numPr>
      </w:pPr>
      <w:r>
        <w:t xml:space="preserve">La visibilidad/posición de la leyenda, incluyendo la selección de leyenda a la derecha cuando corresponde, se guarda en metadatos y se aplica nuevamente al cargarlos.</w:t>
      </w:r>
    </w:p>
    <w:p>
      <w:pPr>
        <w:pStyle w:val="Compact"/>
        <w:numPr>
          <w:ilvl w:val="0"/>
          <w:numId w:val="1045"/>
        </w:numPr>
      </w:pPr>
      <w:r>
        <w:t xml:space="preserve">El estadístico de barras de error y la selección de métodos de estadística de curvas se conservan en el roundtrip de metadatos.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6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6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6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7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7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7"/>
        </w:numPr>
      </w:pPr>
      <w:r>
        <w:t xml:space="preserve">Verificación de orientación en constructores finales.</w:t>
      </w:r>
    </w:p>
    <w:bookmarkEnd w:id="66"/>
    <w:bookmarkStart w:id="67" w:name="descargas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48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48"/>
        </w:numPr>
      </w:pPr>
      <w:r>
        <w:t xml:space="preserve">Exportación de datos.</w:t>
      </w:r>
    </w:p>
    <w:p>
      <w:pPr>
        <w:pStyle w:val="Compact"/>
        <w:numPr>
          <w:ilvl w:val="0"/>
          <w:numId w:val="1048"/>
        </w:numPr>
      </w:pPr>
      <w:r>
        <w:t xml:space="preserve">Exportación de metadatos.</w:t>
      </w:r>
    </w:p>
    <w:p>
      <w:pPr>
        <w:pStyle w:val="Compact"/>
        <w:numPr>
          <w:ilvl w:val="0"/>
          <w:numId w:val="1048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48"/>
        </w:numPr>
      </w:pPr>
      <w:r>
        <w:t xml:space="preserve">Bundle ZIP.</w:t>
      </w:r>
    </w:p>
    <w:p>
      <w:pPr>
        <w:pStyle w:val="Compact"/>
        <w:numPr>
          <w:ilvl w:val="0"/>
          <w:numId w:val="1048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48"/>
        </w:numPr>
      </w:pPr>
      <w:r>
        <w:t xml:space="preserve">Exportación de merge platemap/curvas (si se usó merge).</w:t>
      </w:r>
    </w:p>
    <w:p>
      <w:pPr>
        <w:pStyle w:val="FirstParagraph"/>
      </w:pPr>
      <w:r>
        <w:t xml:space="preserve">Las exportaciones de gráficos conservan la configuración visual activa, incluyendo familia tipográfica, estilos por tipo de texto (negrita/cursiva/subrayado), estadístico de barras de error seleccionado, etiquetas de significancia y ajustes de ejes/leyenda. Las exportaciones de composición conservan los mismos controles tipográficos en todos los gráficos del layout.</w:t>
      </w:r>
    </w:p>
    <w:bookmarkEnd w:id="67"/>
    <w:bookmarkStart w:id="71" w:name="módulo-de-crecimiento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49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t xml:space="preserve">Estructuras auto-detectadas:</w:t>
      </w:r>
    </w:p>
    <w:p>
      <w:pPr>
        <w:pStyle w:val="Compact"/>
        <w:numPr>
          <w:ilvl w:val="1"/>
          <w:numId w:val="1050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50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OD0</w:t>
      </w:r>
      <w:r>
        <w:t xml:space="preserve">: señal/OD inicial en el primer punto medido de cada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2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2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2"/>
        </w:numPr>
      </w:pPr>
      <w:r>
        <w:t xml:space="preserve">Ejecuta extracción.</w:t>
      </w:r>
    </w:p>
    <w:p>
      <w:pPr>
        <w:pStyle w:val="Compact"/>
        <w:numPr>
          <w:ilvl w:val="0"/>
          <w:numId w:val="1052"/>
        </w:numPr>
      </w:pPr>
      <w:r>
        <w:t xml:space="preserve">Descarga ZIP de resultados.</w:t>
      </w:r>
    </w:p>
    <w:p>
      <w:pPr>
        <w:pStyle w:val="Compact"/>
        <w:numPr>
          <w:ilvl w:val="0"/>
          <w:numId w:val="1052"/>
        </w:numPr>
      </w:pPr>
      <w:r>
        <w:t xml:space="preserve">Reusa resultados en flujos de gráficos.</w:t>
      </w:r>
    </w:p>
    <w:p>
      <w:pPr>
        <w:pStyle w:val="FirstParagraph"/>
      </w:pPr>
      <w:r>
        <w:t xml:space="preserve">Autoguardado y manejo de interrupciones:</w:t>
      </w:r>
    </w:p>
    <w:p>
      <w:pPr>
        <w:pStyle w:val="Compact"/>
        <w:numPr>
          <w:ilvl w:val="0"/>
          <w:numId w:val="105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Carpeta de autoguardado</w:t>
      </w:r>
      <w:r>
        <w:t xml:space="preserve"> </w:t>
      </w:r>
      <w:r>
        <w:t xml:space="preserve">opcional se puede escribir manualmente o seleccionar con</w:t>
      </w:r>
      <w:r>
        <w:t xml:space="preserve"> </w:t>
      </w:r>
      <w:r>
        <w:rPr>
          <w:b/>
          <w:bCs/>
        </w:rPr>
        <w:t xml:space="preserve">Examinar…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Si no quieres autoguardado, deja esta carpeta en blanco y descarga el ZIP con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53"/>
        </w:numPr>
      </w:pPr>
      <w:r>
        <w:t xml:space="preserve">Si escribes una carpeta, debe existir previamente. Si la ruta no existe, BIOSZEN muestra un mensaje para corregirla y no inicia esa corrida hasta que la ruta se corrija o se borre.</w:t>
      </w:r>
    </w:p>
    <w:p>
      <w:pPr>
        <w:pStyle w:val="Compact"/>
        <w:numPr>
          <w:ilvl w:val="0"/>
          <w:numId w:val="1053"/>
        </w:numPr>
      </w:pPr>
      <w:r>
        <w:t xml:space="preserve">Cuando se define una carpeta de autoguardado, los archivos finales</w:t>
      </w:r>
      <w:r>
        <w:t xml:space="preserve"> </w:t>
      </w:r>
      <w:r>
        <w:rPr>
          <w:rStyle w:val="VerbatimChar"/>
        </w:rPr>
        <w:t xml:space="preserve">Curvas_*.xlsx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Parametros_*.xlsx</w:t>
      </w:r>
      <w:r>
        <w:t xml:space="preserve"> </w:t>
      </w:r>
      <w:r>
        <w:t xml:space="preserve">se copian allí automáticamente, y la opción normal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en ZIP sigue disponible.</w:t>
      </w:r>
    </w:p>
    <w:p>
      <w:pPr>
        <w:pStyle w:val="Compact"/>
        <w:numPr>
          <w:ilvl w:val="0"/>
          <w:numId w:val="1053"/>
        </w:numPr>
      </w:pPr>
      <w:r>
        <w:t xml:space="preserve">Durante procesos largos, BIOSZEN guarda puntos de control por well en una carpeta temporal</w:t>
      </w:r>
      <w:r>
        <w:t xml:space="preserve"> </w:t>
      </w:r>
      <w:r>
        <w:rPr>
          <w:rStyle w:val="VerbatimChar"/>
        </w:rPr>
        <w:t xml:space="preserve">BIOSZEN_growth_checkpoints</w:t>
      </w:r>
      <w:r>
        <w:t xml:space="preserve"> </w:t>
      </w:r>
      <w:r>
        <w:t xml:space="preserve">dentro de la carpeta de autoguardado seleccionada. Estos puntos de control permiten reanudar una corrida interrumpida desde los wells ya completados, en lugar de empezar desde cero.</w:t>
      </w:r>
    </w:p>
    <w:p>
      <w:pPr>
        <w:pStyle w:val="Compact"/>
        <w:numPr>
          <w:ilvl w:val="0"/>
          <w:numId w:val="1053"/>
        </w:numPr>
      </w:pPr>
      <w:r>
        <w:t xml:space="preserve">Los puntos de control se eliminan automáticamente después de completar correctamente el proceso o después de reanudarlo con éxito. Solo se conservan cuando el procesamiento se interrumpe antes de terminar.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Detener proceso</w:t>
      </w:r>
      <w:r>
        <w:t xml:space="preserve"> </w:t>
      </w:r>
      <w:r>
        <w:t xml:space="preserve">solicita una cancelación segura. La app puede terminar el well/punto de control actual antes de liberar la corrida para que los archivos parciales sigan siendo utilizables y no se modifique el cálculo de parámetros de crecimiento.</w:t>
      </w:r>
    </w:p>
    <w:p>
      <w:pPr>
        <w:pStyle w:val="CaptionedFigure"/>
      </w:pPr>
      <w:r>
        <w:drawing>
          <wp:inline>
            <wp:extent cx="5334000" cy="2011947"/>
            <wp:effectExtent b="0" l="0" r="0" t="0"/>
            <wp:docPr descr="Flujo de parámetros de crecimiento" title="" id="69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parámetros de crecimiento</w:t>
      </w:r>
    </w:p>
    <w:bookmarkEnd w:id="71"/>
    <w:bookmarkStart w:id="72" w:name="guía-de-solución-de-problemas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72"/>
    <w:bookmarkStart w:id="73" w:name="soporte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61" Target="media/rId6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68" Target="media/rId68.png" /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2026-07-01T03:42:44Z</dcterms:created>
  <dcterms:modified xsi:type="dcterms:W3CDTF">2026-07-01T03:42:44Z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