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5.png" ContentType="image/png"/>
  <Override PartName="/word/media/rId57.png" ContentType="image/png"/>
  <Override PartName="/word/media/rId47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bioszen-user-manual-english"/>
    <w:p>
      <w:pPr>
        <w:pStyle w:val="Heading1"/>
      </w:pPr>
      <w:r>
        <w:t xml:space="preserve">BIOSZEN User Manual (English)</w:t>
      </w:r>
    </w:p>
    <w:p>
      <w:pPr>
        <w:pStyle w:val="FirstParagraph"/>
      </w:pPr>
      <w:r>
        <w:t xml:space="preserve">A practical guide to run BIOSZEN from raw files to reproducible outputs.</w:t>
      </w:r>
    </w:p>
    <w:p>
      <w:pPr>
        <w:pStyle w:val="BodyText"/>
      </w:pPr>
      <w:r>
        <w:drawing>
          <wp:inline>
            <wp:extent cx="5334000" cy="2341239"/>
            <wp:effectExtent b="0" l="0" r="0" t="0"/>
            <wp:docPr descr="BIOSZEN app overview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If possible, use</w:t>
      </w:r>
      <w:r>
        <w:t xml:space="preserve"> </w:t>
      </w:r>
      <w:r>
        <w:rPr>
          <w:b/>
          <w:bCs/>
        </w:rPr>
        <w:t xml:space="preserve">Platemap + Curves</w:t>
      </w:r>
      <w:r>
        <w:t xml:space="preserve"> </w:t>
      </w:r>
      <w:r>
        <w:t xml:space="preserve">mode. It gives the best support for statistics, replicate QC, and complete exports.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Keep this manual open while working. Each section includes both quick actions and deeper technical reference.</w:t>
      </w:r>
    </w:p>
    <w:bookmarkStart w:id="12" w:name="manual-map"/>
    <w:p>
      <w:pPr>
        <w:pStyle w:val="Heading2"/>
      </w:pPr>
      <w:r>
        <w:t xml:space="preserve">Manual Map</w:t>
      </w:r>
    </w:p>
    <w:p>
      <w:pPr>
        <w:pStyle w:val="Compact"/>
        <w:numPr>
          <w:ilvl w:val="0"/>
          <w:numId w:val="1001"/>
        </w:numPr>
      </w:pPr>
      <w:hyperlink w:anchor="Xcc802c028399c90ef506226ebaf5d25e7c22381">
        <w:r>
          <w:rPr>
            <w:rStyle w:val="Hyperlink"/>
          </w:rPr>
          <w:t xml:space="preserve">1. Before You Start</w:t>
        </w:r>
      </w:hyperlink>
    </w:p>
    <w:p>
      <w:pPr>
        <w:pStyle w:val="Compact"/>
        <w:numPr>
          <w:ilvl w:val="0"/>
          <w:numId w:val="1001"/>
        </w:numPr>
      </w:pPr>
      <w:hyperlink w:anchor="X717faac405ee7bcb1499a96623efaf8a5d1ee47">
        <w:r>
          <w:rPr>
            <w:rStyle w:val="Hyperlink"/>
          </w:rPr>
          <w:t xml:space="preserve">2. Fast Start by Scenario</w:t>
        </w:r>
      </w:hyperlink>
    </w:p>
    <w:p>
      <w:pPr>
        <w:pStyle w:val="Compact"/>
        <w:numPr>
          <w:ilvl w:val="0"/>
          <w:numId w:val="1001"/>
        </w:numPr>
      </w:pPr>
      <w:hyperlink w:anchor="X128ed19147767cebcf7cb23c4bcc70881f470f9">
        <w:r>
          <w:rPr>
            <w:rStyle w:val="Hyperlink"/>
          </w:rPr>
          <w:t xml:space="preserve">3. Choose an Input Mode</w:t>
        </w:r>
      </w:hyperlink>
    </w:p>
    <w:p>
      <w:pPr>
        <w:pStyle w:val="Compact"/>
        <w:numPr>
          <w:ilvl w:val="0"/>
          <w:numId w:val="1001"/>
        </w:numPr>
      </w:pPr>
      <w:hyperlink w:anchor="X6b8972cbac599c5fedbf83a48be69951ca6b7c8">
        <w:r>
          <w:rPr>
            <w:rStyle w:val="Hyperlink"/>
          </w:rPr>
          <w:t xml:space="preserve">4. Input Specifications</w:t>
        </w:r>
      </w:hyperlink>
    </w:p>
    <w:p>
      <w:pPr>
        <w:pStyle w:val="Compact"/>
        <w:numPr>
          <w:ilvl w:val="0"/>
          <w:numId w:val="1001"/>
        </w:numPr>
      </w:pPr>
      <w:hyperlink w:anchor="X2e7b1a4065091c3158d5038f5bc7571dc49a75d">
        <w:r>
          <w:rPr>
            <w:rStyle w:val="Hyperlink"/>
          </w:rPr>
          <w:t xml:space="preserve">5. Standard Workflow</w:t>
        </w:r>
      </w:hyperlink>
    </w:p>
    <w:p>
      <w:pPr>
        <w:pStyle w:val="Compact"/>
        <w:numPr>
          <w:ilvl w:val="0"/>
          <w:numId w:val="1001"/>
        </w:numPr>
      </w:pPr>
      <w:hyperlink w:anchor="X0cb250eb1df454c6760228a2c04c93ed8beae8a">
        <w:r>
          <w:rPr>
            <w:rStyle w:val="Hyperlink"/>
          </w:rPr>
          <w:t xml:space="preserve">6. Plot Types and Controls</w:t>
        </w:r>
      </w:hyperlink>
    </w:p>
    <w:p>
      <w:pPr>
        <w:pStyle w:val="Compact"/>
        <w:numPr>
          <w:ilvl w:val="0"/>
          <w:numId w:val="1001"/>
        </w:numPr>
      </w:pPr>
      <w:hyperlink w:anchor="X115a55130e2baabc52a19ceae26040e6a759372">
        <w:r>
          <w:rPr>
            <w:rStyle w:val="Hyperlink"/>
          </w:rPr>
          <w:t xml:space="preserve">7. Normalization</w:t>
        </w:r>
      </w:hyperlink>
    </w:p>
    <w:p>
      <w:pPr>
        <w:pStyle w:val="Compact"/>
        <w:numPr>
          <w:ilvl w:val="0"/>
          <w:numId w:val="1001"/>
        </w:numPr>
      </w:pPr>
      <w:hyperlink w:anchor="X00c7035554882fbb638d8b5cc72953fcde99525">
        <w:r>
          <w:rPr>
            <w:rStyle w:val="Hyperlink"/>
          </w:rPr>
          <w:t xml:space="preserve">8. Statistics</w:t>
        </w:r>
      </w:hyperlink>
    </w:p>
    <w:p>
      <w:pPr>
        <w:pStyle w:val="Compact"/>
        <w:numPr>
          <w:ilvl w:val="0"/>
          <w:numId w:val="1001"/>
        </w:numPr>
      </w:pPr>
      <w:hyperlink w:anchor="X226b9a1a8acbb38ca74b8f37dcf5f8aa29b93b6">
        <w:r>
          <w:rPr>
            <w:rStyle w:val="Hyperlink"/>
          </w:rPr>
          <w:t xml:space="preserve">9. Significance Annotations</w:t>
        </w:r>
      </w:hyperlink>
    </w:p>
    <w:p>
      <w:pPr>
        <w:pStyle w:val="Compact"/>
        <w:numPr>
          <w:ilvl w:val="0"/>
          <w:numId w:val="1001"/>
        </w:numPr>
      </w:pPr>
      <w:hyperlink w:anchor="X74088aaef10aeab96f289eb9220b0777e0698d0">
        <w:r>
          <w:rPr>
            <w:rStyle w:val="Hyperlink"/>
          </w:rPr>
          <w:t xml:space="preserve">10. QC and Replicate Management</w:t>
        </w:r>
      </w:hyperlink>
    </w:p>
    <w:p>
      <w:pPr>
        <w:pStyle w:val="Compact"/>
        <w:numPr>
          <w:ilvl w:val="0"/>
          <w:numId w:val="1001"/>
        </w:numPr>
      </w:pPr>
      <w:hyperlink w:anchor="X027b5303909c1c711c784491c3eab67dd715d28">
        <w:r>
          <w:rPr>
            <w:rStyle w:val="Hyperlink"/>
          </w:rPr>
          <w:t xml:space="preserve">11. Metadata and Reproducibility</w:t>
        </w:r>
      </w:hyperlink>
    </w:p>
    <w:p>
      <w:pPr>
        <w:pStyle w:val="Compact"/>
        <w:numPr>
          <w:ilvl w:val="0"/>
          <w:numId w:val="1001"/>
        </w:numPr>
      </w:pPr>
      <w:hyperlink w:anchor="Xdaccffce00e124c4dc2e12129d423a1de5e7d51">
        <w:r>
          <w:rPr>
            <w:rStyle w:val="Hyperlink"/>
          </w:rPr>
          <w:t xml:space="preserve">12. Downloads</w:t>
        </w:r>
      </w:hyperlink>
    </w:p>
    <w:p>
      <w:pPr>
        <w:pStyle w:val="Compact"/>
        <w:numPr>
          <w:ilvl w:val="0"/>
          <w:numId w:val="1001"/>
        </w:numPr>
      </w:pPr>
      <w:hyperlink w:anchor="Xe593582c9f00b53676a004fd4095b4d203d92ef">
        <w:r>
          <w:rPr>
            <w:rStyle w:val="Hyperlink"/>
          </w:rPr>
          <w:t xml:space="preserve">13. Growth Module</w:t>
        </w:r>
      </w:hyperlink>
    </w:p>
    <w:p>
      <w:pPr>
        <w:pStyle w:val="Compact"/>
        <w:numPr>
          <w:ilvl w:val="0"/>
          <w:numId w:val="1001"/>
        </w:numPr>
      </w:pPr>
      <w:hyperlink w:anchor="X412317ec57e4cfdc618c120090edd958d43de49">
        <w:r>
          <w:rPr>
            <w:rStyle w:val="Hyperlink"/>
          </w:rPr>
          <w:t xml:space="preserve">14. Troubleshooting Playbook</w:t>
        </w:r>
      </w:hyperlink>
    </w:p>
    <w:p>
      <w:pPr>
        <w:pStyle w:val="Compact"/>
        <w:numPr>
          <w:ilvl w:val="0"/>
          <w:numId w:val="1001"/>
        </w:numPr>
      </w:pPr>
      <w:hyperlink w:anchor="Xcd58510a2561031e4603a64a38bc819a9ac6e6a">
        <w:r>
          <w:rPr>
            <w:rStyle w:val="Hyperlink"/>
          </w:rPr>
          <w:t xml:space="preserve">15. Support</w:t>
        </w:r>
      </w:hyperlink>
    </w:p>
    <w:bookmarkEnd w:id="12"/>
    <w:bookmarkStart w:id="17" w:name="Xcc802c028399c90ef506226ebaf5d25e7c22381"/>
    <w:p>
      <w:pPr>
        <w:pStyle w:val="Heading2"/>
      </w:pPr>
      <w:r>
        <w:t xml:space="preserve">1. Before You Start</w:t>
      </w:r>
    </w:p>
    <w:p>
      <w:pPr>
        <w:pStyle w:val="FirstParagraph"/>
      </w:pPr>
      <w:r>
        <w:t xml:space="preserve">Requirements: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launched from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Data file for</w:t>
      </w:r>
      <w:r>
        <w:t xml:space="preserve"> </w:t>
      </w:r>
      <w:r>
        <w:rPr>
          <w:b/>
          <w:bCs/>
        </w:rPr>
        <w:t xml:space="preserve">Load Data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Curves file for</w:t>
      </w:r>
      <w:r>
        <w:t xml:space="preserve"> </w:t>
      </w:r>
      <w:r>
        <w:rPr>
          <w:b/>
          <w:bCs/>
        </w:rPr>
        <w:t xml:space="preserve">Load Curves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when curves are not embedded in the main workbook.</w:t>
      </w:r>
    </w:p>
    <w:p>
      <w:pPr>
        <w:pStyle w:val="FirstParagraph"/>
      </w:pPr>
      <w:r>
        <w:t xml:space="preserve">Reference templates available in-app (</w:t>
      </w:r>
      <w:r>
        <w:rPr>
          <w:b/>
          <w:bCs/>
        </w:rPr>
        <w:t xml:space="preserve">Reference input files (download)</w:t>
      </w:r>
      <w:r>
        <w:t xml:space="preserve">) and in: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Template files: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First launch may install packages into local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Keep that folder to avoid reinstalling dependencies.</w:t>
      </w:r>
    </w:p>
    <w:bookmarkEnd w:id="17"/>
    <w:bookmarkStart w:id="24" w:name="X717faac405ee7bcb1499a96623efaf8a5d1ee47"/>
    <w:p>
      <w:pPr>
        <w:pStyle w:val="Heading2"/>
      </w:pPr>
      <w:r>
        <w:t xml:space="preserve">2. Fast Start by Scenario</w:t>
      </w:r>
    </w:p>
    <w:bookmarkStart w:id="18" w:name="Xa7fd6d851aa97e621ff7d312d1eecc596d93a28"/>
    <w:p>
      <w:pPr>
        <w:pStyle w:val="Heading3"/>
      </w:pPr>
      <w:r>
        <w:t xml:space="preserve">Scenario A: I have raw plate data and curves (recommended)</w:t>
      </w:r>
    </w:p>
    <w:p>
      <w:pPr>
        <w:pStyle w:val="Compact"/>
        <w:numPr>
          <w:ilvl w:val="0"/>
          <w:numId w:val="1005"/>
        </w:numPr>
      </w:pPr>
      <w:r>
        <w:t xml:space="preserve">Load platemap in</w:t>
      </w:r>
      <w:r>
        <w:t xml:space="preserve"> </w:t>
      </w:r>
      <w:r>
        <w:rPr>
          <w:b/>
          <w:bCs/>
        </w:rPr>
        <w:t xml:space="preserve">Load Data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Load curves file in</w:t>
      </w:r>
      <w:r>
        <w:t xml:space="preserve"> </w:t>
      </w:r>
      <w:r>
        <w:rPr>
          <w:b/>
          <w:bCs/>
        </w:rPr>
        <w:t xml:space="preserve">Load Curves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 scope and plot type.</w:t>
      </w:r>
    </w:p>
    <w:p>
      <w:pPr>
        <w:pStyle w:val="Compact"/>
        <w:numPr>
          <w:ilvl w:val="0"/>
          <w:numId w:val="1005"/>
        </w:numPr>
      </w:pPr>
      <w:r>
        <w:t xml:space="preserve">Apply filters and replicate QC.</w:t>
      </w:r>
    </w:p>
    <w:p>
      <w:pPr>
        <w:pStyle w:val="Compact"/>
        <w:numPr>
          <w:ilvl w:val="0"/>
          <w:numId w:val="1005"/>
        </w:numPr>
      </w:pPr>
      <w:r>
        <w:t xml:space="preserve">Run stats and annotations.</w:t>
      </w:r>
    </w:p>
    <w:p>
      <w:pPr>
        <w:pStyle w:val="Compact"/>
        <w:numPr>
          <w:ilvl w:val="0"/>
          <w:numId w:val="1005"/>
        </w:numPr>
      </w:pPr>
      <w:r>
        <w:t xml:space="preserve">Export plot, tables, metadata, and ZIP bundle.</w:t>
      </w:r>
    </w:p>
    <w:bookmarkEnd w:id="18"/>
    <w:bookmarkStart w:id="19" w:name="Xfb5a9e6fb4846348544dde5a71c800812e0227b"/>
    <w:p>
      <w:pPr>
        <w:pStyle w:val="Heading3"/>
      </w:pPr>
      <w:r>
        <w:t xml:space="preserve">Scenario B: I only have grouped or summary data</w:t>
      </w:r>
    </w:p>
    <w:p>
      <w:pPr>
        <w:pStyle w:val="Compact"/>
        <w:numPr>
          <w:ilvl w:val="0"/>
          <w:numId w:val="1006"/>
        </w:numPr>
      </w:pPr>
      <w:r>
        <w:t xml:space="preserve">Load grouped/summary workbook in</w:t>
      </w:r>
      <w:r>
        <w:t xml:space="preserve"> </w:t>
      </w:r>
      <w:r>
        <w:rPr>
          <w:b/>
          <w:bCs/>
        </w:rPr>
        <w:t xml:space="preserve">Load Data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Configure plots and filters.</w:t>
      </w:r>
    </w:p>
    <w:p>
      <w:pPr>
        <w:pStyle w:val="Compact"/>
        <w:numPr>
          <w:ilvl w:val="0"/>
          <w:numId w:val="1006"/>
        </w:numPr>
      </w:pPr>
      <w:r>
        <w:t xml:space="preserve">Run available stats for that mode.</w:t>
      </w:r>
    </w:p>
    <w:p>
      <w:pPr>
        <w:pStyle w:val="Compact"/>
        <w:numPr>
          <w:ilvl w:val="0"/>
          <w:numId w:val="1006"/>
        </w:numPr>
      </w:pPr>
      <w:r>
        <w:t xml:space="preserve">Export plots and metadata.</w:t>
      </w:r>
    </w:p>
    <w:bookmarkEnd w:id="19"/>
    <w:bookmarkStart w:id="23" w:name="X98e459497506ff727301c25765f2a946169182f"/>
    <w:p>
      <w:pPr>
        <w:pStyle w:val="Heading3"/>
      </w:pPr>
      <w:r>
        <w:t xml:space="preserve">Scenario C: I need performance on larger datasets</w:t>
      </w:r>
    </w:p>
    <w:p>
      <w:pPr>
        <w:pStyle w:val="Compact"/>
        <w:numPr>
          <w:ilvl w:val="0"/>
          <w:numId w:val="1007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Load Data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Keep selected parameters small while iterating.</w:t>
      </w:r>
    </w:p>
    <w:p>
      <w:pPr>
        <w:pStyle w:val="Compact"/>
        <w:numPr>
          <w:ilvl w:val="0"/>
          <w:numId w:val="1007"/>
        </w:numPr>
      </w:pPr>
      <w:r>
        <w:t xml:space="preserve">Add overlays/advanced layers only near final export.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Plot setup and layers" title="" id="21" name="Picture"/>
            <a:graphic>
              <a:graphicData uri="http://schemas.openxmlformats.org/drawingml/2006/picture">
                <pic:pic>
                  <pic:nvPicPr>
                    <pic:cNvPr descr="manual_images/02_plot_setup_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5" w:name="X128ed19147767cebcf7cb23c4bcc70881f470f9"/>
    <w:p>
      <w:pPr>
        <w:pStyle w:val="Heading2"/>
      </w:pPr>
      <w:r>
        <w:t xml:space="preserve">3. Choose an Input Mode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Curves</w:t>
      </w:r>
      <w:r>
        <w:br/>
      </w:r>
      <w:r>
        <w:t xml:space="preserve">Best when: You want full workflow depth.</w:t>
      </w:r>
      <w:r>
        <w:br/>
      </w:r>
      <w:r>
        <w:t xml:space="preserve">Main limitations: Requires strict well mapping and sheet structure.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Grouped parameters</w:t>
      </w:r>
      <w:r>
        <w:br/>
      </w:r>
      <w:r>
        <w:t xml:space="preserve">Best when: Parameter-only analysis.</w:t>
      </w:r>
      <w:r>
        <w:br/>
      </w:r>
      <w:r>
        <w:t xml:space="preserve">Main limitations: Curves require embedded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-type sheets (or a separate file in</w:t>
      </w:r>
      <w:r>
        <w:t xml:space="preserve"> </w:t>
      </w:r>
      <w:r>
        <w:rPr>
          <w:b/>
          <w:bCs/>
        </w:rPr>
        <w:t xml:space="preserve">Load Curves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Summary (Mean/SD/N)</w:t>
      </w:r>
      <w:r>
        <w:br/>
      </w:r>
      <w:r>
        <w:t xml:space="preserve">Best when: Raw replicate rows are unavailable.</w:t>
      </w:r>
      <w:r>
        <w:br/>
      </w:r>
      <w:r>
        <w:t xml:space="preserve">Main limitations: Some normality/non-parametric routes may be limited.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CSV mode</w:t>
      </w:r>
      <w:r>
        <w:br/>
      </w:r>
      <w:r>
        <w:t xml:space="preserve">Best when: High-volume data and faster IO.</w:t>
      </w:r>
      <w:r>
        <w:br/>
      </w:r>
      <w:r>
        <w:t xml:space="preserve">Main limitations: Metadata roundtrip still uses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5"/>
    <w:bookmarkStart w:id="34" w:name="X6b8972cbac599c5fedbf83a48be69951ca6b7c8"/>
    <w:p>
      <w:pPr>
        <w:pStyle w:val="Heading2"/>
      </w:pPr>
      <w:r>
        <w:t xml:space="preserve">4. Input Specifications</w:t>
      </w:r>
    </w:p>
    <w:bookmarkStart w:id="26" w:name="X0605fe61617601d5dc607a15bb9e5babb26d0bd"/>
    <w:p>
      <w:pPr>
        <w:pStyle w:val="Heading3"/>
      </w:pPr>
      <w:r>
        <w:t xml:space="preserve">4.1 Platemap workbook</w:t>
      </w:r>
    </w:p>
    <w:p>
      <w:pPr>
        <w:pStyle w:val="FirstParagraph"/>
      </w:pPr>
      <w:r>
        <w:t xml:space="preserve">Required sheets: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parameters.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default axis settings by parameter.</w:t>
      </w:r>
    </w:p>
    <w:p>
      <w:pPr>
        <w:pStyle w:val="FirstParagraph"/>
      </w:pPr>
      <w:r>
        <w:rPr>
          <w:rStyle w:val="VerbatimChar"/>
        </w:rPr>
        <w:t xml:space="preserve">Datos</w:t>
      </w:r>
      <w:r>
        <w:t xml:space="preserve"> </w:t>
      </w:r>
      <w:r>
        <w:t xml:space="preserve">expected columns: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well ID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required for curves linking.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strain or biological group.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condition/treatment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biological replicate ID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...).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technical replicate within each biological replicate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(compatibility): legacy alternate biological replicate field.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integer used for plotting/export ordering.</w:t>
      </w:r>
    </w:p>
    <w:p>
      <w:pPr>
        <w:pStyle w:val="Compact"/>
        <w:numPr>
          <w:ilvl w:val="0"/>
          <w:numId w:val="1010"/>
        </w:numPr>
      </w:pPr>
      <w:r>
        <w:t xml:space="preserve">Parameter columns: one or more numeric analytes/metrics.</w:t>
      </w:r>
    </w:p>
    <w:p>
      <w:pPr>
        <w:pStyle w:val="FirstParagraph"/>
      </w:pPr>
      <w:r>
        <w:t xml:space="preserve">Practical consistency rule: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should identify each experimental row consistently.</w:t>
      </w:r>
    </w:p>
    <w:p>
      <w:pPr>
        <w:pStyle w:val="FirstParagraph"/>
      </w:pPr>
      <w:r>
        <w:rPr>
          <w:rStyle w:val="VerbatimChar"/>
        </w:rPr>
        <w:t xml:space="preserve">PlotSettings</w:t>
      </w:r>
      <w:r>
        <w:t xml:space="preserve"> </w:t>
      </w:r>
      <w:r>
        <w:t xml:space="preserve">expected columns: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26"/>
    <w:bookmarkStart w:id="27" w:name="Xe43541bf07e4c62d7d45bf62912f7f89f9c08e5"/>
    <w:p>
      <w:pPr>
        <w:pStyle w:val="Heading3"/>
      </w:pPr>
      <w:r>
        <w:t xml:space="preserve">4.2 Curves file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first column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remaining columns by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First column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remaining columns by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4"/>
        </w:numPr>
      </w:pPr>
      <w:r>
        <w:t xml:space="preserve">Axis settings are auto-generated: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observed maxima.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blank by default.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Curves merge failures are usually caused by inconsistent well names between platemap and curves (</w:t>
      </w:r>
      <w:r>
        <w:rPr>
          <w:rStyle w:val="VerbatimChar"/>
        </w:rPr>
        <w:t xml:space="preserve">Well</w:t>
      </w:r>
      <w:r>
        <w:t xml:space="preserve"> </w:t>
      </w:r>
      <w:r>
        <w:t xml:space="preserve">vs curve headers).</w:t>
      </w:r>
    </w:p>
    <w:bookmarkEnd w:id="27"/>
    <w:bookmarkStart w:id="28" w:name="X239cbd4a8b7be852666d20878604d0d97369a89"/>
    <w:p>
      <w:pPr>
        <w:pStyle w:val="Heading3"/>
      </w:pPr>
      <w:r>
        <w:t xml:space="preserve">4.3 Grouped parameters mode</w:t>
      </w:r>
    </w:p>
    <w:p>
      <w:pPr>
        <w:pStyle w:val="Compact"/>
        <w:numPr>
          <w:ilvl w:val="0"/>
          <w:numId w:val="1016"/>
        </w:numPr>
      </w:pPr>
      <w:r>
        <w:t xml:space="preserve">Load grouped workbook in</w:t>
      </w:r>
      <w:r>
        <w:t xml:space="preserve"> </w:t>
      </w:r>
      <w:r>
        <w:rPr>
          <w:b/>
          <w:bCs/>
        </w:rPr>
        <w:t xml:space="preserve">Load Data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Designed for parameter plots/statistics from grouped sheets (for example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...).</w:t>
      </w:r>
    </w:p>
    <w:p>
      <w:pPr>
        <w:pStyle w:val="Compact"/>
        <w:numPr>
          <w:ilvl w:val="0"/>
          <w:numId w:val="1016"/>
        </w:numPr>
      </w:pPr>
      <w:r>
        <w:t xml:space="preserve">Optional embedded curves are supported via summary-curve sheets in the same workbook.</w:t>
      </w:r>
    </w:p>
    <w:p>
      <w:pPr>
        <w:pStyle w:val="Compact"/>
        <w:numPr>
          <w:ilvl w:val="0"/>
          <w:numId w:val="1016"/>
        </w:numPr>
      </w:pPr>
      <w:r>
        <w:t xml:space="preserve">Keep using</w:t>
      </w:r>
      <w:r>
        <w:t xml:space="preserve"> </w:t>
      </w:r>
      <w:r>
        <w:rPr>
          <w:b/>
          <w:bCs/>
        </w:rPr>
        <w:t xml:space="preserve">Load Data</w:t>
      </w:r>
      <w:r>
        <w:t xml:space="preserve"> </w:t>
      </w:r>
      <w:r>
        <w:t xml:space="preserve">for grouped workbooks (do not upload grouped files in</w:t>
      </w:r>
      <w:r>
        <w:t xml:space="preserve"> </w:t>
      </w:r>
      <w:r>
        <w:rPr>
          <w:b/>
          <w:bCs/>
        </w:rPr>
        <w:t xml:space="preserve">Load Curves</w:t>
      </w:r>
      <w:r>
        <w:t xml:space="preserve">).</w:t>
      </w:r>
    </w:p>
    <w:bookmarkEnd w:id="28"/>
    <w:bookmarkStart w:id="29" w:name="Xcbadc8a632b74252ecce5f0e02c8d2548229bde"/>
    <w:p>
      <w:pPr>
        <w:pStyle w:val="Heading3"/>
      </w:pPr>
      <w:r>
        <w:t xml:space="preserve">4.4 Summary mode</w:t>
      </w:r>
    </w:p>
    <w:p>
      <w:pPr>
        <w:pStyle w:val="Compact"/>
        <w:numPr>
          <w:ilvl w:val="0"/>
          <w:numId w:val="1017"/>
        </w:numPr>
      </w:pPr>
      <w:r>
        <w:t xml:space="preserve">Load summary workbook in</w:t>
      </w:r>
      <w:r>
        <w:t xml:space="preserve"> </w:t>
      </w:r>
      <w:r>
        <w:rPr>
          <w:b/>
          <w:bCs/>
        </w:rPr>
        <w:t xml:space="preserve">Load Data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detects parameter summaries from any of these sheet names: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detects embedded curve summaries from any of these sheet names: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Useful when row-level raw replicates are unavailable.</w:t>
      </w:r>
    </w:p>
    <w:p>
      <w:pPr>
        <w:pStyle w:val="Compact"/>
        <w:numPr>
          <w:ilvl w:val="0"/>
          <w:numId w:val="1017"/>
        </w:numPr>
      </w:pPr>
      <w:r>
        <w:t xml:space="preserve">Curves plots require either a valid</w:t>
      </w:r>
      <w:r>
        <w:t xml:space="preserve"> </w:t>
      </w:r>
      <w:r>
        <w:rPr>
          <w:b/>
          <w:bCs/>
        </w:rPr>
        <w:t xml:space="preserve">Load Curves</w:t>
      </w:r>
      <w:r>
        <w:t xml:space="preserve"> </w:t>
      </w:r>
      <w:r>
        <w:t xml:space="preserve">file or an embedded curve-summary sheet.</w:t>
      </w:r>
    </w:p>
    <w:bookmarkEnd w:id="29"/>
    <w:bookmarkStart w:id="30" w:name="X9b6d5804ff663a0063e2ffa1f700ec485883876"/>
    <w:p>
      <w:pPr>
        <w:pStyle w:val="Heading3"/>
      </w:pPr>
      <w:r>
        <w:t xml:space="preserve">4.5 CSV mode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Load Data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auto-detects delimiter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attempts profile conversion when CSV is not already platemap-ready.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Load Curves</w:t>
      </w:r>
      <w:r>
        <w:t xml:space="preserve"> </w:t>
      </w:r>
      <w:r>
        <w:t xml:space="preserve">also accepts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0"/>
    <w:bookmarkStart w:id="33" w:name="X2bee644eb2d3a5adf897f34f1e02f1d8c3b4b94"/>
    <w:p>
      <w:pPr>
        <w:pStyle w:val="Heading3"/>
      </w:pPr>
      <w:r>
        <w:t xml:space="preserve">4.6 Optional AI skill for input preparation</w:t>
      </w:r>
    </w:p>
    <w:p>
      <w:pPr>
        <w:pStyle w:val="FirstParagraph"/>
      </w:pPr>
      <w:r>
        <w:t xml:space="preserve">The GitHub/source repository includes an optional AI-agent skill in the</w:t>
      </w:r>
      <w:r>
        <w:t xml:space="preserve"> </w:t>
      </w:r>
      <w:hyperlink r:id="rId31">
        <w:r>
          <w:rPr>
            <w:rStyle w:val="VerbatimChar"/>
          </w:rPr>
          <w:t xml:space="preserve">skills/bioszen-platemap-curves/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 folder</w:t>
        </w:r>
      </w:hyperlink>
      <w:r>
        <w:t xml:space="preserve">.</w:t>
      </w:r>
      <w:r>
        <w:t xml:space="preserve"> </w:t>
      </w:r>
      <w:r>
        <w:t xml:space="preserve">To use it, give that GitHub folder URL to the corresponding AI tool or agent so</w:t>
      </w:r>
      <w:r>
        <w:t xml:space="preserve"> </w:t>
      </w:r>
      <w:r>
        <w:t xml:space="preserve">it can read or acquire the skill. If the agent needs local files, download the</w:t>
      </w:r>
      <w:r>
        <w:t xml:space="preserve"> </w:t>
      </w:r>
      <w:r>
        <w:t xml:space="preserve">repository ZIP from</w:t>
      </w:r>
      <w:r>
        <w:t xml:space="preserve"> </w:t>
      </w:r>
      <w:hyperlink r:id="rId32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and copy the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folder into your agent's skill system.</w:t>
      </w:r>
    </w:p>
    <w:p>
      <w:pPr>
        <w:pStyle w:val="BodyText"/>
      </w:pPr>
      <w:r>
        <w:t xml:space="preserve">Use this skill from Codex, Claude, Antigravity, or similar agentic tools when</w:t>
      </w:r>
      <w:r>
        <w:t xml:space="preserve"> </w:t>
      </w:r>
      <w:r>
        <w:t xml:space="preserve">you need to generate a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platemap from any readable data</w:t>
      </w:r>
      <w:r>
        <w:t xml:space="preserve"> </w:t>
      </w:r>
      <w:r>
        <w:t xml:space="preserve">file, correct an existing platemap, repair parameter-name typing mistakes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columns and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prepare a separate curves</w:t>
      </w:r>
      <w:r>
        <w:t xml:space="preserve"> </w:t>
      </w:r>
      <w:r>
        <w:t xml:space="preserve">workbook, or validate that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exactly matches curve headers before</w:t>
      </w:r>
      <w:r>
        <w:t xml:space="preserve"> </w:t>
      </w:r>
      <w:r>
        <w:t xml:space="preserve">uploading files to BIOSZEN.</w:t>
      </w:r>
    </w:p>
    <w:p>
      <w:pPr>
        <w:pStyle w:val="BodyText"/>
      </w:pPr>
      <w:r>
        <w:t xml:space="preserve">The skill is a documentation/tooling extra. It does not modify the BIOSZEN app</w:t>
      </w:r>
      <w:r>
        <w:t xml:space="preserve"> </w:t>
      </w:r>
      <w:r>
        <w:t xml:space="preserve">and does not assume fixed parameter names, fixed experiment labels, or a</w:t>
      </w:r>
      <w:r>
        <w:t xml:space="preserve"> </w:t>
      </w:r>
      <w:r>
        <w:t xml:space="preserve">specific measurement type.</w:t>
      </w:r>
    </w:p>
    <w:bookmarkEnd w:id="33"/>
    <w:bookmarkEnd w:id="34"/>
    <w:bookmarkStart w:id="38" w:name="X2e7b1a4065091c3158d5038f5bc7571dc49a75d"/>
    <w:p>
      <w:pPr>
        <w:pStyle w:val="Heading2"/>
      </w:pPr>
      <w:r>
        <w:t xml:space="preserve">5. Standard Workflow</w:t>
      </w:r>
    </w:p>
    <w:p>
      <w:pPr>
        <w:pStyle w:val="Compact"/>
        <w:numPr>
          <w:ilvl w:val="0"/>
          <w:numId w:val="1021"/>
        </w:numPr>
      </w:pPr>
      <w:r>
        <w:t xml:space="preserve">Load main data file.</w:t>
      </w:r>
    </w:p>
    <w:p>
      <w:pPr>
        <w:pStyle w:val="Compact"/>
        <w:numPr>
          <w:ilvl w:val="0"/>
          <w:numId w:val="1021"/>
        </w:numPr>
      </w:pPr>
      <w:r>
        <w:t xml:space="preserve">Optionally load/merge curves.</w:t>
      </w:r>
    </w:p>
    <w:p>
      <w:pPr>
        <w:pStyle w:val="Compact"/>
        <w:numPr>
          <w:ilvl w:val="0"/>
          <w:numId w:val="1021"/>
        </w:numPr>
      </w:pPr>
      <w:r>
        <w:t xml:space="preserve">Optionally load metadata.</w:t>
      </w:r>
    </w:p>
    <w:p>
      <w:pPr>
        <w:pStyle w:val="Compact"/>
        <w:numPr>
          <w:ilvl w:val="0"/>
          <w:numId w:val="1021"/>
        </w:numPr>
      </w:pPr>
      <w:r>
        <w:t xml:space="preserve">Choose scope (</w:t>
      </w:r>
      <w:r>
        <w:rPr>
          <w:rStyle w:val="VerbatimChar"/>
        </w:rPr>
        <w:t xml:space="preserve">By Strain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Select plot type.</w:t>
      </w:r>
    </w:p>
    <w:p>
      <w:pPr>
        <w:pStyle w:val="Compact"/>
        <w:numPr>
          <w:ilvl w:val="0"/>
          <w:numId w:val="1021"/>
        </w:numPr>
      </w:pPr>
      <w:r>
        <w:t xml:space="preserve">Apply filters and replicate selections.</w:t>
      </w:r>
    </w:p>
    <w:p>
      <w:pPr>
        <w:pStyle w:val="Compact"/>
        <w:numPr>
          <w:ilvl w:val="0"/>
          <w:numId w:val="1021"/>
        </w:numPr>
      </w:pPr>
      <w:r>
        <w:t xml:space="preserve">Optionally normalize by control.</w:t>
      </w:r>
    </w:p>
    <w:p>
      <w:pPr>
        <w:pStyle w:val="Compact"/>
        <w:numPr>
          <w:ilvl w:val="0"/>
          <w:numId w:val="1021"/>
        </w:numPr>
      </w:pPr>
      <w:r>
        <w:t xml:space="preserve">Run statistics.</w:t>
      </w:r>
    </w:p>
    <w:p>
      <w:pPr>
        <w:pStyle w:val="Compact"/>
        <w:numPr>
          <w:ilvl w:val="0"/>
          <w:numId w:val="1021"/>
        </w:numPr>
      </w:pPr>
      <w:r>
        <w:t xml:space="preserve">Add significance annotations.</w:t>
      </w:r>
    </w:p>
    <w:p>
      <w:pPr>
        <w:pStyle w:val="Compact"/>
        <w:numPr>
          <w:ilvl w:val="0"/>
          <w:numId w:val="1021"/>
        </w:numPr>
      </w:pPr>
      <w:r>
        <w:t xml:space="preserve">Export outputs.</w:t>
      </w:r>
    </w:p>
    <w:p>
      <w:pPr>
        <w:pStyle w:val="FirstParagraph"/>
      </w:pPr>
      <w:r>
        <w:drawing>
          <wp:inline>
            <wp:extent cx="5334000" cy="1320297"/>
            <wp:effectExtent b="0" l="0" r="0" t="0"/>
            <wp:docPr descr="Filtering by media/conditions" title="" id="36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51" w:name="X0cb250eb1df454c6760228a2c04c93ed8beae8a"/>
    <w:p>
      <w:pPr>
        <w:pStyle w:val="Heading2"/>
      </w:pPr>
      <w:r>
        <w:t xml:space="preserve">6. Plot Types and Controls</w:t>
      </w:r>
    </w:p>
    <w:bookmarkStart w:id="39" w:name="boxplot"/>
    <w:p>
      <w:pPr>
        <w:pStyle w:val="Heading3"/>
      </w:pPr>
      <w:r>
        <w:t xml:space="preserve">Boxplot</w:t>
      </w:r>
    </w:p>
    <w:p>
      <w:pPr>
        <w:pStyle w:val="Compact"/>
        <w:numPr>
          <w:ilvl w:val="0"/>
          <w:numId w:val="1022"/>
        </w:numPr>
      </w:pPr>
      <w:r>
        <w:t xml:space="preserve">Best for raw replicate distributions.</w:t>
      </w:r>
    </w:p>
    <w:p>
      <w:pPr>
        <w:pStyle w:val="Compact"/>
        <w:numPr>
          <w:ilvl w:val="0"/>
          <w:numId w:val="1022"/>
        </w:numPr>
      </w:pPr>
      <w:r>
        <w:t xml:space="preserve">Controls: jitter, box width, point size.</w:t>
      </w:r>
    </w:p>
    <w:p>
      <w:pPr>
        <w:pStyle w:val="Compact"/>
        <w:numPr>
          <w:ilvl w:val="0"/>
          <w:numId w:val="1022"/>
        </w:numPr>
      </w:pPr>
      <w:r>
        <w:t xml:space="preserve">Supports manual/automatic significance annotations.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Flip orientation (horizontal)</w:t>
      </w:r>
      <w:r>
        <w:t xml:space="preserve"> </w:t>
      </w:r>
      <w:r>
        <w:t xml:space="preserve">improves readability for long group labels.</w:t>
      </w:r>
    </w:p>
    <w:bookmarkEnd w:id="39"/>
    <w:bookmarkStart w:id="40" w:name="barplot"/>
    <w:p>
      <w:pPr>
        <w:pStyle w:val="Heading3"/>
      </w:pPr>
      <w:r>
        <w:t xml:space="preserve">Barplot</w:t>
      </w:r>
    </w:p>
    <w:p>
      <w:pPr>
        <w:pStyle w:val="Compact"/>
        <w:numPr>
          <w:ilvl w:val="0"/>
          <w:numId w:val="1023"/>
        </w:numPr>
      </w:pPr>
      <w:r>
        <w:t xml:space="preserve">Best for summarized group comparisons.</w:t>
      </w:r>
    </w:p>
    <w:p>
      <w:pPr>
        <w:pStyle w:val="Compact"/>
        <w:numPr>
          <w:ilvl w:val="0"/>
          <w:numId w:val="1023"/>
        </w:numPr>
      </w:pPr>
      <w:r>
        <w:t xml:space="preserve">Supports error bars and optional raw points.</w:t>
      </w:r>
    </w:p>
    <w:p>
      <w:pPr>
        <w:pStyle w:val="Compact"/>
        <w:numPr>
          <w:ilvl w:val="0"/>
          <w:numId w:val="1023"/>
        </w:numPr>
      </w:pPr>
      <w:r>
        <w:t xml:space="preserve">Horizontal orientation available.</w:t>
      </w:r>
    </w:p>
    <w:bookmarkEnd w:id="40"/>
    <w:bookmarkStart w:id="41" w:name="violin"/>
    <w:p>
      <w:pPr>
        <w:pStyle w:val="Heading3"/>
      </w:pPr>
      <w:r>
        <w:t xml:space="preserve">Violin</w:t>
      </w:r>
    </w:p>
    <w:p>
      <w:pPr>
        <w:pStyle w:val="Compact"/>
        <w:numPr>
          <w:ilvl w:val="0"/>
          <w:numId w:val="1024"/>
        </w:numPr>
      </w:pPr>
      <w:r>
        <w:t xml:space="preserve">Best for showing distribution shape with replicate overlays.</w:t>
      </w:r>
    </w:p>
    <w:p>
      <w:pPr>
        <w:pStyle w:val="Compact"/>
        <w:numPr>
          <w:ilvl w:val="0"/>
          <w:numId w:val="1024"/>
        </w:numPr>
      </w:pPr>
      <w:r>
        <w:t xml:space="preserve">Uses the same annotation workflow as Boxplot/Barplot.</w:t>
      </w:r>
    </w:p>
    <w:p>
      <w:pPr>
        <w:pStyle w:val="Compact"/>
        <w:numPr>
          <w:ilvl w:val="0"/>
          <w:numId w:val="1024"/>
        </w:numPr>
      </w:pPr>
      <w:r>
        <w:t xml:space="preserve">Horizontal orientation available.</w:t>
      </w:r>
    </w:p>
    <w:bookmarkEnd w:id="41"/>
    <w:bookmarkStart w:id="42" w:name="stacked"/>
    <w:p>
      <w:pPr>
        <w:pStyle w:val="Heading3"/>
      </w:pPr>
      <w:r>
        <w:t xml:space="preserve">Stacked</w:t>
      </w:r>
    </w:p>
    <w:p>
      <w:pPr>
        <w:pStyle w:val="Compact"/>
        <w:numPr>
          <w:ilvl w:val="0"/>
          <w:numId w:val="1025"/>
        </w:numPr>
      </w:pPr>
      <w:r>
        <w:t xml:space="preserve">Parameter selector + parameter ordering controls.</w:t>
      </w:r>
    </w:p>
    <w:p>
      <w:pPr>
        <w:pStyle w:val="Compact"/>
        <w:numPr>
          <w:ilvl w:val="0"/>
          <w:numId w:val="1025"/>
        </w:numPr>
      </w:pPr>
      <w:r>
        <w:t xml:space="preserve">Configurable deviation bars and color behavior.</w:t>
      </w:r>
    </w:p>
    <w:p>
      <w:pPr>
        <w:pStyle w:val="Compact"/>
        <w:numPr>
          <w:ilvl w:val="0"/>
          <w:numId w:val="1025"/>
        </w:numPr>
      </w:pPr>
      <w:r>
        <w:t xml:space="preserve">Annotation labels/brackets available.</w:t>
      </w:r>
    </w:p>
    <w:p>
      <w:pPr>
        <w:pStyle w:val="Compact"/>
        <w:numPr>
          <w:ilvl w:val="0"/>
          <w:numId w:val="1025"/>
        </w:numPr>
      </w:pPr>
      <w:r>
        <w:t xml:space="preserve">Horizontal orientation available.</w:t>
      </w:r>
    </w:p>
    <w:bookmarkEnd w:id="42"/>
    <w:bookmarkStart w:id="43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26"/>
        </w:numPr>
      </w:pPr>
      <w:r>
        <w:t xml:space="preserve">Select X/Y parameters.</w:t>
      </w:r>
    </w:p>
    <w:p>
      <w:pPr>
        <w:pStyle w:val="Compact"/>
        <w:numPr>
          <w:ilvl w:val="0"/>
          <w:numId w:val="1026"/>
        </w:numPr>
      </w:pPr>
      <w:r>
        <w:t xml:space="preserve">Methods: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Optional overlays: regression line,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equation.</w:t>
      </w:r>
    </w:p>
    <w:p>
      <w:pPr>
        <w:pStyle w:val="Compact"/>
        <w:numPr>
          <w:ilvl w:val="0"/>
          <w:numId w:val="1026"/>
        </w:numPr>
      </w:pPr>
      <w:r>
        <w:t xml:space="preserve">Advanced panel supports one-vs-all style screening and Excel export.</w:t>
      </w:r>
    </w:p>
    <w:bookmarkEnd w:id="43"/>
    <w:bookmarkStart w:id="44" w:name="heatmap"/>
    <w:p>
      <w:pPr>
        <w:pStyle w:val="Heading3"/>
      </w:pPr>
      <w:r>
        <w:t xml:space="preserve">Heatmap</w:t>
      </w:r>
    </w:p>
    <w:p>
      <w:pPr>
        <w:pStyle w:val="Compact"/>
        <w:numPr>
          <w:ilvl w:val="0"/>
          <w:numId w:val="1027"/>
        </w:numPr>
      </w:pPr>
      <w:r>
        <w:t xml:space="preserve">Parameter subset selection.</w:t>
      </w:r>
    </w:p>
    <w:p>
      <w:pPr>
        <w:pStyle w:val="Compact"/>
        <w:numPr>
          <w:ilvl w:val="0"/>
          <w:numId w:val="1027"/>
        </w:numPr>
      </w:pPr>
      <w:r>
        <w:t xml:space="preserve">Scale options: none, row, column.</w:t>
      </w:r>
    </w:p>
    <w:p>
      <w:pPr>
        <w:pStyle w:val="Compact"/>
        <w:numPr>
          <w:ilvl w:val="0"/>
          <w:numId w:val="1027"/>
        </w:numPr>
      </w:pPr>
      <w:r>
        <w:t xml:space="preserve">Optional clustering and dendrograms.</w:t>
      </w:r>
    </w:p>
    <w:p>
      <w:pPr>
        <w:pStyle w:val="Compact"/>
        <w:numPr>
          <w:ilvl w:val="0"/>
          <w:numId w:val="1027"/>
        </w:numPr>
      </w:pPr>
      <w:r>
        <w:t xml:space="preserve">Optional in-cell value labels.</w:t>
      </w:r>
    </w:p>
    <w:bookmarkEnd w:id="44"/>
    <w:bookmarkStart w:id="45" w:name="correlation-matrix"/>
    <w:p>
      <w:pPr>
        <w:pStyle w:val="Heading3"/>
      </w:pPr>
      <w:r>
        <w:t xml:space="preserve">Correlation Matrix</w:t>
      </w:r>
    </w:p>
    <w:p>
      <w:pPr>
        <w:pStyle w:val="Compact"/>
        <w:numPr>
          <w:ilvl w:val="0"/>
          <w:numId w:val="1028"/>
        </w:numPr>
      </w:pPr>
      <w:r>
        <w:t xml:space="preserve">Multi-select parameters.</w:t>
      </w:r>
    </w:p>
    <w:p>
      <w:pPr>
        <w:pStyle w:val="Compact"/>
        <w:numPr>
          <w:ilvl w:val="0"/>
          <w:numId w:val="1028"/>
        </w:numPr>
      </w:pPr>
      <w:r>
        <w:t xml:space="preserve">Correlation method + p-value correction.</w:t>
      </w:r>
    </w:p>
    <w:p>
      <w:pPr>
        <w:pStyle w:val="Compact"/>
        <w:numPr>
          <w:ilvl w:val="0"/>
          <w:numId w:val="1028"/>
        </w:numPr>
      </w:pPr>
      <w:r>
        <w:t xml:space="preserve">Optional significant labels only.</w:t>
      </w:r>
    </w:p>
    <w:bookmarkEnd w:id="45"/>
    <w:bookmarkStart w:id="46" w:name="curves"/>
    <w:p>
      <w:pPr>
        <w:pStyle w:val="Heading3"/>
      </w:pPr>
      <w:r>
        <w:t xml:space="preserve">Curves</w:t>
      </w:r>
    </w:p>
    <w:p>
      <w:pPr>
        <w:pStyle w:val="Compact"/>
        <w:numPr>
          <w:ilvl w:val="0"/>
          <w:numId w:val="1029"/>
        </w:numPr>
      </w:pPr>
      <w:r>
        <w:t xml:space="preserve">Configure axes, labels, line width.</w:t>
      </w:r>
    </w:p>
    <w:p>
      <w:pPr>
        <w:pStyle w:val="Compact"/>
        <w:numPr>
          <w:ilvl w:val="0"/>
          <w:numId w:val="1029"/>
        </w:numPr>
      </w:pPr>
      <w:r>
        <w:t xml:space="preserve">Choose line geometry and confidence interval style.</w:t>
      </w:r>
    </w:p>
    <w:p>
      <w:pPr>
        <w:pStyle w:val="Compact"/>
        <w:numPr>
          <w:ilvl w:val="0"/>
          <w:numId w:val="1029"/>
        </w:numPr>
      </w:pPr>
      <w:r>
        <w:t xml:space="preserve">Optional raw replicate trajectories.</w:t>
      </w:r>
    </w:p>
    <w:bookmarkEnd w:id="46"/>
    <w:bookmarkStart w:id="50" w:name="composition-panel"/>
    <w:p>
      <w:pPr>
        <w:pStyle w:val="Heading3"/>
      </w:pPr>
      <w:r>
        <w:t xml:space="preserve">Composition Panel</w:t>
      </w:r>
    </w:p>
    <w:p>
      <w:pPr>
        <w:pStyle w:val="FirstParagraph"/>
      </w:pPr>
      <w:r>
        <w:t xml:space="preserve">Recommended steps:</w:t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to panel</w:t>
      </w:r>
      <w:r>
        <w:t xml:space="preserve"> </w:t>
      </w:r>
      <w:r>
        <w:t xml:space="preserve">from individual plots.</w:t>
      </w:r>
    </w:p>
    <w:p>
      <w:pPr>
        <w:pStyle w:val="Compact"/>
        <w:numPr>
          <w:ilvl w:val="0"/>
          <w:numId w:val="103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Composition Panel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30"/>
        </w:numPr>
      </w:pPr>
      <w:r>
        <w:t xml:space="preserve">Select and order plots.</w:t>
      </w:r>
    </w:p>
    <w:p>
      <w:pPr>
        <w:pStyle w:val="Compact"/>
        <w:numPr>
          <w:ilvl w:val="0"/>
          <w:numId w:val="1030"/>
        </w:numPr>
      </w:pPr>
      <w:r>
        <w:t xml:space="preserve">Configure layout (rows/columns, grid, output size).</w:t>
      </w:r>
    </w:p>
    <w:p>
      <w:pPr>
        <w:pStyle w:val="Compact"/>
        <w:numPr>
          <w:ilvl w:val="0"/>
          <w:numId w:val="1030"/>
        </w:numPr>
      </w:pPr>
      <w:r>
        <w:t xml:space="preserve">Configure style (legend, fonts, text sizes, palette).</w:t>
      </w:r>
    </w:p>
    <w:p>
      <w:pPr>
        <w:pStyle w:val="Compact"/>
        <w:numPr>
          <w:ilvl w:val="0"/>
          <w:numId w:val="1030"/>
        </w:numPr>
      </w:pPr>
      <w:r>
        <w:t xml:space="preserve">Optionally add rich text and per-plot overrides.</w:t>
      </w:r>
    </w:p>
    <w:p>
      <w:pPr>
        <w:pStyle w:val="Compact"/>
        <w:numPr>
          <w:ilvl w:val="0"/>
          <w:numId w:val="1030"/>
        </w:numPr>
      </w:pPr>
      <w:r>
        <w:t xml:space="preserve">Export to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drawing>
          <wp:inline>
            <wp:extent cx="5334000" cy="2115879"/>
            <wp:effectExtent b="0" l="0" r="0" t="0"/>
            <wp:docPr descr="Significance and annotation setup" title="" id="48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2" w:name="X115a55130e2baabc52a19ceae26040e6a759372"/>
    <w:p>
      <w:pPr>
        <w:pStyle w:val="Heading2"/>
      </w:pPr>
      <w:r>
        <w:t xml:space="preserve">7. Normalization</w:t>
      </w:r>
    </w:p>
    <w:p>
      <w:pPr>
        <w:pStyle w:val="FirstParagraph"/>
      </w:pPr>
      <w:r>
        <w:t xml:space="preserve">Enable</w:t>
      </w:r>
      <w:r>
        <w:t xml:space="preserve"> </w:t>
      </w:r>
      <w:r>
        <w:rPr>
          <w:b/>
          <w:bCs/>
        </w:rPr>
        <w:t xml:space="preserve">Normalize by control</w:t>
      </w:r>
      <w:r>
        <w:t xml:space="preserve"> </w:t>
      </w:r>
      <w:r>
        <w:t xml:space="preserve">and pick a control medium.</w:t>
      </w:r>
    </w:p>
    <w:p>
      <w:pPr>
        <w:pStyle w:val="Compact"/>
        <w:numPr>
          <w:ilvl w:val="0"/>
          <w:numId w:val="1031"/>
        </w:numPr>
      </w:pPr>
      <w:r>
        <w:t xml:space="preserve">BIOSZEN creates normalized columns with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 </w:t>
      </w:r>
      <w:r>
        <w:t xml:space="preserve">suffix.</w:t>
      </w:r>
    </w:p>
    <w:p>
      <w:pPr>
        <w:pStyle w:val="Compact"/>
        <w:numPr>
          <w:ilvl w:val="0"/>
          <w:numId w:val="1031"/>
        </w:numPr>
      </w:pPr>
      <w:r>
        <w:t xml:space="preserve">Correlation supports axis-specific normalization (</w:t>
      </w:r>
      <w:r>
        <w:rPr>
          <w:rStyle w:val="VerbatimChar"/>
        </w:rPr>
        <w:t xml:space="preserve">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X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Y only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Fallback logic is applied when strict control pairing is not available.</w:t>
      </w:r>
    </w:p>
    <w:bookmarkEnd w:id="52"/>
    <w:bookmarkStart w:id="54" w:name="X00c7035554882fbb638d8b5cc72953fcde99525"/>
    <w:p>
      <w:pPr>
        <w:pStyle w:val="Heading2"/>
      </w:pPr>
      <w:r>
        <w:t xml:space="preserve">8. Statistics</w:t>
      </w:r>
    </w:p>
    <w:bookmarkStart w:id="53" w:name="main-statistical-tools"/>
    <w:p>
      <w:pPr>
        <w:pStyle w:val="Heading3"/>
      </w:pPr>
      <w:r>
        <w:t xml:space="preserve">Main statistical tools</w:t>
      </w:r>
    </w:p>
    <w:p>
      <w:pPr>
        <w:pStyle w:val="Compact"/>
        <w:numPr>
          <w:ilvl w:val="0"/>
          <w:numId w:val="1032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2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2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2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2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2"/>
        </w:numPr>
      </w:pPr>
      <w:r>
        <w:t xml:space="preserve">t-test routes: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2"/>
        </w:numPr>
      </w:pPr>
      <w:r>
        <w:t xml:space="preserve">Wilcoxon routes: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2"/>
        </w:numPr>
      </w:pPr>
      <w:r>
        <w:t xml:space="preserve">Multiple-testing correction: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Post hoc routes by selection:</w:t>
      </w:r>
    </w:p>
    <w:p>
      <w:pPr>
        <w:pStyle w:val="Compact"/>
        <w:numPr>
          <w:ilvl w:val="0"/>
          <w:numId w:val="1033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3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3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3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Curve statistics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normality-driven comparisons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Comparison modes:</w:t>
      </w:r>
    </w:p>
    <w:p>
      <w:pPr>
        <w:pStyle w:val="Compact"/>
        <w:numPr>
          <w:ilvl w:val="0"/>
          <w:numId w:val="1035"/>
        </w:numPr>
      </w:pPr>
      <w:r>
        <w:t xml:space="preserve">All vs all</w:t>
      </w:r>
    </w:p>
    <w:p>
      <w:pPr>
        <w:pStyle w:val="Compact"/>
        <w:numPr>
          <w:ilvl w:val="0"/>
          <w:numId w:val="1035"/>
        </w:numPr>
      </w:pPr>
      <w:r>
        <w:t xml:space="preserve">Control vs all</w:t>
      </w:r>
    </w:p>
    <w:p>
      <w:pPr>
        <w:pStyle w:val="Compact"/>
        <w:numPr>
          <w:ilvl w:val="0"/>
          <w:numId w:val="1035"/>
        </w:numPr>
      </w:pPr>
      <w:r>
        <w:t xml:space="preserve">Pair</w:t>
      </w:r>
    </w:p>
    <w:p>
      <w:pPr>
        <w:pStyle w:val="FirstParagraph"/>
      </w:pPr>
      <w:r>
        <w:t xml:space="preserve">P-value correction options:</w:t>
      </w:r>
    </w:p>
    <w:p>
      <w:pPr>
        <w:pStyle w:val="Compact"/>
        <w:numPr>
          <w:ilvl w:val="0"/>
          <w:numId w:val="1036"/>
        </w:numPr>
      </w:pPr>
      <w:r>
        <w:t xml:space="preserve">Holm</w:t>
      </w:r>
    </w:p>
    <w:p>
      <w:pPr>
        <w:pStyle w:val="Compact"/>
        <w:numPr>
          <w:ilvl w:val="0"/>
          <w:numId w:val="1036"/>
        </w:numPr>
      </w:pPr>
      <w:r>
        <w:t xml:space="preserve">FDR</w:t>
      </w:r>
    </w:p>
    <w:p>
      <w:pPr>
        <w:pStyle w:val="Compact"/>
        <w:numPr>
          <w:ilvl w:val="0"/>
          <w:numId w:val="1036"/>
        </w:numPr>
      </w:pPr>
      <w:r>
        <w:t xml:space="preserve">Bonferroni</w:t>
      </w:r>
    </w:p>
    <w:p>
      <w:pPr>
        <w:pStyle w:val="Compact"/>
        <w:numPr>
          <w:ilvl w:val="0"/>
          <w:numId w:val="1036"/>
        </w:numPr>
      </w:pPr>
      <w:r>
        <w:t xml:space="preserve">None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In Summary mode, normality may be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some non-parametric paths that require raw observations are disabled.</w:t>
      </w:r>
    </w:p>
    <w:bookmarkEnd w:id="53"/>
    <w:bookmarkEnd w:id="54"/>
    <w:bookmarkStart w:id="55" w:name="X226b9a1a8acbb38ca74b8f37dcf5f8aa29b93b6"/>
    <w:p>
      <w:pPr>
        <w:pStyle w:val="Heading2"/>
      </w:pPr>
      <w:r>
        <w:t xml:space="preserve">9. Significance Annotations</w:t>
      </w:r>
    </w:p>
    <w:p>
      <w:pPr>
        <w:pStyle w:val="FirstParagraph"/>
      </w:pPr>
      <w:r>
        <w:t xml:space="preserve">Manual workflow:</w:t>
      </w:r>
    </w:p>
    <w:p>
      <w:pPr>
        <w:pStyle w:val="Compact"/>
        <w:numPr>
          <w:ilvl w:val="0"/>
          <w:numId w:val="1037"/>
        </w:numPr>
      </w:pPr>
      <w:r>
        <w:t xml:space="preserve">Select Group 1 and Group 2.</w:t>
      </w:r>
    </w:p>
    <w:p>
      <w:pPr>
        <w:pStyle w:val="Compact"/>
        <w:numPr>
          <w:ilvl w:val="0"/>
          <w:numId w:val="1037"/>
        </w:numPr>
      </w:pPr>
      <w:r>
        <w:t xml:space="preserve">Enter label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custom text).</w:t>
      </w:r>
    </w:p>
    <w:p>
      <w:pPr>
        <w:pStyle w:val="Compact"/>
        <w:numPr>
          <w:ilvl w:val="0"/>
          <w:numId w:val="1037"/>
        </w:numPr>
      </w:pPr>
      <w:r>
        <w:t xml:space="preserve">Add/reorder/edit/remove annotations.</w:t>
      </w:r>
    </w:p>
    <w:p>
      <w:pPr>
        <w:pStyle w:val="FirstParagraph"/>
      </w:pPr>
      <w:r>
        <w:t xml:space="preserve">Automatic workflow:</w:t>
      </w:r>
    </w:p>
    <w:p>
      <w:pPr>
        <w:pStyle w:val="Compact"/>
        <w:numPr>
          <w:ilvl w:val="0"/>
          <w:numId w:val="1038"/>
        </w:numPr>
      </w:pPr>
      <w:r>
        <w:t xml:space="preserve">Run significance tests.</w:t>
      </w:r>
    </w:p>
    <w:p>
      <w:pPr>
        <w:pStyle w:val="Compact"/>
        <w:numPr>
          <w:ilvl w:val="0"/>
          <w:numId w:val="1038"/>
        </w:numPr>
      </w:pPr>
      <w:r>
        <w:t xml:space="preserve">Open auto-annotation options.</w:t>
      </w:r>
    </w:p>
    <w:p>
      <w:pPr>
        <w:pStyle w:val="Compact"/>
        <w:numPr>
          <w:ilvl w:val="0"/>
          <w:numId w:val="1038"/>
        </w:numPr>
      </w:pPr>
      <w:r>
        <w:t xml:space="preserve">Choose inclusion (</w:t>
      </w:r>
      <w:r>
        <w:rPr>
          <w:rStyle w:val="VerbatimChar"/>
        </w:rPr>
        <w:t xml:space="preserve">significant only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Choose label mode (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Replace or append annotations.</w:t>
      </w:r>
    </w:p>
    <w:bookmarkEnd w:id="55"/>
    <w:bookmarkStart w:id="61" w:name="X74088aaef10aeab96f289eb9220b0777e0698d0"/>
    <w:p>
      <w:pPr>
        <w:pStyle w:val="Heading2"/>
      </w:pPr>
      <w:r>
        <w:t xml:space="preserve">10. QC and Replicate Management</w:t>
      </w:r>
    </w:p>
    <w:p>
      <w:pPr>
        <w:pStyle w:val="FirstParagraph"/>
      </w:pPr>
      <w:r>
        <w:t xml:space="preserve">Use QC panels to monitor:</w:t>
      </w:r>
    </w:p>
    <w:p>
      <w:pPr>
        <w:pStyle w:val="Compact"/>
        <w:numPr>
          <w:ilvl w:val="0"/>
          <w:numId w:val="1039"/>
        </w:numPr>
      </w:pPr>
      <w:r>
        <w:t xml:space="preserve">Missing values.</w:t>
      </w:r>
    </w:p>
    <w:p>
      <w:pPr>
        <w:pStyle w:val="Compact"/>
        <w:numPr>
          <w:ilvl w:val="0"/>
          <w:numId w:val="1039"/>
        </w:numPr>
      </w:pPr>
      <w:r>
        <w:t xml:space="preserve">Outliers by group.</w:t>
      </w:r>
    </w:p>
    <w:p>
      <w:pPr>
        <w:pStyle w:val="Compact"/>
        <w:numPr>
          <w:ilvl w:val="0"/>
          <w:numId w:val="1039"/>
        </w:numPr>
      </w:pPr>
      <w:r>
        <w:t xml:space="preserve">Sample size and replicate coverage.</w:t>
      </w:r>
    </w:p>
    <w:bookmarkStart w:id="56" w:name="biological-replicates"/>
    <w:p>
      <w:pPr>
        <w:pStyle w:val="Heading3"/>
      </w:pPr>
      <w:r>
        <w:t xml:space="preserve">Biological replicates</w:t>
      </w:r>
    </w:p>
    <w:p>
      <w:pPr>
        <w:pStyle w:val="Compact"/>
        <w:numPr>
          <w:ilvl w:val="0"/>
          <w:numId w:val="1040"/>
        </w:numPr>
      </w:pPr>
      <w:r>
        <w:t xml:space="preserve">Manual include/exclude controls.</w:t>
      </w:r>
    </w:p>
    <w:p>
      <w:pPr>
        <w:pStyle w:val="Compact"/>
        <w:numPr>
          <w:ilvl w:val="0"/>
          <w:numId w:val="1040"/>
        </w:numPr>
      </w:pPr>
      <w:r>
        <w:t xml:space="preserve">Automatic IQR filtering.</w:t>
      </w:r>
    </w:p>
    <w:p>
      <w:pPr>
        <w:pStyle w:val="Compact"/>
        <w:numPr>
          <w:ilvl w:val="0"/>
          <w:numId w:val="1040"/>
        </w:numPr>
      </w:pPr>
      <w:r>
        <w:t xml:space="preserve">Keep-N reproducibility selection.</w:t>
      </w:r>
    </w:p>
    <w:p>
      <w:pPr>
        <w:pStyle w:val="FirstParagraph"/>
      </w:pPr>
      <w:r>
        <w:t xml:space="preserve">Keep-N behavior:</w:t>
      </w:r>
    </w:p>
    <w:p>
      <w:pPr>
        <w:pStyle w:val="Compact"/>
        <w:numPr>
          <w:ilvl w:val="0"/>
          <w:numId w:val="1041"/>
        </w:numPr>
      </w:pPr>
      <w:r>
        <w:t xml:space="preserve">Ranks replicates by distance to the group median across selected parameters.</w:t>
      </w:r>
    </w:p>
    <w:p>
      <w:pPr>
        <w:pStyle w:val="Compact"/>
        <w:numPr>
          <w:ilvl w:val="0"/>
          <w:numId w:val="1041"/>
        </w:numPr>
      </w:pPr>
      <w:r>
        <w:t xml:space="preserve">Keeps lowest-score (most reproducible) replicates.</w:t>
      </w:r>
    </w:p>
    <w:bookmarkEnd w:id="56"/>
    <w:bookmarkStart w:id="60" w:name="technical-replicates"/>
    <w:p>
      <w:pPr>
        <w:pStyle w:val="Heading3"/>
      </w:pPr>
      <w:r>
        <w:t xml:space="preserve">Technical replicates</w:t>
      </w:r>
    </w:p>
    <w:p>
      <w:pPr>
        <w:pStyle w:val="FirstParagraph"/>
      </w:pPr>
      <w:r>
        <w:t xml:space="preserve">Available when technical replicates are valid:</w:t>
      </w:r>
    </w:p>
    <w:p>
      <w:pPr>
        <w:pStyle w:val="Compact"/>
        <w:numPr>
          <w:ilvl w:val="0"/>
          <w:numId w:val="1042"/>
        </w:numPr>
      </w:pPr>
      <w:r>
        <w:t xml:space="preserve">Dedicated technical QC tab.</w:t>
      </w:r>
    </w:p>
    <w:p>
      <w:pPr>
        <w:pStyle w:val="Compact"/>
        <w:numPr>
          <w:ilvl w:val="0"/>
          <w:numId w:val="1042"/>
        </w:numPr>
      </w:pPr>
      <w:r>
        <w:t xml:space="preserve">Group and biological-replicate selectors.</w:t>
      </w:r>
    </w:p>
    <w:p>
      <w:pPr>
        <w:pStyle w:val="Compact"/>
        <w:numPr>
          <w:ilvl w:val="0"/>
          <w:numId w:val="1042"/>
        </w:numPr>
      </w:pPr>
      <w:r>
        <w:t xml:space="preserve">Global select/deselect controls.</w:t>
      </w:r>
    </w:p>
    <w:p>
      <w:pPr>
        <w:pStyle w:val="Compact"/>
        <w:numPr>
          <w:ilvl w:val="0"/>
          <w:numId w:val="1042"/>
        </w:numPr>
      </w:pPr>
      <w:r>
        <w:t xml:space="preserve">Automatic IQR technical outlier detection.</w:t>
      </w:r>
    </w:p>
    <w:p>
      <w:pPr>
        <w:pStyle w:val="Compact"/>
        <w:numPr>
          <w:ilvl w:val="0"/>
          <w:numId w:val="1042"/>
        </w:numPr>
      </w:pPr>
      <w:r>
        <w:t xml:space="preserve">Technical Keep-N per subgroup.</w:t>
      </w:r>
    </w:p>
    <w:p>
      <w:pPr>
        <w:pStyle w:val="FirstParagraph"/>
      </w:pPr>
      <w:r>
        <w:drawing>
          <wp:inline>
            <wp:extent cx="5334000" cy="2228174"/>
            <wp:effectExtent b="0" l="0" r="0" t="0"/>
            <wp:docPr descr="Biological replicate filtering" title="" id="58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End w:id="61"/>
    <w:bookmarkStart w:id="62" w:name="X027b5303909c1c711c784491c3eab67dd715d28"/>
    <w:p>
      <w:pPr>
        <w:pStyle w:val="Heading2"/>
      </w:pPr>
      <w:r>
        <w:t xml:space="preserve">11. Metadata and Reproducibility</w:t>
      </w:r>
    </w:p>
    <w:p>
      <w:pPr>
        <w:pStyle w:val="FirstParagraph"/>
      </w:pPr>
      <w:r>
        <w:t xml:space="preserve">Metadata 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Download metadata</w:t>
      </w:r>
      <w:r>
        <w:t xml:space="preserve"> </w:t>
      </w:r>
      <w:r>
        <w:t xml:space="preserve">to save current state.</w:t>
      </w:r>
    </w:p>
    <w:p>
      <w:pPr>
        <w:pStyle w:val="Compact"/>
        <w:numPr>
          <w:ilvl w:val="0"/>
          <w:numId w:val="1043"/>
        </w:numPr>
      </w:pPr>
      <w:r>
        <w:t xml:space="preserve">Re-import metadata in future sessions.</w:t>
      </w:r>
    </w:p>
    <w:p>
      <w:pPr>
        <w:pStyle w:val="Compact"/>
        <w:numPr>
          <w:ilvl w:val="0"/>
          <w:numId w:val="1043"/>
        </w:numPr>
      </w:pPr>
      <w:r>
        <w:t xml:space="preserve">Orientation flip state persists across metadata roundtrip.</w:t>
      </w:r>
    </w:p>
    <w:p>
      <w:pPr>
        <w:pStyle w:val="FirstParagraph"/>
      </w:pPr>
      <w:r>
        <w:t xml:space="preserve">Reproducibility bundle:</w:t>
      </w:r>
    </w:p>
    <w:p>
      <w:pPr>
        <w:pStyle w:val="Compact"/>
        <w:numPr>
          <w:ilvl w:val="0"/>
          <w:numId w:val="1044"/>
        </w:numPr>
      </w:pPr>
      <w:r>
        <w:t xml:space="preserve">Save plot versions in-session.</w:t>
      </w:r>
    </w:p>
    <w:p>
      <w:pPr>
        <w:pStyle w:val="Compact"/>
        <w:numPr>
          <w:ilvl w:val="0"/>
          <w:numId w:val="1044"/>
        </w:numPr>
      </w:pPr>
      <w:r>
        <w:t xml:space="preserve">Export ZIP with plot assets + metadata.</w:t>
      </w:r>
    </w:p>
    <w:p>
      <w:pPr>
        <w:pStyle w:val="Compact"/>
        <w:numPr>
          <w:ilvl w:val="0"/>
          <w:numId w:val="1044"/>
        </w:numPr>
      </w:pPr>
      <w:r>
        <w:t xml:space="preserve">Reopen workflows with consistent configuration.</w:t>
      </w:r>
    </w:p>
    <w:p>
      <w:pPr>
        <w:pStyle w:val="FirstParagraph"/>
      </w:pPr>
      <w:r>
        <w:t xml:space="preserve">Regression coverage includes:</w:t>
      </w:r>
    </w:p>
    <w:p>
      <w:pPr>
        <w:pStyle w:val="Compact"/>
        <w:numPr>
          <w:ilvl w:val="0"/>
          <w:numId w:val="1045"/>
        </w:numPr>
      </w:pPr>
      <w:r>
        <w:t xml:space="preserve">Orientation flip applied only to Boxplot/Barplot/Violin/Stacked.</w:t>
      </w:r>
    </w:p>
    <w:p>
      <w:pPr>
        <w:pStyle w:val="Compact"/>
        <w:numPr>
          <w:ilvl w:val="0"/>
          <w:numId w:val="1045"/>
        </w:numPr>
      </w:pPr>
      <w:r>
        <w:t xml:space="preserve">Metadata roundtrip persistence checks.</w:t>
      </w:r>
    </w:p>
    <w:p>
      <w:pPr>
        <w:pStyle w:val="Compact"/>
        <w:numPr>
          <w:ilvl w:val="0"/>
          <w:numId w:val="1045"/>
        </w:numPr>
      </w:pPr>
      <w:r>
        <w:t xml:space="preserve">Final builder orientation checks.</w:t>
      </w:r>
    </w:p>
    <w:bookmarkEnd w:id="62"/>
    <w:bookmarkStart w:id="63" w:name="Xdaccffce00e124c4dc2e12129d423a1de5e7d51"/>
    <w:p>
      <w:pPr>
        <w:pStyle w:val="Heading2"/>
      </w:pPr>
      <w:r>
        <w:t xml:space="preserve">12. Downloads</w:t>
      </w:r>
    </w:p>
    <w:p>
      <w:pPr>
        <w:pStyle w:val="FirstParagraph"/>
      </w:pPr>
      <w:r>
        <w:t xml:space="preserve">Main outputs:</w:t>
      </w:r>
    </w:p>
    <w:p>
      <w:pPr>
        <w:pStyle w:val="Compact"/>
        <w:numPr>
          <w:ilvl w:val="0"/>
          <w:numId w:val="1046"/>
        </w:numPr>
      </w:pPr>
      <w:r>
        <w:t xml:space="preserve">Plot image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depending on chart).</w:t>
      </w:r>
    </w:p>
    <w:p>
      <w:pPr>
        <w:pStyle w:val="Compact"/>
        <w:numPr>
          <w:ilvl w:val="0"/>
          <w:numId w:val="1046"/>
        </w:numPr>
      </w:pPr>
      <w:r>
        <w:t xml:space="preserve">Data export.</w:t>
      </w:r>
    </w:p>
    <w:p>
      <w:pPr>
        <w:pStyle w:val="Compact"/>
        <w:numPr>
          <w:ilvl w:val="0"/>
          <w:numId w:val="1046"/>
        </w:numPr>
      </w:pPr>
      <w:r>
        <w:t xml:space="preserve">Metadata export.</w:t>
      </w:r>
    </w:p>
    <w:p>
      <w:pPr>
        <w:pStyle w:val="Compact"/>
        <w:numPr>
          <w:ilvl w:val="0"/>
          <w:numId w:val="1046"/>
        </w:numPr>
      </w:pPr>
      <w:r>
        <w:t xml:space="preserve">Statistics export.</w:t>
      </w:r>
    </w:p>
    <w:p>
      <w:pPr>
        <w:pStyle w:val="Compact"/>
        <w:numPr>
          <w:ilvl w:val="0"/>
          <w:numId w:val="1046"/>
        </w:numPr>
      </w:pPr>
      <w:r>
        <w:t xml:space="preserve">Bundle ZIP.</w:t>
      </w:r>
    </w:p>
    <w:p>
      <w:pPr>
        <w:pStyle w:val="Compact"/>
        <w:numPr>
          <w:ilvl w:val="0"/>
          <w:numId w:val="1046"/>
        </w:numPr>
      </w:pPr>
      <w:r>
        <w:t xml:space="preserve">Advanced correlation tables.</w:t>
      </w:r>
    </w:p>
    <w:p>
      <w:pPr>
        <w:pStyle w:val="Compact"/>
        <w:numPr>
          <w:ilvl w:val="0"/>
          <w:numId w:val="1046"/>
        </w:numPr>
      </w:pPr>
      <w:r>
        <w:t xml:space="preserve">Merged platemap/curves exports (if merge tools were used).</w:t>
      </w:r>
    </w:p>
    <w:bookmarkEnd w:id="63"/>
    <w:bookmarkStart w:id="67" w:name="Xe593582c9f00b53676a004fd4095b4d203d92ef"/>
    <w:p>
      <w:pPr>
        <w:pStyle w:val="Heading2"/>
      </w:pPr>
      <w:r>
        <w:t xml:space="preserve">13. Growth Module</w:t>
      </w:r>
    </w:p>
    <w:p>
      <w:pPr>
        <w:pStyle w:val="FirstParagraph"/>
      </w:pPr>
      <w:r>
        <w:t xml:space="preserve">Growth tab file support:</w:t>
      </w:r>
    </w:p>
    <w:p>
      <w:pPr>
        <w:pStyle w:val="Compact"/>
        <w:numPr>
          <w:ilvl w:val="0"/>
          <w:numId w:val="1047"/>
        </w:numPr>
      </w:pPr>
      <w:r>
        <w:t xml:space="preserve">Accepted file type: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Auto-detected structures:</w:t>
      </w:r>
    </w:p>
    <w:p>
      <w:pPr>
        <w:pStyle w:val="Compact"/>
        <w:numPr>
          <w:ilvl w:val="1"/>
          <w:numId w:val="1048"/>
        </w:numPr>
      </w:pPr>
      <w:r>
        <w:t xml:space="preserve">Reader/Tecan-like raw layout (typically later-row data in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48"/>
        </w:numPr>
      </w:pPr>
      <w:r>
        <w:t xml:space="preserve">Processed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table layout (first column time, following columns as wells/curves).</w:t>
      </w:r>
    </w:p>
    <w:p>
      <w:pPr>
        <w:pStyle w:val="FirstParagraph"/>
      </w:pPr>
      <w:r>
        <w:t xml:space="preserve">Extracted parameters: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uMax</w:t>
      </w:r>
      <w:r>
        <w:t xml:space="preserve">: maximum exponential-phase slope.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max_percap_time</w:t>
      </w:r>
      <w:r>
        <w:t xml:space="preserve">: time window of max per-capita growth.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doub_time</w:t>
      </w:r>
      <w:r>
        <w:t xml:space="preserve">: doubling time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lag_time</w:t>
      </w:r>
      <w:r>
        <w:t xml:space="preserve">: pre-exponential transition time.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ODmax</w:t>
      </w:r>
      <w:r>
        <w:t xml:space="preserve">: maximum measured OD/signal.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max_time</w:t>
      </w:r>
      <w:r>
        <w:t xml:space="preserve">: time at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AUC</w:t>
      </w:r>
      <w:r>
        <w:t xml:space="preserve">: area under the curve.</w:t>
      </w:r>
    </w:p>
    <w:p>
      <w:pPr>
        <w:pStyle w:val="FirstParagraph"/>
      </w:pPr>
      <w:r>
        <w:t xml:space="preserve">Typical flow:</w:t>
      </w:r>
    </w:p>
    <w:p>
      <w:pPr>
        <w:pStyle w:val="Compact"/>
        <w:numPr>
          <w:ilvl w:val="0"/>
          <w:numId w:val="1050"/>
        </w:numPr>
      </w:pPr>
      <w:r>
        <w:t xml:space="preserve">Upload one or more growth files.</w:t>
      </w:r>
    </w:p>
    <w:p>
      <w:pPr>
        <w:pStyle w:val="Compact"/>
        <w:numPr>
          <w:ilvl w:val="0"/>
          <w:numId w:val="1050"/>
        </w:numPr>
      </w:pPr>
      <w:r>
        <w:t xml:space="preserve">Set max time and interval.</w:t>
      </w:r>
    </w:p>
    <w:p>
      <w:pPr>
        <w:pStyle w:val="Compact"/>
        <w:numPr>
          <w:ilvl w:val="0"/>
          <w:numId w:val="1050"/>
        </w:numPr>
      </w:pPr>
      <w:r>
        <w:t xml:space="preserve">Run extraction.</w:t>
      </w:r>
    </w:p>
    <w:p>
      <w:pPr>
        <w:pStyle w:val="Compact"/>
        <w:numPr>
          <w:ilvl w:val="0"/>
          <w:numId w:val="1050"/>
        </w:numPr>
      </w:pPr>
      <w:r>
        <w:t xml:space="preserve">Download ZIP outputs.</w:t>
      </w:r>
    </w:p>
    <w:p>
      <w:pPr>
        <w:pStyle w:val="Compact"/>
        <w:numPr>
          <w:ilvl w:val="0"/>
          <w:numId w:val="1050"/>
        </w:numPr>
      </w:pPr>
      <w:r>
        <w:t xml:space="preserve">Reuse extracted outputs in main plotting workflows.</w:t>
      </w:r>
    </w:p>
    <w:p>
      <w:pPr>
        <w:pStyle w:val="FirstParagraph"/>
      </w:pPr>
      <w:r>
        <w:drawing>
          <wp:inline>
            <wp:extent cx="5334000" cy="2011947"/>
            <wp:effectExtent b="0" l="0" r="0" t="0"/>
            <wp:docPr descr="Growth workflow" title="" id="65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412317ec57e4cfdc618c120090edd958d43de49"/>
    <w:p>
      <w:pPr>
        <w:pStyle w:val="Heading2"/>
      </w:pPr>
      <w:r>
        <w:t xml:space="preserve">14. Troubleshooting Playbook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Upload error</w:t>
      </w:r>
      <w:r>
        <w:br/>
      </w:r>
      <w:r>
        <w:t xml:space="preserve">Likely cause: Missing sheet/column names.</w:t>
      </w:r>
      <w:r>
        <w:br/>
      </w:r>
      <w:r>
        <w:t xml:space="preserve">What to do: Validate workbook structure and exact headers.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No plot generated</w:t>
      </w:r>
      <w:r>
        <w:br/>
      </w:r>
      <w:r>
        <w:t xml:space="preserve">Likely cause: Selected parameter/group absent after filtering.</w:t>
      </w:r>
      <w:r>
        <w:br/>
      </w:r>
      <w:r>
        <w:t xml:space="preserve">What to do: Reset filters and verify parameter availability.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Only Curves appears in plot type selector</w:t>
      </w:r>
      <w:r>
        <w:br/>
      </w:r>
      <w:r>
        <w:t xml:space="preserve">Likely cause: No valid parameter columns were parsed from the uploaded data file.</w:t>
      </w:r>
      <w:r>
        <w:br/>
      </w:r>
      <w:r>
        <w:t xml:space="preserve">What to do: Verify grouped/summary sheet structure and parameter headers, then re-upload.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Normalization unavailable</w:t>
      </w:r>
      <w:r>
        <w:br/>
      </w:r>
      <w:r>
        <w:t xml:space="preserve">Likely cause: Missing control medium in current scope.</w:t>
      </w:r>
      <w:r>
        <w:br/>
      </w:r>
      <w:r>
        <w:t xml:space="preserve">What to do: Confirm control group exists in active subset.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Stats disabled</w:t>
      </w:r>
      <w:r>
        <w:br/>
      </w:r>
      <w:r>
        <w:t xml:space="preserve">Likely cause: Mode/test mismatch.</w:t>
      </w:r>
      <w:r>
        <w:br/>
      </w:r>
      <w:r>
        <w:t xml:space="preserve">What to do: Switch test or use a mode with raw-compatible data.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Curves merge fails</w:t>
      </w:r>
      <w:r>
        <w:br/>
      </w:r>
      <w:r>
        <w:t xml:space="preserve">Likely cause: Well ID mismatch.</w:t>
      </w:r>
      <w:r>
        <w:br/>
      </w:r>
      <w:r>
        <w:t xml:space="preserve">What to do: Match platemap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values to curves columns.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Grouped/Summary workbook loads but Curves has no data</w:t>
      </w:r>
      <w:r>
        <w:br/>
      </w:r>
      <w:r>
        <w:t xml:space="preserve">Likely cause: Missing embedded curves summary sheet.</w:t>
      </w:r>
      <w:r>
        <w:br/>
      </w:r>
      <w:r>
        <w:t xml:space="preserve">What to do: Add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(or alias) to the workbook, or upload curves separately in</w:t>
      </w:r>
      <w:r>
        <w:t xml:space="preserve"> </w:t>
      </w:r>
      <w:r>
        <w:rPr>
          <w:b/>
          <w:bCs/>
        </w:rPr>
        <w:t xml:space="preserve">Load Curves</w:t>
      </w:r>
      <w:r>
        <w:t xml:space="preserve">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CSV not recognized</w:t>
      </w:r>
      <w:r>
        <w:br/>
      </w:r>
      <w:r>
        <w:t xml:space="preserve">Likely cause: Wrong delimiter or missing required headers.</w:t>
      </w:r>
      <w:r>
        <w:br/>
      </w:r>
      <w:r>
        <w:t xml:space="preserve">What to do: Check delimiter consistency and required columns.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Slow performance</w:t>
      </w:r>
      <w:r>
        <w:br/>
      </w:r>
      <w:r>
        <w:t xml:space="preserve">Likely cause: Too many parameters/overlays at once.</w:t>
      </w:r>
      <w:r>
        <w:br/>
      </w:r>
      <w:r>
        <w:t xml:space="preserve">What to do: Reduce active parameters and heavy layers.</w:t>
      </w:r>
    </w:p>
    <w:bookmarkEnd w:id="68"/>
    <w:bookmarkStart w:id="69" w:name="Xcd58510a2561031e4603a64a38bc819a9ac6e6a"/>
    <w:p>
      <w:pPr>
        <w:pStyle w:val="Heading2"/>
      </w:pPr>
      <w:r>
        <w:t xml:space="preserve">15. Support</w:t>
      </w:r>
    </w:p>
    <w:p>
      <w:pPr>
        <w:pStyle w:val="FirstParagraph"/>
      </w:pPr>
      <w:r>
        <w:t xml:space="preserve">For support and bug reports: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2026-06-05T04:21:46Z</dcterms:created>
  <dcterms:modified xsi:type="dcterms:W3CDTF">2026-06-05T04:21:46Z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