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b w:val="false"/>
          <w:bCs w:val="false"/>
          <w:color w:val="000000"/>
          <w:sz w:val="22"/>
          <w:szCs w:val="22"/>
        </w:rPr>
        <w:t xml:space="preserve"/>
      </w:r>
    </w:p>
    <w:p>
      <w:pPr>
        <w:spacing w:after="100" w:before="0"/>
        <w:jc w:val="center"/>
      </w:pPr>
      <w:r>
        <w:rPr>
          <w:rFonts w:ascii="Arial" w:cs="Arial" w:eastAsia="Arial" w:hAnsi="Arial"/>
          <w:b/>
          <w:bCs/>
          <w:color w:val="1B3A5C"/>
          <w:sz w:val="80"/>
          <w:szCs w:val="80"/>
        </w:rPr>
        <w:t xml:space="preserve">ChronicCare</w:t>
      </w:r>
    </w:p>
    <w:p>
      <w:pPr>
        <w:spacing w:after="80" w:before="0"/>
        <w:jc w:val="center"/>
      </w:pPr>
      <w:r>
        <w:rPr>
          <w:rFonts w:ascii="Arial" w:cs="Arial" w:eastAsia="Arial" w:hAnsi="Arial"/>
          <w:b/>
          <w:bCs/>
          <w:color w:val="0F7173"/>
          <w:sz w:val="52"/>
          <w:szCs w:val="52"/>
        </w:rPr>
        <w:t xml:space="preserve">Nour — نور</w:t>
      </w:r>
    </w:p>
    <w:p>
      <w:pPr>
        <w:spacing w:after="160" w:before="0"/>
        <w:jc w:val="center"/>
      </w:pPr>
      <w:r>
        <w:rPr>
          <w:rFonts w:ascii="Arial" w:cs="Arial" w:eastAsia="Arial" w:hAnsi="Arial"/>
          <w:b w:val="false"/>
          <w:bCs w:val="false"/>
          <w:color w:val="555555"/>
          <w:sz w:val="28"/>
          <w:szCs w:val="28"/>
        </w:rPr>
        <w:t xml:space="preserve">Business Model Canvas &amp; Investor Brief</w:t>
      </w:r>
    </w:p>
    <w:p>
      <w:pPr>
        <w:spacing w:after="60" w:before="0"/>
      </w:pPr>
      <w:r>
        <w:rPr>
          <w:rFonts w:ascii="Arial" w:cs="Arial" w:eastAsia="Arial" w:hAnsi="Arial"/>
          <w:b w:val="false"/>
          <w:bCs w:val="false"/>
          <w:color w:val="000000"/>
          <w:sz w:val="22"/>
          <w:szCs w:val="22"/>
        </w:rPr>
        <w:t xml:space="preserve"/>
      </w:r>
    </w:p>
    <w:p>
      <w:pPr>
        <w:spacing w:after="80" w:before="0"/>
        <w:jc w:val="center"/>
      </w:pPr>
      <w:r>
        <w:rPr>
          <w:rFonts w:ascii="Arial" w:cs="Arial" w:eastAsia="Arial" w:hAnsi="Arial"/>
          <w:b/>
          <w:bCs/>
          <w:color w:val="1B3A5C"/>
          <w:sz w:val="26"/>
          <w:szCs w:val="26"/>
        </w:rPr>
        <w:t xml:space="preserve">Algeria's first AI-powered chronic disease companion — speaking the language patients actually use.</w:t>
      </w:r>
    </w:p>
    <w:p>
      <w:pPr>
        <w:spacing w:after="200" w:before="0"/>
      </w:pPr>
      <w:r>
        <w:rPr>
          <w:rFonts w:ascii="Arial" w:cs="Arial" w:eastAsia="Arial" w:hAnsi="Arial"/>
          <w:b w:val="false"/>
          <w:bCs w:val="false"/>
          <w:color w:val="000000"/>
          <w:sz w:val="22"/>
          <w:szCs w:val="22"/>
        </w:rPr>
        <w:t xml:space="preserve"/>
      </w:r>
    </w:p>
    <w:p>
      <w:pPr>
        <w:spacing w:after="60" w:before="0"/>
        <w:jc w:val="center"/>
      </w:pPr>
      <w:r>
        <w:rPr>
          <w:rFonts w:ascii="Arial" w:cs="Arial" w:eastAsia="Arial" w:hAnsi="Arial"/>
          <w:b w:val="false"/>
          <w:bCs w:val="false"/>
          <w:color w:val="555555"/>
          <w:sz w:val="20"/>
          <w:szCs w:val="20"/>
        </w:rPr>
        <w:t xml:space="preserve">BioVatech Innovation Days  |  April 27–30, 2026  |  ENSB Constantine  |  Axis 2 — Health &amp; PharmaТech</w:t>
      </w:r>
    </w:p>
    <w:p>
      <w:pPr>
        <w:spacing w:after="40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50"/>
        <w:gridCol w:w="3248"/>
      </w:tblGrid>
      <w:tr>
        <w:tc>
          <w:tcPr>
            <w:tcW w:type="dxa" w:w="3009"/>
            <w:tcBorders>
              <w:top w:val="single" w:color="0F7173" w:sz="1"/>
              <w:left w:val="single" w:color="0F7173" w:sz="1"/>
              <w:bottom w:val="single" w:color="0F7173" w:sz="1"/>
              <w:right w:val="single" w:color="0F7173" w:sz="1"/>
            </w:tcBorders>
            <w:shd w:fill="EAF4FB"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4.2M</w:t>
            </w:r>
          </w:p>
          <w:p>
            <w:pPr>
              <w:spacing w:after="40" w:before="0"/>
              <w:jc w:val="center"/>
            </w:pPr>
            <w:r>
              <w:rPr>
                <w:rFonts w:ascii="Arial" w:cs="Arial" w:eastAsia="Arial" w:hAnsi="Arial"/>
                <w:b/>
                <w:bCs/>
                <w:color w:val="1B3A5C"/>
                <w:sz w:val="20"/>
                <w:szCs w:val="20"/>
              </w:rPr>
              <w:t xml:space="preserve">Algerian diabetics</w:t>
            </w:r>
          </w:p>
          <w:p>
            <w:pPr>
              <w:spacing w:after="0" w:before="0"/>
              <w:jc w:val="center"/>
            </w:pPr>
            <w:r>
              <w:rPr>
                <w:rFonts w:ascii="Arial" w:cs="Arial" w:eastAsia="Arial" w:hAnsi="Arial"/>
                <w:b w:val="false"/>
                <w:bCs w:val="false"/>
                <w:color w:val="555555"/>
                <w:sz w:val="18"/>
                <w:szCs w:val="18"/>
              </w:rPr>
              <w:t xml:space="preserve">with no daily digital follow-up</w:t>
            </w:r>
          </w:p>
        </w:tc>
        <w:tc>
          <w:tcPr>
            <w:tcW w:type="dxa" w:w="3009"/>
            <w:tcBorders>
              <w:top w:val="single" w:color="0F7173" w:sz="1"/>
              <w:left w:val="single" w:color="0F7173" w:sz="1"/>
              <w:bottom w:val="single" w:color="0F7173" w:sz="1"/>
              <w:right w:val="single" w:color="0F7173" w:sz="1"/>
            </w:tcBorders>
            <w:shd w:fill="FFF3E0"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&gt;50%</w:t>
            </w:r>
          </w:p>
          <w:p>
            <w:pPr>
              <w:spacing w:after="40" w:before="0"/>
              <w:jc w:val="center"/>
            </w:pPr>
            <w:r>
              <w:rPr>
                <w:rFonts w:ascii="Arial" w:cs="Arial" w:eastAsia="Arial" w:hAnsi="Arial"/>
                <w:b/>
                <w:bCs/>
                <w:color w:val="1B3A5C"/>
                <w:sz w:val="20"/>
                <w:szCs w:val="20"/>
              </w:rPr>
              <w:t xml:space="preserve">medication non-adherence</w:t>
            </w:r>
          </w:p>
          <w:p>
            <w:pPr>
              <w:spacing w:after="0" w:before="0"/>
              <w:jc w:val="center"/>
            </w:pPr>
            <w:r>
              <w:rPr>
                <w:rFonts w:ascii="Arial" w:cs="Arial" w:eastAsia="Arial" w:hAnsi="Arial"/>
                <w:b w:val="false"/>
                <w:bCs w:val="false"/>
                <w:color w:val="555555"/>
                <w:sz w:val="18"/>
                <w:szCs w:val="18"/>
              </w:rPr>
              <w:t xml:space="preserve">of chronic prescriptions skipped</w:t>
            </w:r>
          </w:p>
        </w:tc>
        <w:tc>
          <w:tcPr>
            <w:tcW w:type="dxa" w:w="3009"/>
            <w:tcBorders>
              <w:top w:val="single" w:color="0F7173" w:sz="1"/>
              <w:left w:val="single" w:color="0F7173" w:sz="1"/>
              <w:bottom w:val="single" w:color="0F7173" w:sz="1"/>
              <w:right w:val="single" w:color="0F7173" w:sz="1"/>
            </w:tcBorders>
            <w:shd w:fill="F3E5F5"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0</w:t>
            </w:r>
          </w:p>
          <w:p>
            <w:pPr>
              <w:spacing w:after="40" w:before="0"/>
              <w:jc w:val="center"/>
            </w:pPr>
            <w:r>
              <w:rPr>
                <w:rFonts w:ascii="Arial" w:cs="Arial" w:eastAsia="Arial" w:hAnsi="Arial"/>
                <w:b/>
                <w:bCs/>
                <w:color w:val="1B3A5C"/>
                <w:sz w:val="20"/>
                <w:szCs w:val="20"/>
              </w:rPr>
              <w:t xml:space="preserve">Darija medical tools</w:t>
            </w:r>
          </w:p>
          <w:p>
            <w:pPr>
              <w:spacing w:after="0" w:before="0"/>
              <w:jc w:val="center"/>
            </w:pPr>
            <w:r>
              <w:rPr>
                <w:rFonts w:ascii="Arial" w:cs="Arial" w:eastAsia="Arial" w:hAnsi="Arial"/>
                <w:b w:val="false"/>
                <w:bCs w:val="false"/>
                <w:color w:val="555555"/>
                <w:sz w:val="18"/>
                <w:szCs w:val="18"/>
              </w:rPr>
              <w:t xml:space="preserve">existing on the market today</w:t>
            </w:r>
          </w:p>
        </w:tc>
      </w:tr>
    </w:tbl>
    <w:p>
      <w:pPr>
        <w:spacing w:after="16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ChronicCare fills the only gap that no one has dared to fill: daily chronic care in the language 40 million Algerians speak at home — Darija.</w:t>
      </w:r>
    </w:p>
    <w:p>
      <w:pPr>
        <w:spacing w:after="120" w:before="0"/>
      </w:pPr>
      <w:r>
        <w:rPr>
          <w:rFonts w:ascii="Arial" w:cs="Arial" w:eastAsia="Arial" w:hAnsi="Arial"/>
          <w:b w:val="false"/>
          <w:bCs w:val="false"/>
          <w:color w:val="000000"/>
          <w:sz w:val="22"/>
          <w:szCs w:val="22"/>
        </w:rPr>
        <w:t xml:space="preserve"/>
      </w:r>
    </w:p>
    <w:p>
      <w:r>
        <w:br w:type="page"/>
      </w:r>
    </w:p>
    <w:p>
      <w:pPr>
        <w:pStyle w:val="Heading1"/>
        <w:pBdr>
          <w:bottom w:val="single" w:color="0F7173" w:sz="8" w:space="4"/>
        </w:pBdr>
        <w:spacing w:after="200" w:before="400"/>
      </w:pPr>
      <w:r>
        <w:rPr>
          <w:rFonts w:ascii="Arial" w:cs="Arial" w:eastAsia="Arial" w:hAnsi="Arial"/>
          <w:b/>
          <w:bCs/>
          <w:color w:val="1B3A5C"/>
          <w:sz w:val="34"/>
          <w:szCs w:val="34"/>
        </w:rPr>
        <w:t xml:space="preserve">1. Business Model Canvas</w:t>
      </w:r>
    </w:p>
    <w:p>
      <w:pPr>
        <w:spacing w:after="100" w:before="0"/>
        <w:jc w:val="both"/>
      </w:pPr>
      <w:r>
        <w:rPr>
          <w:rFonts w:ascii="Arial" w:cs="Arial" w:eastAsia="Arial" w:hAnsi="Arial"/>
          <w:b w:val="false"/>
          <w:bCs w:val="false"/>
          <w:color w:val="000000"/>
          <w:sz w:val="22"/>
          <w:szCs w:val="22"/>
        </w:rPr>
        <w:t xml:space="preserve">The canvas below is structured for maximum hackathon impact: every cell answers a judge question before they ask it.</w:t>
      </w:r>
    </w:p>
    <w:p>
      <w:pPr>
        <w:spacing w:after="10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c>
          <w:tcPr>
            <w:tcW w:type="dxa" w:w="1949"/>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Key partners</w:t>
            </w:r>
          </w:p>
        </w:tc>
        <w:tc>
          <w:tcPr>
            <w:tcW w:type="dxa" w:w="1949"/>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Key activities</w:t>
            </w:r>
          </w:p>
        </w:tc>
        <w:tc>
          <w:tcPr>
            <w:tcW w:type="dxa" w:w="1949"/>
            <w:tcBorders>
              <w:top w:val="single" w:color="0F7173" w:sz="1"/>
              <w:left w:val="single" w:color="0F7173" w:sz="1"/>
              <w:bottom w:val="single" w:color="0F7173" w:sz="1"/>
              <w:right w:val="single" w:color="0F7173" w:sz="1"/>
            </w:tcBorders>
            <w:shd w:fill="0F7173"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Value proposition</w:t>
            </w:r>
          </w:p>
        </w:tc>
        <w:tc>
          <w:tcPr>
            <w:tcW w:type="dxa" w:w="1949"/>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Customer relationships</w:t>
            </w:r>
          </w:p>
        </w:tc>
        <w:tc>
          <w:tcPr>
            <w:tcW w:type="dxa" w:w="1949"/>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Customer segments</w:t>
            </w:r>
          </w:p>
        </w:tc>
      </w:tr>
      <w:tr>
        <w:tc>
          <w:tcPr>
            <w:tcW w:type="dxa" w:w="1949"/>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top"/>
          </w:tcPr>
          <w:p>
            <w:pPr>
              <w:spacing w:after="80" w:before="60"/>
              <w:jc w:val="left"/>
            </w:pPr>
            <w:r>
              <w:rPr>
                <w:rFonts w:ascii="Arial" w:cs="Arial" w:eastAsia="Arial" w:hAnsi="Arial"/>
                <w:b/>
                <w:bCs/>
                <w:color w:val="FFFFFF"/>
                <w:sz w:val="20"/>
                <w:szCs w:val="20"/>
              </w:rPr>
              <w:t xml:space="preserve">Partners</w:t>
            </w:r>
          </w:p>
          <w:p>
            <w:pPr>
              <w:pStyle w:val="ListParagraph"/>
              <w:numPr>
                <w:ilvl w:val="0"/>
                <w:numId w:val="2"/>
              </w:numPr>
              <w:spacing w:after="60" w:before="0"/>
            </w:pPr>
            <w:r>
              <w:rPr>
                <w:rFonts w:ascii="Arial" w:cs="Arial" w:eastAsia="Arial" w:hAnsi="Arial"/>
                <w:b w:val="false"/>
                <w:bCs w:val="false"/>
                <w:color w:val="FFFFFF"/>
                <w:sz w:val="18"/>
                <w:szCs w:val="18"/>
              </w:rPr>
              <w:t xml:space="preserve">Gemini API (Google)</w:t>
            </w:r>
          </w:p>
          <w:p>
            <w:pPr>
              <w:pStyle w:val="ListParagraph"/>
              <w:numPr>
                <w:ilvl w:val="0"/>
                <w:numId w:val="2"/>
              </w:numPr>
              <w:spacing w:after="60" w:before="0"/>
            </w:pPr>
            <w:r>
              <w:rPr>
                <w:rFonts w:ascii="Arial" w:cs="Arial" w:eastAsia="Arial" w:hAnsi="Arial"/>
                <w:b w:val="false"/>
                <w:bCs w:val="false"/>
                <w:color w:val="FFFFFF"/>
                <w:sz w:val="18"/>
                <w:szCs w:val="18"/>
              </w:rPr>
              <w:t xml:space="preserve">Firebase (Google)</w:t>
            </w:r>
          </w:p>
          <w:p>
            <w:pPr>
              <w:pStyle w:val="ListParagraph"/>
              <w:numPr>
                <w:ilvl w:val="0"/>
                <w:numId w:val="2"/>
              </w:numPr>
              <w:spacing w:after="60" w:before="0"/>
            </w:pPr>
            <w:r>
              <w:rPr>
                <w:rFonts w:ascii="Arial" w:cs="Arial" w:eastAsia="Arial" w:hAnsi="Arial"/>
                <w:b w:val="false"/>
                <w:bCs w:val="false"/>
                <w:color w:val="FFFFFF"/>
                <w:sz w:val="18"/>
                <w:szCs w:val="18"/>
              </w:rPr>
              <w:t xml:space="preserve">Twilio / SendGrid</w:t>
            </w:r>
          </w:p>
          <w:p>
            <w:pPr>
              <w:pStyle w:val="ListParagraph"/>
              <w:numPr>
                <w:ilvl w:val="0"/>
                <w:numId w:val="2"/>
              </w:numPr>
              <w:spacing w:after="60" w:before="0"/>
            </w:pPr>
            <w:r>
              <w:rPr>
                <w:rFonts w:ascii="Arial" w:cs="Arial" w:eastAsia="Arial" w:hAnsi="Arial"/>
                <w:b w:val="false"/>
                <w:bCs w:val="false"/>
                <w:color w:val="FFFFFF"/>
                <w:sz w:val="18"/>
                <w:szCs w:val="18"/>
              </w:rPr>
              <w:t xml:space="preserve">Algerian clinics &amp; GPs</w:t>
            </w:r>
          </w:p>
          <w:p>
            <w:pPr>
              <w:pStyle w:val="ListParagraph"/>
              <w:numPr>
                <w:ilvl w:val="0"/>
                <w:numId w:val="2"/>
              </w:numPr>
              <w:spacing w:after="60" w:before="0"/>
            </w:pPr>
            <w:r>
              <w:rPr>
                <w:rFonts w:ascii="Arial" w:cs="Arial" w:eastAsia="Arial" w:hAnsi="Arial"/>
                <w:b w:val="false"/>
                <w:bCs w:val="false"/>
                <w:color w:val="FFFFFF"/>
                <w:sz w:val="18"/>
                <w:szCs w:val="18"/>
              </w:rPr>
              <w:t xml:space="preserve">Pharmacies (adherence data)</w:t>
            </w:r>
          </w:p>
          <w:p>
            <w:pPr>
              <w:pStyle w:val="ListParagraph"/>
              <w:numPr>
                <w:ilvl w:val="0"/>
                <w:numId w:val="2"/>
              </w:numPr>
              <w:spacing w:after="60" w:before="0"/>
            </w:pPr>
            <w:r>
              <w:rPr>
                <w:rFonts w:ascii="Arial" w:cs="Arial" w:eastAsia="Arial" w:hAnsi="Arial"/>
                <w:b w:val="false"/>
                <w:bCs w:val="false"/>
                <w:color w:val="FFFFFF"/>
                <w:sz w:val="18"/>
                <w:szCs w:val="18"/>
              </w:rPr>
              <w:t xml:space="preserve">Ministry of Health (future)</w:t>
            </w:r>
          </w:p>
          <w:p>
            <w:pPr>
              <w:pStyle w:val="ListParagraph"/>
              <w:numPr>
                <w:ilvl w:val="0"/>
                <w:numId w:val="2"/>
              </w:numPr>
              <w:spacing w:after="60" w:before="0"/>
            </w:pPr>
            <w:r>
              <w:rPr>
                <w:rFonts w:ascii="Arial" w:cs="Arial" w:eastAsia="Arial" w:hAnsi="Arial"/>
                <w:b w:val="false"/>
                <w:bCs w:val="false"/>
                <w:color w:val="FFFFFF"/>
                <w:sz w:val="18"/>
                <w:szCs w:val="18"/>
              </w:rPr>
              <w:t xml:space="preserve">Algerie Telecom (hosting)</w:t>
            </w:r>
          </w:p>
        </w:tc>
        <w:tc>
          <w:tcPr>
            <w:tcW w:type="dxa" w:w="1949"/>
            <w:tcBorders>
              <w:top w:val="single" w:color="1B3A5C" w:sz="1"/>
              <w:left w:val="single" w:color="1B3A5C" w:sz="1"/>
              <w:bottom w:val="single" w:color="1B3A5C" w:sz="1"/>
              <w:right w:val="single" w:color="1B3A5C" w:sz="1"/>
            </w:tcBorders>
            <w:shd w:fill="1A3550" w:val="clear"/>
            <w:tcMar>
              <w:top w:type="dxa" w:w="120"/>
              <w:left w:type="dxa" w:w="160"/>
              <w:bottom w:type="dxa" w:w="120"/>
              <w:right w:type="dxa" w:w="160"/>
            </w:tcMar>
            <w:vAlign w:val="top"/>
          </w:tcPr>
          <w:p>
            <w:pPr>
              <w:spacing w:after="80" w:before="60"/>
              <w:jc w:val="left"/>
            </w:pPr>
            <w:r>
              <w:rPr>
                <w:rFonts w:ascii="Arial" w:cs="Arial" w:eastAsia="Arial" w:hAnsi="Arial"/>
                <w:b/>
                <w:bCs/>
                <w:color w:val="FFFFFF"/>
                <w:sz w:val="20"/>
                <w:szCs w:val="20"/>
              </w:rPr>
              <w:t xml:space="preserve">Activities</w:t>
            </w:r>
          </w:p>
          <w:p>
            <w:pPr>
              <w:pStyle w:val="ListParagraph"/>
              <w:numPr>
                <w:ilvl w:val="0"/>
                <w:numId w:val="2"/>
              </w:numPr>
              <w:spacing w:after="60" w:before="0"/>
            </w:pPr>
            <w:r>
              <w:rPr>
                <w:rFonts w:ascii="Arial" w:cs="Arial" w:eastAsia="Arial" w:hAnsi="Arial"/>
                <w:b w:val="false"/>
                <w:bCs w:val="false"/>
                <w:color w:val="FFFFFF"/>
                <w:sz w:val="18"/>
                <w:szCs w:val="18"/>
              </w:rPr>
              <w:t xml:space="preserve">Darija NLP pipeline (Gemini)</w:t>
            </w:r>
          </w:p>
          <w:p>
            <w:pPr>
              <w:pStyle w:val="ListParagraph"/>
              <w:numPr>
                <w:ilvl w:val="0"/>
                <w:numId w:val="2"/>
              </w:numPr>
              <w:spacing w:after="60" w:before="0"/>
            </w:pPr>
            <w:r>
              <w:rPr>
                <w:rFonts w:ascii="Arial" w:cs="Arial" w:eastAsia="Arial" w:hAnsi="Arial"/>
                <w:b w:val="false"/>
                <w:bCs w:val="false"/>
                <w:color w:val="FFFFFF"/>
                <w:sz w:val="18"/>
                <w:szCs w:val="18"/>
              </w:rPr>
              <w:t xml:space="preserve">ML risk classification</w:t>
            </w:r>
          </w:p>
          <w:p>
            <w:pPr>
              <w:pStyle w:val="ListParagraph"/>
              <w:numPr>
                <w:ilvl w:val="0"/>
                <w:numId w:val="2"/>
              </w:numPr>
              <w:spacing w:after="60" w:before="0"/>
            </w:pPr>
            <w:r>
              <w:rPr>
                <w:rFonts w:ascii="Arial" w:cs="Arial" w:eastAsia="Arial" w:hAnsi="Arial"/>
                <w:b w:val="false"/>
                <w:bCs w:val="false"/>
                <w:color w:val="FFFFFF"/>
                <w:sz w:val="18"/>
                <w:szCs w:val="18"/>
              </w:rPr>
              <w:t xml:space="preserve">Family dashboard ops</w:t>
            </w:r>
          </w:p>
          <w:p>
            <w:pPr>
              <w:pStyle w:val="ListParagraph"/>
              <w:numPr>
                <w:ilvl w:val="0"/>
                <w:numId w:val="2"/>
              </w:numPr>
              <w:spacing w:after="60" w:before="0"/>
            </w:pPr>
            <w:r>
              <w:rPr>
                <w:rFonts w:ascii="Arial" w:cs="Arial" w:eastAsia="Arial" w:hAnsi="Arial"/>
                <w:b w:val="false"/>
                <w:bCs w:val="false"/>
                <w:color w:val="FFFFFF"/>
                <w:sz w:val="18"/>
                <w:szCs w:val="18"/>
              </w:rPr>
              <w:t xml:space="preserve">Clinical alert routing</w:t>
            </w:r>
          </w:p>
          <w:p>
            <w:pPr>
              <w:pStyle w:val="ListParagraph"/>
              <w:numPr>
                <w:ilvl w:val="0"/>
                <w:numId w:val="2"/>
              </w:numPr>
              <w:spacing w:after="60" w:before="0"/>
            </w:pPr>
            <w:r>
              <w:rPr>
                <w:rFonts w:ascii="Arial" w:cs="Arial" w:eastAsia="Arial" w:hAnsi="Arial"/>
                <w:b w:val="false"/>
                <w:bCs w:val="false"/>
                <w:color w:val="FFFFFF"/>
                <w:sz w:val="18"/>
                <w:szCs w:val="18"/>
              </w:rPr>
              <w:t xml:space="preserve">Medication reminder logic</w:t>
            </w:r>
          </w:p>
          <w:p>
            <w:pPr>
              <w:pStyle w:val="ListParagraph"/>
              <w:numPr>
                <w:ilvl w:val="0"/>
                <w:numId w:val="2"/>
              </w:numPr>
              <w:spacing w:after="60" w:before="0"/>
            </w:pPr>
            <w:r>
              <w:rPr>
                <w:rFonts w:ascii="Arial" w:cs="Arial" w:eastAsia="Arial" w:hAnsi="Arial"/>
                <w:b w:val="false"/>
                <w:bCs w:val="false"/>
                <w:color w:val="FFFFFF"/>
                <w:sz w:val="18"/>
                <w:szCs w:val="18"/>
              </w:rPr>
              <w:t xml:space="preserve">Darija glossary curation</w:t>
            </w:r>
          </w:p>
          <w:p>
            <w:pPr>
              <w:pStyle w:val="ListParagraph"/>
              <w:numPr>
                <w:ilvl w:val="0"/>
                <w:numId w:val="2"/>
              </w:numPr>
              <w:spacing w:after="60" w:before="0"/>
            </w:pPr>
            <w:r>
              <w:rPr>
                <w:rFonts w:ascii="Arial" w:cs="Arial" w:eastAsia="Arial" w:hAnsi="Arial"/>
                <w:b w:val="false"/>
                <w:bCs w:val="false"/>
                <w:color w:val="FFFFFF"/>
                <w:sz w:val="18"/>
                <w:szCs w:val="18"/>
              </w:rPr>
              <w:t xml:space="preserve">Doctor report generation</w:t>
            </w:r>
          </w:p>
        </w:tc>
        <w:tc>
          <w:tcPr>
            <w:tcW w:type="dxa" w:w="1949"/>
            <w:tcBorders>
              <w:top w:val="single" w:color="1B3A5C" w:sz="1"/>
              <w:left w:val="single" w:color="1B3A5C" w:sz="1"/>
              <w:bottom w:val="single" w:color="1B3A5C" w:sz="1"/>
              <w:right w:val="single" w:color="1B3A5C" w:sz="1"/>
            </w:tcBorders>
            <w:shd w:fill="0F7173" w:val="clear"/>
            <w:tcMar>
              <w:top w:type="dxa" w:w="120"/>
              <w:left w:type="dxa" w:w="160"/>
              <w:bottom w:type="dxa" w:w="120"/>
              <w:right w:type="dxa" w:w="160"/>
            </w:tcMar>
            <w:vAlign w:val="top"/>
          </w:tcPr>
          <w:p>
            <w:pPr>
              <w:spacing w:after="80" w:before="60"/>
              <w:jc w:val="left"/>
            </w:pPr>
            <w:r>
              <w:rPr>
                <w:rFonts w:ascii="Arial" w:cs="Arial" w:eastAsia="Arial" w:hAnsi="Arial"/>
                <w:b/>
                <w:bCs/>
                <w:color w:val="FFFFFF"/>
                <w:sz w:val="20"/>
                <w:szCs w:val="20"/>
              </w:rPr>
              <w:t xml:space="preserve">Value Proposition</w:t>
            </w:r>
          </w:p>
          <w:p>
            <w:pPr>
              <w:pStyle w:val="ListParagraph"/>
              <w:numPr>
                <w:ilvl w:val="0"/>
                <w:numId w:val="2"/>
              </w:numPr>
              <w:spacing w:after="60" w:before="0"/>
            </w:pPr>
            <w:r>
              <w:rPr>
                <w:rFonts w:ascii="Arial" w:cs="Arial" w:eastAsia="Arial" w:hAnsi="Arial"/>
                <w:b w:val="false"/>
                <w:bCs w:val="false"/>
                <w:color w:val="FFFFFF"/>
                <w:sz w:val="18"/>
                <w:szCs w:val="18"/>
              </w:rPr>
              <w:t xml:space="preserve">24/7 Digital Nurse in Darija</w:t>
            </w:r>
          </w:p>
          <w:p>
            <w:pPr>
              <w:pStyle w:val="ListParagraph"/>
              <w:numPr>
                <w:ilvl w:val="0"/>
                <w:numId w:val="2"/>
              </w:numPr>
              <w:spacing w:after="60" w:before="0"/>
            </w:pPr>
            <w:r>
              <w:rPr>
                <w:rFonts w:ascii="Arial" w:cs="Arial" w:eastAsia="Arial" w:hAnsi="Arial"/>
                <w:b w:val="false"/>
                <w:bCs w:val="false"/>
                <w:color w:val="FFFFFF"/>
                <w:sz w:val="18"/>
                <w:szCs w:val="18"/>
              </w:rPr>
              <w:t xml:space="preserve">Real-time risk scoring</w:t>
            </w:r>
          </w:p>
          <w:p>
            <w:pPr>
              <w:pStyle w:val="ListParagraph"/>
              <w:numPr>
                <w:ilvl w:val="0"/>
                <w:numId w:val="2"/>
              </w:numPr>
              <w:spacing w:after="60" w:before="0"/>
            </w:pPr>
            <w:r>
              <w:rPr>
                <w:rFonts w:ascii="Arial" w:cs="Arial" w:eastAsia="Arial" w:hAnsi="Arial"/>
                <w:b w:val="false"/>
                <w:bCs w:val="false"/>
                <w:color w:val="FFFFFF"/>
                <w:sz w:val="18"/>
                <w:szCs w:val="18"/>
              </w:rPr>
              <w:t xml:space="preserve">Family kept in the loop</w:t>
            </w:r>
          </w:p>
          <w:p>
            <w:pPr>
              <w:pStyle w:val="ListParagraph"/>
              <w:numPr>
                <w:ilvl w:val="0"/>
                <w:numId w:val="2"/>
              </w:numPr>
              <w:spacing w:after="60" w:before="0"/>
            </w:pPr>
            <w:r>
              <w:rPr>
                <w:rFonts w:ascii="Arial" w:cs="Arial" w:eastAsia="Arial" w:hAnsi="Arial"/>
                <w:b w:val="false"/>
                <w:bCs w:val="false"/>
                <w:color w:val="FFFFFF"/>
                <w:sz w:val="18"/>
                <w:szCs w:val="18"/>
              </w:rPr>
              <w:t xml:space="preserve">Doctor alerted automatically</w:t>
            </w:r>
          </w:p>
          <w:p>
            <w:pPr>
              <w:pStyle w:val="ListParagraph"/>
              <w:numPr>
                <w:ilvl w:val="0"/>
                <w:numId w:val="2"/>
              </w:numPr>
              <w:spacing w:after="60" w:before="0"/>
            </w:pPr>
            <w:r>
              <w:rPr>
                <w:rFonts w:ascii="Arial" w:cs="Arial" w:eastAsia="Arial" w:hAnsi="Arial"/>
                <w:b w:val="false"/>
                <w:bCs w:val="false"/>
                <w:color w:val="FFFFFF"/>
                <w:sz w:val="18"/>
                <w:szCs w:val="18"/>
              </w:rPr>
              <w:t xml:space="preserve">Culturally warm AI persona</w:t>
            </w:r>
          </w:p>
          <w:p>
            <w:pPr>
              <w:pStyle w:val="ListParagraph"/>
              <w:numPr>
                <w:ilvl w:val="0"/>
                <w:numId w:val="2"/>
              </w:numPr>
              <w:spacing w:after="60" w:before="0"/>
            </w:pPr>
            <w:r>
              <w:rPr>
                <w:rFonts w:ascii="Arial" w:cs="Arial" w:eastAsia="Arial" w:hAnsi="Arial"/>
                <w:b w:val="false"/>
                <w:bCs w:val="false"/>
                <w:color w:val="FFFFFF"/>
                <w:sz w:val="18"/>
                <w:szCs w:val="18"/>
              </w:rPr>
              <w:t xml:space="preserve">Privacy-first (PII stripped)</w:t>
            </w:r>
          </w:p>
          <w:p>
            <w:pPr>
              <w:pStyle w:val="ListParagraph"/>
              <w:numPr>
                <w:ilvl w:val="0"/>
                <w:numId w:val="2"/>
              </w:numPr>
              <w:spacing w:after="60" w:before="0"/>
            </w:pPr>
            <w:r>
              <w:rPr>
                <w:rFonts w:ascii="Arial" w:cs="Arial" w:eastAsia="Arial" w:hAnsi="Arial"/>
                <w:b w:val="false"/>
                <w:bCs w:val="false"/>
                <w:color w:val="FFFFFF"/>
                <w:sz w:val="18"/>
                <w:szCs w:val="18"/>
              </w:rPr>
              <w:t xml:space="preserve">No hospital visit required</w:t>
            </w:r>
          </w:p>
        </w:tc>
        <w:tc>
          <w:tcPr>
            <w:tcW w:type="dxa" w:w="1949"/>
            <w:tcBorders>
              <w:top w:val="single" w:color="1B3A5C" w:sz="1"/>
              <w:left w:val="single" w:color="1B3A5C" w:sz="1"/>
              <w:bottom w:val="single" w:color="1B3A5C" w:sz="1"/>
              <w:right w:val="single" w:color="1B3A5C" w:sz="1"/>
            </w:tcBorders>
            <w:shd w:fill="1A3550" w:val="clear"/>
            <w:tcMar>
              <w:top w:type="dxa" w:w="120"/>
              <w:left w:type="dxa" w:w="160"/>
              <w:bottom w:type="dxa" w:w="120"/>
              <w:right w:type="dxa" w:w="160"/>
            </w:tcMar>
            <w:vAlign w:val="top"/>
          </w:tcPr>
          <w:p>
            <w:pPr>
              <w:spacing w:after="80" w:before="60"/>
              <w:jc w:val="left"/>
            </w:pPr>
            <w:r>
              <w:rPr>
                <w:rFonts w:ascii="Arial" w:cs="Arial" w:eastAsia="Arial" w:hAnsi="Arial"/>
                <w:b/>
                <w:bCs/>
                <w:color w:val="FFFFFF"/>
                <w:sz w:val="20"/>
                <w:szCs w:val="20"/>
              </w:rPr>
              <w:t xml:space="preserve">Relationships</w:t>
            </w:r>
          </w:p>
          <w:p>
            <w:pPr>
              <w:pStyle w:val="ListParagraph"/>
              <w:numPr>
                <w:ilvl w:val="0"/>
                <w:numId w:val="2"/>
              </w:numPr>
              <w:spacing w:after="60" w:before="0"/>
            </w:pPr>
            <w:r>
              <w:rPr>
                <w:rFonts w:ascii="Arial" w:cs="Arial" w:eastAsia="Arial" w:hAnsi="Arial"/>
                <w:b w:val="false"/>
                <w:bCs w:val="false"/>
                <w:color w:val="FFFFFF"/>
                <w:sz w:val="18"/>
                <w:szCs w:val="18"/>
              </w:rPr>
              <w:t xml:space="preserve">B2C: AI companion (daily)</w:t>
            </w:r>
          </w:p>
          <w:p>
            <w:pPr>
              <w:pStyle w:val="ListParagraph"/>
              <w:numPr>
                <w:ilvl w:val="0"/>
                <w:numId w:val="2"/>
              </w:numPr>
              <w:spacing w:after="60" w:before="0"/>
            </w:pPr>
            <w:r>
              <w:rPr>
                <w:rFonts w:ascii="Arial" w:cs="Arial" w:eastAsia="Arial" w:hAnsi="Arial"/>
                <w:b w:val="false"/>
                <w:bCs w:val="false"/>
                <w:color w:val="FFFFFF"/>
                <w:sz w:val="18"/>
                <w:szCs w:val="18"/>
              </w:rPr>
              <w:t xml:space="preserve">B2B: Clinic dashboard SaaS</w:t>
            </w:r>
          </w:p>
          <w:p>
            <w:pPr>
              <w:pStyle w:val="ListParagraph"/>
              <w:numPr>
                <w:ilvl w:val="0"/>
                <w:numId w:val="2"/>
              </w:numPr>
              <w:spacing w:after="60" w:before="0"/>
            </w:pPr>
            <w:r>
              <w:rPr>
                <w:rFonts w:ascii="Arial" w:cs="Arial" w:eastAsia="Arial" w:hAnsi="Arial"/>
                <w:b w:val="false"/>
                <w:bCs w:val="false"/>
                <w:color w:val="FFFFFF"/>
                <w:sz w:val="18"/>
                <w:szCs w:val="18"/>
              </w:rPr>
              <w:t xml:space="preserve">Family: push alerts</w:t>
            </w:r>
          </w:p>
          <w:p>
            <w:pPr>
              <w:pStyle w:val="ListParagraph"/>
              <w:numPr>
                <w:ilvl w:val="0"/>
                <w:numId w:val="2"/>
              </w:numPr>
              <w:spacing w:after="60" w:before="0"/>
            </w:pPr>
            <w:r>
              <w:rPr>
                <w:rFonts w:ascii="Arial" w:cs="Arial" w:eastAsia="Arial" w:hAnsi="Arial"/>
                <w:b w:val="false"/>
                <w:bCs w:val="false"/>
                <w:color w:val="FFFFFF"/>
                <w:sz w:val="18"/>
                <w:szCs w:val="18"/>
              </w:rPr>
              <w:t xml:space="preserve">Doctor: weekly PDF reports</w:t>
            </w:r>
          </w:p>
          <w:p>
            <w:pPr>
              <w:pStyle w:val="ListParagraph"/>
              <w:numPr>
                <w:ilvl w:val="0"/>
                <w:numId w:val="2"/>
              </w:numPr>
              <w:spacing w:after="60" w:before="0"/>
            </w:pPr>
            <w:r>
              <w:rPr>
                <w:rFonts w:ascii="Arial" w:cs="Arial" w:eastAsia="Arial" w:hAnsi="Arial"/>
                <w:b w:val="false"/>
                <w:bCs w:val="false"/>
                <w:color w:val="FFFFFF"/>
                <w:sz w:val="18"/>
                <w:szCs w:val="18"/>
              </w:rPr>
              <w:t xml:space="preserve">Community: health streaks</w:t>
            </w:r>
          </w:p>
          <w:p>
            <w:pPr>
              <w:pStyle w:val="ListParagraph"/>
              <w:numPr>
                <w:ilvl w:val="0"/>
                <w:numId w:val="2"/>
              </w:numPr>
              <w:spacing w:after="60" w:before="0"/>
            </w:pPr>
            <w:r>
              <w:rPr>
                <w:rFonts w:ascii="Arial" w:cs="Arial" w:eastAsia="Arial" w:hAnsi="Arial"/>
                <w:b w:val="false"/>
                <w:bCs w:val="false"/>
                <w:color w:val="FFFFFF"/>
                <w:sz w:val="18"/>
                <w:szCs w:val="18"/>
              </w:rPr>
              <w:t xml:space="preserve">Support: in-app Darija FAQ</w:t>
            </w:r>
          </w:p>
        </w:tc>
        <w:tc>
          <w:tcPr>
            <w:tcW w:type="dxa" w:w="1949"/>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top"/>
          </w:tcPr>
          <w:p>
            <w:pPr>
              <w:spacing w:after="80" w:before="60"/>
              <w:jc w:val="left"/>
            </w:pPr>
            <w:r>
              <w:rPr>
                <w:rFonts w:ascii="Arial" w:cs="Arial" w:eastAsia="Arial" w:hAnsi="Arial"/>
                <w:b/>
                <w:bCs/>
                <w:color w:val="FFFFFF"/>
                <w:sz w:val="20"/>
                <w:szCs w:val="20"/>
              </w:rPr>
              <w:t xml:space="preserve">Segments</w:t>
            </w:r>
          </w:p>
          <w:p>
            <w:pPr>
              <w:pStyle w:val="ListParagraph"/>
              <w:numPr>
                <w:ilvl w:val="0"/>
                <w:numId w:val="2"/>
              </w:numPr>
              <w:spacing w:after="60" w:before="0"/>
            </w:pPr>
            <w:r>
              <w:rPr>
                <w:rFonts w:ascii="Arial" w:cs="Arial" w:eastAsia="Arial" w:hAnsi="Arial"/>
                <w:b w:val="false"/>
                <w:bCs w:val="false"/>
                <w:color w:val="FFFFFF"/>
                <w:sz w:val="18"/>
                <w:szCs w:val="18"/>
              </w:rPr>
              <w:t xml:space="preserve">Type 2 diabetics 40-70</w:t>
            </w:r>
          </w:p>
          <w:p>
            <w:pPr>
              <w:pStyle w:val="ListParagraph"/>
              <w:numPr>
                <w:ilvl w:val="0"/>
                <w:numId w:val="2"/>
              </w:numPr>
              <w:spacing w:after="60" w:before="0"/>
            </w:pPr>
            <w:r>
              <w:rPr>
                <w:rFonts w:ascii="Arial" w:cs="Arial" w:eastAsia="Arial" w:hAnsi="Arial"/>
                <w:b w:val="false"/>
                <w:bCs w:val="false"/>
                <w:color w:val="FFFFFF"/>
                <w:sz w:val="18"/>
                <w:szCs w:val="18"/>
              </w:rPr>
              <w:t xml:space="preserve">Hypertensive patients 55+</w:t>
            </w:r>
          </w:p>
          <w:p>
            <w:pPr>
              <w:pStyle w:val="ListParagraph"/>
              <w:numPr>
                <w:ilvl w:val="0"/>
                <w:numId w:val="2"/>
              </w:numPr>
              <w:spacing w:after="60" w:before="0"/>
            </w:pPr>
            <w:r>
              <w:rPr>
                <w:rFonts w:ascii="Arial" w:cs="Arial" w:eastAsia="Arial" w:hAnsi="Arial"/>
                <w:b w:val="false"/>
                <w:bCs w:val="false"/>
                <w:color w:val="FFFFFF"/>
                <w:sz w:val="18"/>
                <w:szCs w:val="18"/>
              </w:rPr>
              <w:t xml:space="preserve">Chronic family caregivers</w:t>
            </w:r>
          </w:p>
          <w:p>
            <w:pPr>
              <w:pStyle w:val="ListParagraph"/>
              <w:numPr>
                <w:ilvl w:val="0"/>
                <w:numId w:val="2"/>
              </w:numPr>
              <w:spacing w:after="60" w:before="0"/>
            </w:pPr>
            <w:r>
              <w:rPr>
                <w:rFonts w:ascii="Arial" w:cs="Arial" w:eastAsia="Arial" w:hAnsi="Arial"/>
                <w:b w:val="false"/>
                <w:bCs w:val="false"/>
                <w:color w:val="FFFFFF"/>
                <w:sz w:val="18"/>
                <w:szCs w:val="18"/>
              </w:rPr>
              <w:t xml:space="preserve">General practitioners</w:t>
            </w:r>
          </w:p>
          <w:p>
            <w:pPr>
              <w:pStyle w:val="ListParagraph"/>
              <w:numPr>
                <w:ilvl w:val="0"/>
                <w:numId w:val="2"/>
              </w:numPr>
              <w:spacing w:after="60" w:before="0"/>
            </w:pPr>
            <w:r>
              <w:rPr>
                <w:rFonts w:ascii="Arial" w:cs="Arial" w:eastAsia="Arial" w:hAnsi="Arial"/>
                <w:b w:val="false"/>
                <w:bCs w:val="false"/>
                <w:color w:val="FFFFFF"/>
                <w:sz w:val="18"/>
                <w:szCs w:val="18"/>
              </w:rPr>
              <w:t xml:space="preserve">Polyclinics &amp; EPH hospitals</w:t>
            </w:r>
          </w:p>
          <w:p>
            <w:pPr>
              <w:pStyle w:val="ListParagraph"/>
              <w:numPr>
                <w:ilvl w:val="0"/>
                <w:numId w:val="2"/>
              </w:numPr>
              <w:spacing w:after="60" w:before="0"/>
            </w:pPr>
            <w:r>
              <w:rPr>
                <w:rFonts w:ascii="Arial" w:cs="Arial" w:eastAsia="Arial" w:hAnsi="Arial"/>
                <w:b w:val="false"/>
                <w:bCs w:val="false"/>
                <w:color w:val="FFFFFF"/>
                <w:sz w:val="18"/>
                <w:szCs w:val="18"/>
              </w:rPr>
              <w:t xml:space="preserve">Health insurers (CNAS)</w:t>
            </w:r>
          </w:p>
          <w:p>
            <w:pPr>
              <w:pStyle w:val="ListParagraph"/>
              <w:numPr>
                <w:ilvl w:val="0"/>
                <w:numId w:val="2"/>
              </w:numPr>
              <w:spacing w:after="60" w:before="0"/>
            </w:pPr>
            <w:r>
              <w:rPr>
                <w:rFonts w:ascii="Arial" w:cs="Arial" w:eastAsia="Arial" w:hAnsi="Arial"/>
                <w:b w:val="false"/>
                <w:bCs w:val="false"/>
                <w:color w:val="FFFFFF"/>
                <w:sz w:val="18"/>
                <w:szCs w:val="18"/>
              </w:rPr>
              <w:t xml:space="preserve">Pharma companies (outcomes)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3898"/>
      </w:tblGrid>
      <w:tr>
        <w:tc>
          <w:tcPr>
            <w:tcW w:type="dxa" w:w="1949"/>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Key resources</w:t>
            </w:r>
          </w:p>
        </w:tc>
        <w:tc>
          <w:tcPr>
            <w:tcW w:type="dxa" w:w="1949"/>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
            </w:r>
          </w:p>
        </w:tc>
        <w:tc>
          <w:tcPr>
            <w:tcW w:type="dxa" w:w="1949"/>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Channels</w:t>
            </w:r>
          </w:p>
        </w:tc>
        <w:tc>
          <w:tcPr>
            <w:tcW w:type="dxa" w:w="3898"/>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
            </w:r>
          </w:p>
        </w:tc>
      </w:tr>
      <w:tr>
        <w:tc>
          <w:tcPr>
            <w:tcW w:type="dxa" w:w="1949"/>
            <w:tcBorders>
              <w:top w:val="single" w:color="1B3A5C" w:sz="1"/>
              <w:left w:val="single" w:color="1B3A5C" w:sz="1"/>
              <w:bottom w:val="single" w:color="1B3A5C" w:sz="1"/>
              <w:right w:val="single" w:color="1B3A5C" w:sz="1"/>
            </w:tcBorders>
            <w:shd w:fill="E8F0F7"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Resources</w:t>
            </w:r>
          </w:p>
          <w:p>
            <w:pPr>
              <w:pStyle w:val="ListParagraph"/>
              <w:numPr>
                <w:ilvl w:val="0"/>
                <w:numId w:val="2"/>
              </w:numPr>
              <w:spacing w:after="60" w:before="0"/>
            </w:pPr>
            <w:r>
              <w:rPr>
                <w:rFonts w:ascii="Arial" w:cs="Arial" w:eastAsia="Arial" w:hAnsi="Arial"/>
                <w:b w:val="false"/>
                <w:bCs w:val="false"/>
                <w:color w:val="222222"/>
                <w:sz w:val="18"/>
                <w:szCs w:val="18"/>
              </w:rPr>
              <w:t xml:space="preserve">Darija glossary (150+ terms)</w:t>
            </w:r>
          </w:p>
          <w:p>
            <w:pPr>
              <w:pStyle w:val="ListParagraph"/>
              <w:numPr>
                <w:ilvl w:val="0"/>
                <w:numId w:val="2"/>
              </w:numPr>
              <w:spacing w:after="60" w:before="0"/>
            </w:pPr>
            <w:r>
              <w:rPr>
                <w:rFonts w:ascii="Arial" w:cs="Arial" w:eastAsia="Arial" w:hAnsi="Arial"/>
                <w:b w:val="false"/>
                <w:bCs w:val="false"/>
                <w:color w:val="222222"/>
                <w:sz w:val="18"/>
                <w:szCs w:val="18"/>
              </w:rPr>
              <w:t xml:space="preserve">Decision Tree model (pre-trained)</w:t>
            </w:r>
          </w:p>
          <w:p>
            <w:pPr>
              <w:pStyle w:val="ListParagraph"/>
              <w:numPr>
                <w:ilvl w:val="0"/>
                <w:numId w:val="2"/>
              </w:numPr>
              <w:spacing w:after="60" w:before="0"/>
            </w:pPr>
            <w:r>
              <w:rPr>
                <w:rFonts w:ascii="Arial" w:cs="Arial" w:eastAsia="Arial" w:hAnsi="Arial"/>
                <w:b w:val="false"/>
                <w:bCs w:val="false"/>
                <w:color w:val="222222"/>
                <w:sz w:val="18"/>
                <w:szCs w:val="18"/>
              </w:rPr>
              <w:t xml:space="preserve">FastAPI backend</w:t>
            </w:r>
          </w:p>
          <w:p>
            <w:pPr>
              <w:pStyle w:val="ListParagraph"/>
              <w:numPr>
                <w:ilvl w:val="0"/>
                <w:numId w:val="2"/>
              </w:numPr>
              <w:spacing w:after="60" w:before="0"/>
            </w:pPr>
            <w:r>
              <w:rPr>
                <w:rFonts w:ascii="Arial" w:cs="Arial" w:eastAsia="Arial" w:hAnsi="Arial"/>
                <w:b w:val="false"/>
                <w:bCs w:val="false"/>
                <w:color w:val="222222"/>
                <w:sz w:val="18"/>
                <w:szCs w:val="18"/>
              </w:rPr>
              <w:t xml:space="preserve">Flutter mobile app</w:t>
            </w:r>
          </w:p>
          <w:p>
            <w:pPr>
              <w:pStyle w:val="ListParagraph"/>
              <w:numPr>
                <w:ilvl w:val="0"/>
                <w:numId w:val="2"/>
              </w:numPr>
              <w:spacing w:after="60" w:before="0"/>
            </w:pPr>
            <w:r>
              <w:rPr>
                <w:rFonts w:ascii="Arial" w:cs="Arial" w:eastAsia="Arial" w:hAnsi="Arial"/>
                <w:b w:val="false"/>
                <w:bCs w:val="false"/>
                <w:color w:val="222222"/>
                <w:sz w:val="18"/>
                <w:szCs w:val="18"/>
              </w:rPr>
              <w:t xml:space="preserve">Firebase Firestore</w:t>
            </w:r>
          </w:p>
          <w:p>
            <w:pPr>
              <w:pStyle w:val="ListParagraph"/>
              <w:numPr>
                <w:ilvl w:val="0"/>
                <w:numId w:val="2"/>
              </w:numPr>
              <w:spacing w:after="60" w:before="0"/>
            </w:pPr>
            <w:r>
              <w:rPr>
                <w:rFonts w:ascii="Arial" w:cs="Arial" w:eastAsia="Arial" w:hAnsi="Arial"/>
                <w:b w:val="false"/>
                <w:bCs w:val="false"/>
                <w:color w:val="222222"/>
                <w:sz w:val="18"/>
                <w:szCs w:val="18"/>
              </w:rPr>
              <w:t xml:space="preserve">Gemini API credits</w:t>
            </w:r>
          </w:p>
        </w:tc>
        <w:tc>
          <w:tcPr>
            <w:tcW w:type="dxa" w:w="1949"/>
            <w:tcBorders>
              <w:top w:val="single" w:color="1B3A5C" w:sz="1"/>
              <w:left w:val="single" w:color="1B3A5C" w:sz="1"/>
              <w:bottom w:val="single" w:color="1B3A5C" w:sz="1"/>
              <w:right w:val="single" w:color="1B3A5C" w:sz="1"/>
            </w:tcBorders>
            <w:shd w:fill="E8F0F7"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Tech IP</w:t>
            </w:r>
          </w:p>
          <w:p>
            <w:pPr>
              <w:pStyle w:val="ListParagraph"/>
              <w:numPr>
                <w:ilvl w:val="0"/>
                <w:numId w:val="2"/>
              </w:numPr>
              <w:spacing w:after="60" w:before="0"/>
            </w:pPr>
            <w:r>
              <w:rPr>
                <w:rFonts w:ascii="Arial" w:cs="Arial" w:eastAsia="Arial" w:hAnsi="Arial"/>
                <w:b w:val="false"/>
                <w:bCs w:val="false"/>
                <w:color w:val="222222"/>
                <w:sz w:val="18"/>
                <w:szCs w:val="18"/>
              </w:rPr>
              <w:t xml:space="preserve">Darija cultural tone layer</w:t>
            </w:r>
          </w:p>
          <w:p>
            <w:pPr>
              <w:pStyle w:val="ListParagraph"/>
              <w:numPr>
                <w:ilvl w:val="0"/>
                <w:numId w:val="2"/>
              </w:numPr>
              <w:spacing w:after="60" w:before="0"/>
            </w:pPr>
            <w:r>
              <w:rPr>
                <w:rFonts w:ascii="Arial" w:cs="Arial" w:eastAsia="Arial" w:hAnsi="Arial"/>
                <w:b w:val="false"/>
                <w:bCs w:val="false"/>
                <w:color w:val="222222"/>
                <w:sz w:val="18"/>
                <w:szCs w:val="18"/>
              </w:rPr>
              <w:t xml:space="preserve">PII de-identification middleware</w:t>
            </w:r>
          </w:p>
          <w:p>
            <w:pPr>
              <w:pStyle w:val="ListParagraph"/>
              <w:numPr>
                <w:ilvl w:val="0"/>
                <w:numId w:val="2"/>
              </w:numPr>
              <w:spacing w:after="60" w:before="0"/>
            </w:pPr>
            <w:r>
              <w:rPr>
                <w:rFonts w:ascii="Arial" w:cs="Arial" w:eastAsia="Arial" w:hAnsi="Arial"/>
                <w:b w:val="false"/>
                <w:bCs w:val="false"/>
                <w:color w:val="222222"/>
                <w:sz w:val="18"/>
                <w:szCs w:val="18"/>
              </w:rPr>
              <w:t xml:space="preserve">Symptom-to-feature mapper</w:t>
            </w:r>
          </w:p>
          <w:p>
            <w:pPr>
              <w:pStyle w:val="ListParagraph"/>
              <w:numPr>
                <w:ilvl w:val="0"/>
                <w:numId w:val="2"/>
              </w:numPr>
              <w:spacing w:after="60" w:before="0"/>
            </w:pPr>
            <w:r>
              <w:rPr>
                <w:rFonts w:ascii="Arial" w:cs="Arial" w:eastAsia="Arial" w:hAnsi="Arial"/>
                <w:b w:val="false"/>
                <w:bCs w:val="false"/>
                <w:color w:val="222222"/>
                <w:sz w:val="18"/>
                <w:szCs w:val="18"/>
              </w:rPr>
              <w:t xml:space="preserve">Clinical PDF generator</w:t>
            </w:r>
          </w:p>
          <w:p>
            <w:pPr>
              <w:pStyle w:val="ListParagraph"/>
              <w:numPr>
                <w:ilvl w:val="0"/>
                <w:numId w:val="2"/>
              </w:numPr>
              <w:spacing w:after="60" w:before="0"/>
            </w:pPr>
            <w:r>
              <w:rPr>
                <w:rFonts w:ascii="Arial" w:cs="Arial" w:eastAsia="Arial" w:hAnsi="Arial"/>
                <w:b w:val="false"/>
                <w:bCs w:val="false"/>
                <w:color w:val="222222"/>
                <w:sz w:val="18"/>
                <w:szCs w:val="18"/>
              </w:rPr>
              <w:t xml:space="preserve">Z-score drift detector</w:t>
            </w:r>
          </w:p>
        </w:tc>
        <w:tc>
          <w:tcPr>
            <w:tcW w:type="dxa" w:w="1949"/>
            <w:tcBorders>
              <w:top w:val="single" w:color="1B3A5C" w:sz="1"/>
              <w:left w:val="single" w:color="1B3A5C" w:sz="1"/>
              <w:bottom w:val="single" w:color="1B3A5C" w:sz="1"/>
              <w:right w:val="single" w:color="1B3A5C" w:sz="1"/>
            </w:tcBorders>
            <w:shd w:fill="E8F0F7"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Channels</w:t>
            </w:r>
          </w:p>
          <w:p>
            <w:pPr>
              <w:pStyle w:val="ListParagraph"/>
              <w:numPr>
                <w:ilvl w:val="0"/>
                <w:numId w:val="2"/>
              </w:numPr>
              <w:spacing w:after="60" w:before="0"/>
            </w:pPr>
            <w:r>
              <w:rPr>
                <w:rFonts w:ascii="Arial" w:cs="Arial" w:eastAsia="Arial" w:hAnsi="Arial"/>
                <w:b w:val="false"/>
                <w:bCs w:val="false"/>
                <w:color w:val="222222"/>
                <w:sz w:val="18"/>
                <w:szCs w:val="18"/>
              </w:rPr>
              <w:t xml:space="preserve">Flutter mobile app (iOS + Android)</w:t>
            </w:r>
          </w:p>
          <w:p>
            <w:pPr>
              <w:pStyle w:val="ListParagraph"/>
              <w:numPr>
                <w:ilvl w:val="0"/>
                <w:numId w:val="2"/>
              </w:numPr>
              <w:spacing w:after="60" w:before="0"/>
            </w:pPr>
            <w:r>
              <w:rPr>
                <w:rFonts w:ascii="Arial" w:cs="Arial" w:eastAsia="Arial" w:hAnsi="Arial"/>
                <w:b w:val="false"/>
                <w:bCs w:val="false"/>
                <w:color w:val="222222"/>
                <w:sz w:val="18"/>
                <w:szCs w:val="18"/>
              </w:rPr>
              <w:t xml:space="preserve">Family web dashboard</w:t>
            </w:r>
          </w:p>
          <w:p>
            <w:pPr>
              <w:pStyle w:val="ListParagraph"/>
              <w:numPr>
                <w:ilvl w:val="0"/>
                <w:numId w:val="2"/>
              </w:numPr>
              <w:spacing w:after="60" w:before="0"/>
            </w:pPr>
            <w:r>
              <w:rPr>
                <w:rFonts w:ascii="Arial" w:cs="Arial" w:eastAsia="Arial" w:hAnsi="Arial"/>
                <w:b w:val="false"/>
                <w:bCs w:val="false"/>
                <w:color w:val="222222"/>
                <w:sz w:val="18"/>
                <w:szCs w:val="18"/>
              </w:rPr>
              <w:t xml:space="preserve">FCM push notifications</w:t>
            </w:r>
          </w:p>
          <w:p>
            <w:pPr>
              <w:pStyle w:val="ListParagraph"/>
              <w:numPr>
                <w:ilvl w:val="0"/>
                <w:numId w:val="2"/>
              </w:numPr>
              <w:spacing w:after="60" w:before="0"/>
            </w:pPr>
            <w:r>
              <w:rPr>
                <w:rFonts w:ascii="Arial" w:cs="Arial" w:eastAsia="Arial" w:hAnsi="Arial"/>
                <w:b w:val="false"/>
                <w:bCs w:val="false"/>
                <w:color w:val="222222"/>
                <w:sz w:val="18"/>
                <w:szCs w:val="18"/>
              </w:rPr>
              <w:t xml:space="preserve">WhatsApp / SMS alerts</w:t>
            </w:r>
          </w:p>
          <w:p>
            <w:pPr>
              <w:pStyle w:val="ListParagraph"/>
              <w:numPr>
                <w:ilvl w:val="0"/>
                <w:numId w:val="2"/>
              </w:numPr>
              <w:spacing w:after="60" w:before="0"/>
            </w:pPr>
            <w:r>
              <w:rPr>
                <w:rFonts w:ascii="Arial" w:cs="Arial" w:eastAsia="Arial" w:hAnsi="Arial"/>
                <w:b w:val="false"/>
                <w:bCs w:val="false"/>
                <w:color w:val="222222"/>
                <w:sz w:val="18"/>
                <w:szCs w:val="18"/>
              </w:rPr>
              <w:t xml:space="preserve">Doctor email summaries</w:t>
            </w:r>
          </w:p>
        </w:tc>
        <w:tc>
          <w:tcPr>
            <w:tcW w:type="dxa" w:w="3898"/>
            <w:tcBorders>
              <w:top w:val="single" w:color="1B3A5C" w:sz="1"/>
              <w:left w:val="single" w:color="1B3A5C" w:sz="1"/>
              <w:bottom w:val="single" w:color="1B3A5C" w:sz="1"/>
              <w:right w:val="single" w:color="1B3A5C" w:sz="1"/>
            </w:tcBorders>
            <w:shd w:fill="E8F0F7"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Go-to-Market</w:t>
            </w:r>
          </w:p>
          <w:p>
            <w:pPr>
              <w:pStyle w:val="ListParagraph"/>
              <w:numPr>
                <w:ilvl w:val="0"/>
                <w:numId w:val="2"/>
              </w:numPr>
              <w:spacing w:after="60" w:before="0"/>
            </w:pPr>
            <w:r>
              <w:rPr>
                <w:rFonts w:ascii="Arial" w:cs="Arial" w:eastAsia="Arial" w:hAnsi="Arial"/>
                <w:b w:val="false"/>
                <w:bCs w:val="false"/>
                <w:color w:val="222222"/>
                <w:sz w:val="18"/>
                <w:szCs w:val="18"/>
              </w:rPr>
              <w:t xml:space="preserve">Clinic partnerships (B2B entry)</w:t>
            </w:r>
          </w:p>
          <w:p>
            <w:pPr>
              <w:pStyle w:val="ListParagraph"/>
              <w:numPr>
                <w:ilvl w:val="0"/>
                <w:numId w:val="2"/>
              </w:numPr>
              <w:spacing w:after="60" w:before="0"/>
            </w:pPr>
            <w:r>
              <w:rPr>
                <w:rFonts w:ascii="Arial" w:cs="Arial" w:eastAsia="Arial" w:hAnsi="Arial"/>
                <w:b w:val="false"/>
                <w:bCs w:val="false"/>
                <w:color w:val="222222"/>
                <w:sz w:val="18"/>
                <w:szCs w:val="18"/>
              </w:rPr>
              <w:t xml:space="preserve">Pharmacy referral network</w:t>
            </w:r>
          </w:p>
          <w:p>
            <w:pPr>
              <w:pStyle w:val="ListParagraph"/>
              <w:numPr>
                <w:ilvl w:val="0"/>
                <w:numId w:val="2"/>
              </w:numPr>
              <w:spacing w:after="60" w:before="0"/>
            </w:pPr>
            <w:r>
              <w:rPr>
                <w:rFonts w:ascii="Arial" w:cs="Arial" w:eastAsia="Arial" w:hAnsi="Arial"/>
                <w:b w:val="false"/>
                <w:bCs w:val="false"/>
                <w:color w:val="222222"/>
                <w:sz w:val="18"/>
                <w:szCs w:val="18"/>
              </w:rPr>
              <w:t xml:space="preserve">Community health workers</w:t>
            </w:r>
          </w:p>
          <w:p>
            <w:pPr>
              <w:pStyle w:val="ListParagraph"/>
              <w:numPr>
                <w:ilvl w:val="0"/>
                <w:numId w:val="2"/>
              </w:numPr>
              <w:spacing w:after="60" w:before="0"/>
            </w:pPr>
            <w:r>
              <w:rPr>
                <w:rFonts w:ascii="Arial" w:cs="Arial" w:eastAsia="Arial" w:hAnsi="Arial"/>
                <w:b w:val="false"/>
                <w:bCs w:val="false"/>
                <w:color w:val="222222"/>
                <w:sz w:val="18"/>
                <w:szCs w:val="18"/>
              </w:rPr>
              <w:t xml:space="preserve">Social media (family caregivers)</w:t>
            </w:r>
          </w:p>
          <w:p>
            <w:pPr>
              <w:pStyle w:val="ListParagraph"/>
              <w:numPr>
                <w:ilvl w:val="0"/>
                <w:numId w:val="2"/>
              </w:numPr>
              <w:spacing w:after="60" w:before="0"/>
            </w:pPr>
            <w:r>
              <w:rPr>
                <w:rFonts w:ascii="Arial" w:cs="Arial" w:eastAsia="Arial" w:hAnsi="Arial"/>
                <w:b w:val="false"/>
                <w:bCs w:val="false"/>
                <w:color w:val="222222"/>
                <w:sz w:val="18"/>
                <w:szCs w:val="18"/>
              </w:rPr>
              <w:t xml:space="preserve">Word-of-mouth (streak gamification)</w:t>
            </w:r>
          </w:p>
          <w:p>
            <w:pPr>
              <w:pStyle w:val="ListParagraph"/>
              <w:numPr>
                <w:ilvl w:val="0"/>
                <w:numId w:val="2"/>
              </w:numPr>
              <w:spacing w:after="60" w:before="0"/>
            </w:pPr>
            <w:r>
              <w:rPr>
                <w:rFonts w:ascii="Arial" w:cs="Arial" w:eastAsia="Arial" w:hAnsi="Arial"/>
                <w:b w:val="false"/>
                <w:bCs w:val="false"/>
                <w:color w:val="222222"/>
                <w:sz w:val="18"/>
                <w:szCs w:val="18"/>
              </w:rPr>
              <w:t xml:space="preserve">Ministry of Health pilot program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Cost structure</w:t>
            </w:r>
          </w:p>
        </w:tc>
        <w:tc>
          <w:tcPr>
            <w:tcW w:type="dxa" w:w="4873"/>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Revenue streams</w:t>
            </w:r>
          </w:p>
        </w:tc>
      </w:tr>
      <w:tr>
        <w:tc>
          <w:tcPr>
            <w:tcW w:type="dxa" w:w="4873"/>
            <w:tcBorders>
              <w:top w:val="single" w:color="1B3A5C" w:sz="1"/>
              <w:left w:val="single" w:color="1B3A5C" w:sz="1"/>
              <w:bottom w:val="single" w:color="1B3A5C" w:sz="1"/>
              <w:right w:val="single" w:color="1B3A5C" w:sz="1"/>
            </w:tcBorders>
            <w:shd w:fill="FEF0EF"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Costs</w:t>
            </w:r>
          </w:p>
          <w:p>
            <w:pPr>
              <w:pStyle w:val="ListParagraph"/>
              <w:numPr>
                <w:ilvl w:val="0"/>
                <w:numId w:val="2"/>
              </w:numPr>
              <w:spacing w:after="60" w:before="0"/>
            </w:pPr>
            <w:r>
              <w:rPr>
                <w:rFonts w:ascii="Arial" w:cs="Arial" w:eastAsia="Arial" w:hAnsi="Arial"/>
                <w:b w:val="false"/>
                <w:bCs w:val="false"/>
                <w:color w:val="222222"/>
                <w:sz w:val="18"/>
                <w:szCs w:val="18"/>
              </w:rPr>
              <w:t xml:space="preserve">MVP: Near-zero (free tiers only)</w:t>
            </w:r>
          </w:p>
          <w:p>
            <w:pPr>
              <w:pStyle w:val="ListParagraph"/>
              <w:numPr>
                <w:ilvl w:val="0"/>
                <w:numId w:val="2"/>
              </w:numPr>
              <w:spacing w:after="60" w:before="0"/>
            </w:pPr>
            <w:r>
              <w:rPr>
                <w:rFonts w:ascii="Arial" w:cs="Arial" w:eastAsia="Arial" w:hAnsi="Arial"/>
                <w:b w:val="false"/>
                <w:bCs w:val="false"/>
                <w:color w:val="222222"/>
                <w:sz w:val="18"/>
                <w:szCs w:val="18"/>
              </w:rPr>
              <w:t xml:space="preserve">Gemini API: ~$0.002/conversation</w:t>
            </w:r>
          </w:p>
          <w:p>
            <w:pPr>
              <w:pStyle w:val="ListParagraph"/>
              <w:numPr>
                <w:ilvl w:val="0"/>
                <w:numId w:val="2"/>
              </w:numPr>
              <w:spacing w:after="60" w:before="0"/>
            </w:pPr>
            <w:r>
              <w:rPr>
                <w:rFonts w:ascii="Arial" w:cs="Arial" w:eastAsia="Arial" w:hAnsi="Arial"/>
                <w:b w:val="false"/>
                <w:bCs w:val="false"/>
                <w:color w:val="222222"/>
                <w:sz w:val="18"/>
                <w:szCs w:val="18"/>
              </w:rPr>
              <w:t xml:space="preserve">Firebase: Free tier (10K msg/day)</w:t>
            </w:r>
          </w:p>
          <w:p>
            <w:pPr>
              <w:pStyle w:val="ListParagraph"/>
              <w:numPr>
                <w:ilvl w:val="0"/>
                <w:numId w:val="2"/>
              </w:numPr>
              <w:spacing w:after="60" w:before="0"/>
            </w:pPr>
            <w:r>
              <w:rPr>
                <w:rFonts w:ascii="Arial" w:cs="Arial" w:eastAsia="Arial" w:hAnsi="Arial"/>
                <w:b w:val="false"/>
                <w:bCs w:val="false"/>
                <w:color w:val="222222"/>
                <w:sz w:val="18"/>
                <w:szCs w:val="18"/>
              </w:rPr>
              <w:t xml:space="preserve">SendGrid: Free 100 emails/day</w:t>
            </w:r>
          </w:p>
          <w:p>
            <w:pPr>
              <w:pStyle w:val="ListParagraph"/>
              <w:numPr>
                <w:ilvl w:val="0"/>
                <w:numId w:val="2"/>
              </w:numPr>
              <w:spacing w:after="60" w:before="0"/>
            </w:pPr>
            <w:r>
              <w:rPr>
                <w:rFonts w:ascii="Arial" w:cs="Arial" w:eastAsia="Arial" w:hAnsi="Arial"/>
                <w:b w:val="false"/>
                <w:bCs w:val="false"/>
                <w:color w:val="222222"/>
                <w:sz w:val="18"/>
                <w:szCs w:val="18"/>
              </w:rPr>
              <w:t xml:space="preserve">Railway deployment: Free hobby tier</w:t>
            </w:r>
          </w:p>
          <w:p>
            <w:pPr>
              <w:pStyle w:val="ListParagraph"/>
              <w:numPr>
                <w:ilvl w:val="0"/>
                <w:numId w:val="2"/>
              </w:numPr>
              <w:spacing w:after="60" w:before="0"/>
            </w:pPr>
            <w:r>
              <w:rPr>
                <w:rFonts w:ascii="Arial" w:cs="Arial" w:eastAsia="Arial" w:hAnsi="Arial"/>
                <w:b w:val="false"/>
                <w:bCs w:val="false"/>
                <w:color w:val="222222"/>
                <w:sz w:val="18"/>
                <w:szCs w:val="18"/>
              </w:rPr>
              <w:t xml:space="preserve">--- Startup scale ---</w:t>
            </w:r>
          </w:p>
          <w:p>
            <w:pPr>
              <w:pStyle w:val="ListParagraph"/>
              <w:numPr>
                <w:ilvl w:val="0"/>
                <w:numId w:val="2"/>
              </w:numPr>
              <w:spacing w:after="60" w:before="0"/>
            </w:pPr>
            <w:r>
              <w:rPr>
                <w:rFonts w:ascii="Arial" w:cs="Arial" w:eastAsia="Arial" w:hAnsi="Arial"/>
                <w:b w:val="false"/>
                <w:bCs w:val="false"/>
                <w:color w:val="222222"/>
                <w:sz w:val="18"/>
                <w:szCs w:val="18"/>
              </w:rPr>
              <w:t xml:space="preserve">Engineering team: 3 FTEs (~$150K/yr)</w:t>
            </w:r>
          </w:p>
          <w:p>
            <w:pPr>
              <w:pStyle w:val="ListParagraph"/>
              <w:numPr>
                <w:ilvl w:val="0"/>
                <w:numId w:val="2"/>
              </w:numPr>
              <w:spacing w:after="60" w:before="0"/>
            </w:pPr>
            <w:r>
              <w:rPr>
                <w:rFonts w:ascii="Arial" w:cs="Arial" w:eastAsia="Arial" w:hAnsi="Arial"/>
                <w:b w:val="false"/>
                <w:bCs w:val="false"/>
                <w:color w:val="222222"/>
                <w:sz w:val="18"/>
                <w:szCs w:val="18"/>
              </w:rPr>
              <w:t xml:space="preserve">Cloud infra: $2,000-8,000/month</w:t>
            </w:r>
          </w:p>
          <w:p>
            <w:pPr>
              <w:pStyle w:val="ListParagraph"/>
              <w:numPr>
                <w:ilvl w:val="0"/>
                <w:numId w:val="2"/>
              </w:numPr>
              <w:spacing w:after="60" w:before="0"/>
            </w:pPr>
            <w:r>
              <w:rPr>
                <w:rFonts w:ascii="Arial" w:cs="Arial" w:eastAsia="Arial" w:hAnsi="Arial"/>
                <w:b w:val="false"/>
                <w:bCs w:val="false"/>
                <w:color w:val="222222"/>
                <w:sz w:val="18"/>
                <w:szCs w:val="18"/>
              </w:rPr>
              <w:t xml:space="preserve">Gemini at 100K users: ~$8,000/month</w:t>
            </w:r>
          </w:p>
          <w:p>
            <w:pPr>
              <w:pStyle w:val="ListParagraph"/>
              <w:numPr>
                <w:ilvl w:val="0"/>
                <w:numId w:val="2"/>
              </w:numPr>
              <w:spacing w:after="60" w:before="0"/>
            </w:pPr>
            <w:r>
              <w:rPr>
                <w:rFonts w:ascii="Arial" w:cs="Arial" w:eastAsia="Arial" w:hAnsi="Arial"/>
                <w:b w:val="false"/>
                <w:bCs w:val="false"/>
                <w:color w:val="222222"/>
                <w:sz w:val="18"/>
                <w:szCs w:val="18"/>
              </w:rPr>
              <w:t xml:space="preserve">Compliance &amp; legal: $20,000/yr</w:t>
            </w:r>
          </w:p>
          <w:p>
            <w:pPr>
              <w:pStyle w:val="ListParagraph"/>
              <w:numPr>
                <w:ilvl w:val="0"/>
                <w:numId w:val="2"/>
              </w:numPr>
              <w:spacing w:after="60" w:before="0"/>
            </w:pPr>
            <w:r>
              <w:rPr>
                <w:rFonts w:ascii="Arial" w:cs="Arial" w:eastAsia="Arial" w:hAnsi="Arial"/>
                <w:b w:val="false"/>
                <w:bCs w:val="false"/>
                <w:color w:val="222222"/>
                <w:sz w:val="18"/>
                <w:szCs w:val="18"/>
              </w:rPr>
              <w:t xml:space="preserve">Clinical validation: $30,000 pilot</w:t>
            </w:r>
          </w:p>
        </w:tc>
        <w:tc>
          <w:tcPr>
            <w:tcW w:type="dxa" w:w="4873"/>
            <w:tcBorders>
              <w:top w:val="single" w:color="1B3A5C" w:sz="1"/>
              <w:left w:val="single" w:color="1B3A5C" w:sz="1"/>
              <w:bottom w:val="single" w:color="1B3A5C" w:sz="1"/>
              <w:right w:val="single" w:color="1B3A5C" w:sz="1"/>
            </w:tcBorders>
            <w:shd w:fill="EAF7EF" w:val="clear"/>
            <w:tcMar>
              <w:top w:type="dxa" w:w="120"/>
              <w:left w:type="dxa" w:w="160"/>
              <w:bottom w:type="dxa" w:w="120"/>
              <w:right w:type="dxa" w:w="160"/>
            </w:tcMar>
            <w:vAlign w:val="top"/>
          </w:tcPr>
          <w:p>
            <w:pPr>
              <w:spacing w:after="80" w:before="60"/>
              <w:jc w:val="left"/>
            </w:pPr>
            <w:r>
              <w:rPr>
                <w:rFonts w:ascii="Arial" w:cs="Arial" w:eastAsia="Arial" w:hAnsi="Arial"/>
                <w:b/>
                <w:bCs/>
                <w:color w:val="222222"/>
                <w:sz w:val="20"/>
                <w:szCs w:val="20"/>
              </w:rPr>
              <w:t xml:space="preserve">Revenue</w:t>
            </w:r>
          </w:p>
          <w:p>
            <w:pPr>
              <w:pStyle w:val="ListParagraph"/>
              <w:numPr>
                <w:ilvl w:val="0"/>
                <w:numId w:val="2"/>
              </w:numPr>
              <w:spacing w:after="60" w:before="0"/>
            </w:pPr>
            <w:r>
              <w:rPr>
                <w:rFonts w:ascii="Arial" w:cs="Arial" w:eastAsia="Arial" w:hAnsi="Arial"/>
                <w:b w:val="false"/>
                <w:bCs w:val="false"/>
                <w:color w:val="222222"/>
                <w:sz w:val="18"/>
                <w:szCs w:val="18"/>
              </w:rPr>
              <w:t xml:space="preserve">B2C subscription: 500 DZD/month/patient</w:t>
            </w:r>
          </w:p>
          <w:p>
            <w:pPr>
              <w:pStyle w:val="ListParagraph"/>
              <w:numPr>
                <w:ilvl w:val="0"/>
                <w:numId w:val="2"/>
              </w:numPr>
              <w:spacing w:after="60" w:before="0"/>
            </w:pPr>
            <w:r>
              <w:rPr>
                <w:rFonts w:ascii="Arial" w:cs="Arial" w:eastAsia="Arial" w:hAnsi="Arial"/>
                <w:b w:val="false"/>
                <w:bCs w:val="false"/>
                <w:color w:val="222222"/>
                <w:sz w:val="18"/>
                <w:szCs w:val="18"/>
              </w:rPr>
              <w:t xml:space="preserve">B2B clinic SaaS: 5,000-20,000 DZD/clinic/month</w:t>
            </w:r>
          </w:p>
          <w:p>
            <w:pPr>
              <w:pStyle w:val="ListParagraph"/>
              <w:numPr>
                <w:ilvl w:val="0"/>
                <w:numId w:val="2"/>
              </w:numPr>
              <w:spacing w:after="60" w:before="0"/>
            </w:pPr>
            <w:r>
              <w:rPr>
                <w:rFonts w:ascii="Arial" w:cs="Arial" w:eastAsia="Arial" w:hAnsi="Arial"/>
                <w:b w:val="false"/>
                <w:bCs w:val="false"/>
                <w:color w:val="222222"/>
                <w:sz w:val="18"/>
                <w:szCs w:val="18"/>
              </w:rPr>
              <w:t xml:space="preserve">Insurer risk data: annual licensing fee</w:t>
            </w:r>
          </w:p>
          <w:p>
            <w:pPr>
              <w:pStyle w:val="ListParagraph"/>
              <w:numPr>
                <w:ilvl w:val="0"/>
                <w:numId w:val="2"/>
              </w:numPr>
              <w:spacing w:after="60" w:before="0"/>
            </w:pPr>
            <w:r>
              <w:rPr>
                <w:rFonts w:ascii="Arial" w:cs="Arial" w:eastAsia="Arial" w:hAnsi="Arial"/>
                <w:b w:val="false"/>
                <w:bCs w:val="false"/>
                <w:color w:val="222222"/>
                <w:sz w:val="18"/>
                <w:szCs w:val="18"/>
              </w:rPr>
              <w:t xml:space="preserve">Pharma adherence analytics: outcome study fees</w:t>
            </w:r>
          </w:p>
          <w:p>
            <w:pPr>
              <w:pStyle w:val="ListParagraph"/>
              <w:numPr>
                <w:ilvl w:val="0"/>
                <w:numId w:val="2"/>
              </w:numPr>
              <w:spacing w:after="60" w:before="0"/>
            </w:pPr>
            <w:r>
              <w:rPr>
                <w:rFonts w:ascii="Arial" w:cs="Arial" w:eastAsia="Arial" w:hAnsi="Arial"/>
                <w:b w:val="false"/>
                <w:bCs w:val="false"/>
                <w:color w:val="222222"/>
                <w:sz w:val="18"/>
                <w:szCs w:val="18"/>
              </w:rPr>
              <w:t xml:space="preserve">Consultation PDF (premium feature)</w:t>
            </w:r>
          </w:p>
          <w:p>
            <w:pPr>
              <w:pStyle w:val="ListParagraph"/>
              <w:numPr>
                <w:ilvl w:val="0"/>
                <w:numId w:val="2"/>
              </w:numPr>
              <w:spacing w:after="60" w:before="0"/>
            </w:pPr>
            <w:r>
              <w:rPr>
                <w:rFonts w:ascii="Arial" w:cs="Arial" w:eastAsia="Arial" w:hAnsi="Arial"/>
                <w:b w:val="false"/>
                <w:bCs w:val="false"/>
                <w:color w:val="222222"/>
                <w:sz w:val="18"/>
                <w:szCs w:val="18"/>
              </w:rPr>
              <w:t xml:space="preserve">--- Financial projections ---</w:t>
            </w:r>
          </w:p>
          <w:p>
            <w:pPr>
              <w:pStyle w:val="ListParagraph"/>
              <w:numPr>
                <w:ilvl w:val="0"/>
                <w:numId w:val="2"/>
              </w:numPr>
              <w:spacing w:after="60" w:before="0"/>
            </w:pPr>
            <w:r>
              <w:rPr>
                <w:rFonts w:ascii="Arial" w:cs="Arial" w:eastAsia="Arial" w:hAnsi="Arial"/>
                <w:b w:val="false"/>
                <w:bCs w:val="false"/>
                <w:color w:val="222222"/>
                <w:sz w:val="18"/>
                <w:szCs w:val="18"/>
              </w:rPr>
              <w:t xml:space="preserve">Year 1: 5,000 users = 2.5M DZD MRR</w:t>
            </w:r>
          </w:p>
          <w:p>
            <w:pPr>
              <w:pStyle w:val="ListParagraph"/>
              <w:numPr>
                <w:ilvl w:val="0"/>
                <w:numId w:val="2"/>
              </w:numPr>
              <w:spacing w:after="60" w:before="0"/>
            </w:pPr>
            <w:r>
              <w:rPr>
                <w:rFonts w:ascii="Arial" w:cs="Arial" w:eastAsia="Arial" w:hAnsi="Arial"/>
                <w:b w:val="false"/>
                <w:bCs w:val="false"/>
                <w:color w:val="222222"/>
                <w:sz w:val="18"/>
                <w:szCs w:val="18"/>
              </w:rPr>
              <w:t xml:space="preserve">Year 2: 50K users + 20 clinics = 35M DZD MRR</w:t>
            </w:r>
          </w:p>
          <w:p>
            <w:pPr>
              <w:pStyle w:val="ListParagraph"/>
              <w:numPr>
                <w:ilvl w:val="0"/>
                <w:numId w:val="2"/>
              </w:numPr>
              <w:spacing w:after="60" w:before="0"/>
            </w:pPr>
            <w:r>
              <w:rPr>
                <w:rFonts w:ascii="Arial" w:cs="Arial" w:eastAsia="Arial" w:hAnsi="Arial"/>
                <w:b w:val="false"/>
                <w:bCs w:val="false"/>
                <w:color w:val="222222"/>
                <w:sz w:val="18"/>
                <w:szCs w:val="18"/>
              </w:rPr>
              <w:t xml:space="preserve">Year 3: 200K users + B2B = 150M DZD MRR</w:t>
            </w:r>
          </w:p>
          <w:p>
            <w:pPr>
              <w:pStyle w:val="ListParagraph"/>
              <w:numPr>
                <w:ilvl w:val="0"/>
                <w:numId w:val="2"/>
              </w:numPr>
              <w:spacing w:after="60" w:before="0"/>
            </w:pPr>
            <w:r>
              <w:rPr>
                <w:rFonts w:ascii="Arial" w:cs="Arial" w:eastAsia="Arial" w:hAnsi="Arial"/>
                <w:b w:val="false"/>
                <w:bCs w:val="false"/>
                <w:color w:val="222222"/>
                <w:sz w:val="18"/>
                <w:szCs w:val="18"/>
              </w:rPr>
              <w:t xml:space="preserve">Break-even: ~18,000 paying users</w:t>
            </w:r>
          </w:p>
        </w:tc>
      </w:tr>
    </w:tbl>
    <w:p>
      <w:pPr>
        <w:spacing w:after="160" w:before="0"/>
      </w:pPr>
      <w:r>
        <w:rPr>
          <w:rFonts w:ascii="Arial" w:cs="Arial" w:eastAsia="Arial" w:hAnsi="Arial"/>
          <w:b w:val="false"/>
          <w:bCs w:val="false"/>
          <w:color w:val="000000"/>
          <w:sz w:val="22"/>
          <w:szCs w:val="22"/>
        </w:rPr>
        <w:t xml:space="preserve"/>
      </w:r>
    </w:p>
    <w:p>
      <w:r>
        <w:br w:type="page"/>
      </w:r>
    </w:p>
    <w:p>
      <w:pPr>
        <w:pStyle w:val="Heading1"/>
        <w:pBdr>
          <w:bottom w:val="single" w:color="0F7173" w:sz="8" w:space="4"/>
        </w:pBdr>
        <w:spacing w:after="200" w:before="400"/>
      </w:pPr>
      <w:r>
        <w:rPr>
          <w:rFonts w:ascii="Arial" w:cs="Arial" w:eastAsia="Arial" w:hAnsi="Arial"/>
          <w:b/>
          <w:bCs/>
          <w:color w:val="1B3A5C"/>
          <w:sz w:val="34"/>
          <w:szCs w:val="34"/>
        </w:rPr>
        <w:t xml:space="preserve">2. The Value Proposition — Strong &amp; Memorable</w:t>
      </w:r>
    </w:p>
    <w:p>
      <w:pPr>
        <w:spacing w:after="6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Nour is not an app. Nour is the family member who never sleeps, never panics, and speaks your grandmother's language.</w:t>
      </w:r>
    </w:p>
    <w:p>
      <w:pPr>
        <w:spacing w:after="80" w:before="0"/>
      </w:pPr>
      <w:r>
        <w:rPr>
          <w:rFonts w:ascii="Arial" w:cs="Arial" w:eastAsia="Arial" w:hAnsi="Arial"/>
          <w:b w:val="false"/>
          <w:bCs w:val="false"/>
          <w:color w:val="000000"/>
          <w:sz w:val="22"/>
          <w:szCs w:val="22"/>
        </w:rPr>
        <w:t xml:space="preserve"/>
      </w:r>
    </w:p>
    <w:p>
      <w:pPr>
        <w:spacing w:after="100" w:before="0"/>
        <w:jc w:val="both"/>
      </w:pPr>
      <w:r>
        <w:rPr>
          <w:rFonts w:ascii="Arial" w:cs="Arial" w:eastAsia="Arial" w:hAnsi="Arial"/>
          <w:b w:val="false"/>
          <w:bCs w:val="false"/>
          <w:color w:val="555555"/>
          <w:sz w:val="22"/>
          <w:szCs w:val="22"/>
        </w:rPr>
        <w:t xml:space="preserve">Every chronic disease app built for North Africa has failed at the same step: the moment it opens its mouth. It speaks French. Or clinical fus-ha. Or English. The patient closes it and never opens it again.</w:t>
      </w:r>
    </w:p>
    <w:p>
      <w:pPr>
        <w:spacing w:after="60" w:before="0"/>
      </w:pPr>
      <w:r>
        <w:rPr>
          <w:rFonts w:ascii="Arial" w:cs="Arial" w:eastAsia="Arial" w:hAnsi="Arial"/>
          <w:b w:val="false"/>
          <w:bCs w:val="false"/>
          <w:color w:val="000000"/>
          <w:sz w:val="22"/>
          <w:szCs w:val="22"/>
        </w:rPr>
        <w:t xml:space="preserve"/>
      </w:r>
    </w:p>
    <w:p>
      <w:pPr>
        <w:spacing w:after="100" w:before="0"/>
        <w:jc w:val="both"/>
      </w:pPr>
      <w:r>
        <w:rPr>
          <w:rFonts w:ascii="Arial" w:cs="Arial" w:eastAsia="Arial" w:hAnsi="Arial"/>
          <w:b w:val="false"/>
          <w:bCs w:val="false"/>
          <w:color w:val="000000"/>
          <w:sz w:val="22"/>
          <w:szCs w:val="22"/>
        </w:rPr>
        <w:t xml:space="preserve">ChronicCare speaks Darija — the language of the kitchen, of the family phone call at 10pm, of the doctor visit where everything real actually gets said. The AI persona Nour is calibrated to sound like a knowledgeable relative, not a hospital discharge summary.</w:t>
      </w:r>
    </w:p>
    <w:p>
      <w:pPr>
        <w:spacing w:after="8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50"/>
        <w:gridCol w:w="3248"/>
      </w:tblGrid>
      <w:tr>
        <w:tc>
          <w:tcPr>
            <w:tcW w:type="dxa" w:w="3248"/>
            <w:tcBorders>
              <w:top w:val="single" w:color="0F7173" w:sz="1"/>
              <w:left w:val="single" w:color="0F7173" w:sz="1"/>
              <w:bottom w:val="single" w:color="0F7173" w:sz="1"/>
              <w:right w:val="single" w:color="0F7173" w:sz="1"/>
            </w:tcBorders>
            <w:shd w:fill="0F7173"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For the patient</w:t>
            </w:r>
          </w:p>
        </w:tc>
        <w:tc>
          <w:tcPr>
            <w:tcW w:type="dxa" w:w="325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For the family</w:t>
            </w:r>
          </w:p>
        </w:tc>
        <w:tc>
          <w:tcPr>
            <w:tcW w:type="dxa" w:w="3248"/>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For the doctor</w:t>
            </w:r>
          </w:p>
        </w:tc>
      </w:tr>
      <w:tr>
        <w:tc>
          <w:tcPr>
            <w:tcW w:type="dxa" w:w="3248"/>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 24/7 nurse who speaks Darija, monitors your condition, reminds you to take your medication, and never judges you for missing a dose.</w:t>
            </w:r>
          </w:p>
        </w:tc>
        <w:tc>
          <w:tcPr>
            <w:tcW w:type="dxa" w:w="325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 dashboard that shows you exactly how your parent is doing — from anywhere in the country — and calls you immediately when something is wrong.</w:t>
            </w:r>
          </w:p>
        </w:tc>
        <w:tc>
          <w:tcPr>
            <w:tcW w:type="dxa" w:w="3248"/>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 structured clinical summary of the last 30 days — symptoms, trends, alerts — delivered automatically before the appointment even starts.</w:t>
            </w:r>
          </w:p>
        </w:tc>
      </w:tr>
    </w:tbl>
    <w:p>
      <w:pPr>
        <w:spacing w:after="160" w:before="0"/>
      </w:pPr>
      <w:r>
        <w:rPr>
          <w:rFonts w:ascii="Arial" w:cs="Arial" w:eastAsia="Arial" w:hAnsi="Arial"/>
          <w:b w:val="false"/>
          <w:bCs w:val="false"/>
          <w:color w:val="000000"/>
          <w:sz w:val="22"/>
          <w:szCs w:val="22"/>
        </w:rPr>
        <w:t xml:space="preserve"/>
      </w:r>
    </w:p>
    <w:p>
      <w:pPr>
        <w:pStyle w:val="Heading1"/>
        <w:pBdr>
          <w:bottom w:val="single" w:color="0F7173" w:sz="8" w:space="4"/>
        </w:pBdr>
        <w:spacing w:after="200" w:before="400"/>
      </w:pPr>
      <w:r>
        <w:rPr>
          <w:rFonts w:ascii="Arial" w:cs="Arial" w:eastAsia="Arial" w:hAnsi="Arial"/>
          <w:b/>
          <w:bCs/>
          <w:color w:val="1B3A5C"/>
          <w:sz w:val="34"/>
          <w:szCs w:val="34"/>
        </w:rPr>
        <w:t xml:space="preserve">3. Innovation Positioning — What Makes Nour Globally Unique</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3.1 The Darija Moat</w:t>
      </w:r>
    </w:p>
    <w:p>
      <w:pPr>
        <w:spacing w:after="100" w:before="0"/>
        <w:jc w:val="both"/>
      </w:pPr>
      <w:r>
        <w:rPr>
          <w:rFonts w:ascii="Arial" w:cs="Arial" w:eastAsia="Arial" w:hAnsi="Arial"/>
          <w:b w:val="false"/>
          <w:bCs w:val="false"/>
          <w:color w:val="000000"/>
          <w:sz w:val="22"/>
          <w:szCs w:val="22"/>
        </w:rPr>
        <w:t xml:space="preserve">There are approximately 40 million Darija speakers across Algeria, Morocco, and Tunisia. There is currently no medically-validated NLP system for Algerian Darija. No published clinical NER model. No semantic mapping from colloquial Darija to ICD-coded symptoms. ChronicCare builds this from scratch — and that work becomes proprietary IP that no external actor can replicate without living it.</w:t>
      </w:r>
    </w:p>
    <w:p>
      <w:pPr>
        <w:spacing w:after="6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A Silicon Valley company cannot build ChronicCare. A Paris fintech cannot build ChronicCare. Only a team that grew up saying 'rasi yederni' and knows it means a headache that needs watching — can build ChronicCare.</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3.2 The Three Differentiators</w:t>
      </w:r>
    </w:p>
    <w:p>
      <w:pPr>
        <w:spacing w:after="4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746"/>
        <w:gridCol w:w="300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Differentiator</w:t>
            </w:r>
          </w:p>
        </w:tc>
        <w:tc>
          <w:tcPr>
            <w:tcW w:type="dxa" w:w="4746"/>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What Nour does</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Why competitors cannot copy it</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Cultural NLP layer</w:t>
            </w:r>
          </w:p>
        </w:tc>
        <w:tc>
          <w:tcPr>
            <w:tcW w:type="dxa" w:w="4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150+ Darija medical expressions mapped to clinical concepts, injected into Gemini prompt. Outputs are calibrated for the warm, indirect Algerian communication style.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Requires months of ethnographic NLP work + native speakers with clinical literacy. Not reproducible from external datasets.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Transparent ML</w:t>
            </w:r>
          </w:p>
        </w:tc>
        <w:tc>
          <w:tcPr>
            <w:tcW w:type="dxa" w:w="4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Decision Tree with explainable features shown to users and doctors. No black-box deep learning. Builds trust with conservative medical audience.</w:t>
            </w:r>
          </w:p>
        </w:tc>
        <w:tc>
          <w:tcPr>
            <w:tcW w:type="dxa" w:w="300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Most AI health startups use opaque neural networks. Explainability is a regulatory and trust advantage, not a technical compromise.</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Family-first design</w:t>
            </w:r>
          </w:p>
        </w:tc>
        <w:tc>
          <w:tcPr>
            <w:tcW w:type="dxa" w:w="4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The caregiver is a first-class user, not an afterthought. Family dashboard, proactive Darija alerts, medication adherence visibility. Designed for the Algerian multi-generational household.</w:t>
            </w:r>
          </w:p>
        </w:tc>
        <w:tc>
          <w:tcPr>
            <w:tcW w:type="dxa" w:w="300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Western health apps assume patients are autonomous individuals. Algerian healthcare is fundamentally family-mediated. This architecture reflects that reality.</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Privacy-first AI</w:t>
            </w:r>
          </w:p>
        </w:tc>
        <w:tc>
          <w:tcPr>
            <w:tcW w:type="dxa" w:w="4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PII tokenized before every LLM call. Patient name, phone, ID never reach Gemini. De-identification middleware logs every token mapping locally.</w:t>
            </w:r>
          </w:p>
        </w:tc>
        <w:tc>
          <w:tcPr>
            <w:tcW w:type="dxa" w:w="300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Most LLM-based health apps send raw patient data to cloud APIs. This is the compliant alternative — and a selling point with any future government partnership.</w:t>
            </w:r>
          </w:p>
        </w:tc>
      </w:tr>
    </w:tbl>
    <w:p>
      <w:pPr>
        <w:spacing w:after="160" w:before="0"/>
      </w:pPr>
      <w:r>
        <w:rPr>
          <w:rFonts w:ascii="Arial" w:cs="Arial" w:eastAsia="Arial" w:hAnsi="Arial"/>
          <w:b w:val="false"/>
          <w:bCs w:val="false"/>
          <w:color w:val="000000"/>
          <w:sz w:val="22"/>
          <w:szCs w:val="22"/>
        </w:rPr>
        <w:t xml:space="preserve"/>
      </w:r>
    </w:p>
    <w:p>
      <w:r>
        <w:br w:type="page"/>
      </w:r>
    </w:p>
    <w:p>
      <w:pPr>
        <w:pStyle w:val="Heading1"/>
        <w:pBdr>
          <w:bottom w:val="single" w:color="0F7173" w:sz="8" w:space="4"/>
        </w:pBdr>
        <w:spacing w:after="200" w:before="400"/>
      </w:pPr>
      <w:r>
        <w:rPr>
          <w:rFonts w:ascii="Arial" w:cs="Arial" w:eastAsia="Arial" w:hAnsi="Arial"/>
          <w:b/>
          <w:bCs/>
          <w:color w:val="1B3A5C"/>
          <w:sz w:val="34"/>
          <w:szCs w:val="34"/>
        </w:rPr>
        <w:t xml:space="preserve">4. Market Opportunity — North Africa &amp; MENA</w:t>
      </w:r>
    </w:p>
    <w:p>
      <w:pPr>
        <w:spacing w:after="6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W w:type="dxa" w:w="3009"/>
            <w:tcBorders>
              <w:top w:val="single" w:color="0F7173" w:sz="1"/>
              <w:left w:val="single" w:color="0F7173" w:sz="1"/>
              <w:bottom w:val="single" w:color="0F7173" w:sz="1"/>
              <w:right w:val="single" w:color="0F7173" w:sz="1"/>
            </w:tcBorders>
            <w:shd w:fill="EAF4FB"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4.2M</w:t>
            </w:r>
          </w:p>
          <w:p>
            <w:pPr>
              <w:spacing w:after="40" w:before="0"/>
              <w:jc w:val="center"/>
            </w:pPr>
            <w:r>
              <w:rPr>
                <w:rFonts w:ascii="Arial" w:cs="Arial" w:eastAsia="Arial" w:hAnsi="Arial"/>
                <w:b/>
                <w:bCs/>
                <w:color w:val="1B3A5C"/>
                <w:sz w:val="20"/>
                <w:szCs w:val="20"/>
              </w:rPr>
              <w:t xml:space="preserve">Algeria TAM</w:t>
            </w:r>
          </w:p>
          <w:p>
            <w:pPr>
              <w:spacing w:after="0" w:before="0"/>
              <w:jc w:val="center"/>
            </w:pPr>
            <w:r>
              <w:rPr>
                <w:rFonts w:ascii="Arial" w:cs="Arial" w:eastAsia="Arial" w:hAnsi="Arial"/>
                <w:b w:val="false"/>
                <w:bCs w:val="false"/>
                <w:color w:val="555555"/>
                <w:sz w:val="18"/>
                <w:szCs w:val="18"/>
              </w:rPr>
              <w:t xml:space="preserve">Type 2 diabetics</w:t>
            </w:r>
          </w:p>
        </w:tc>
        <w:tc>
          <w:tcPr>
            <w:tcW w:type="dxa" w:w="3009"/>
            <w:tcBorders>
              <w:top w:val="single" w:color="0F7173" w:sz="1"/>
              <w:left w:val="single" w:color="0F7173" w:sz="1"/>
              <w:bottom w:val="single" w:color="0F7173" w:sz="1"/>
              <w:right w:val="single" w:color="0F7173" w:sz="1"/>
            </w:tcBorders>
            <w:shd w:fill="EAF7EF"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73M</w:t>
            </w:r>
          </w:p>
          <w:p>
            <w:pPr>
              <w:spacing w:after="40" w:before="0"/>
              <w:jc w:val="center"/>
            </w:pPr>
            <w:r>
              <w:rPr>
                <w:rFonts w:ascii="Arial" w:cs="Arial" w:eastAsia="Arial" w:hAnsi="Arial"/>
                <w:b/>
                <w:bCs/>
                <w:color w:val="1B3A5C"/>
                <w:sz w:val="20"/>
                <w:szCs w:val="20"/>
              </w:rPr>
              <w:t xml:space="preserve">MENA diabetes SAM</w:t>
            </w:r>
          </w:p>
          <w:p>
            <w:pPr>
              <w:spacing w:after="0" w:before="0"/>
              <w:jc w:val="center"/>
            </w:pPr>
            <w:r>
              <w:rPr>
                <w:rFonts w:ascii="Arial" w:cs="Arial" w:eastAsia="Arial" w:hAnsi="Arial"/>
                <w:b w:val="false"/>
                <w:bCs w:val="false"/>
                <w:color w:val="555555"/>
                <w:sz w:val="18"/>
                <w:szCs w:val="18"/>
              </w:rPr>
              <w:t xml:space="preserve">people with diabetes</w:t>
            </w:r>
          </w:p>
        </w:tc>
        <w:tc>
          <w:tcPr>
            <w:tcW w:type="dxa" w:w="3009"/>
            <w:tcBorders>
              <w:top w:val="single" w:color="0F7173" w:sz="1"/>
              <w:left w:val="single" w:color="0F7173" w:sz="1"/>
              <w:bottom w:val="single" w:color="0F7173" w:sz="1"/>
              <w:right w:val="single" w:color="0F7173" w:sz="1"/>
            </w:tcBorders>
            <w:shd w:fill="FFF3E0"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$1.2B</w:t>
            </w:r>
          </w:p>
          <w:p>
            <w:pPr>
              <w:spacing w:after="40" w:before="0"/>
              <w:jc w:val="center"/>
            </w:pPr>
            <w:r>
              <w:rPr>
                <w:rFonts w:ascii="Arial" w:cs="Arial" w:eastAsia="Arial" w:hAnsi="Arial"/>
                <w:b/>
                <w:bCs/>
                <w:color w:val="1B3A5C"/>
                <w:sz w:val="20"/>
                <w:szCs w:val="20"/>
              </w:rPr>
              <w:t xml:space="preserve">North Africa target</w:t>
            </w:r>
          </w:p>
          <w:p>
            <w:pPr>
              <w:spacing w:after="0" w:before="0"/>
              <w:jc w:val="center"/>
            </w:pPr>
            <w:r>
              <w:rPr>
                <w:rFonts w:ascii="Arial" w:cs="Arial" w:eastAsia="Arial" w:hAnsi="Arial"/>
                <w:b w:val="false"/>
                <w:bCs w:val="false"/>
                <w:color w:val="555555"/>
                <w:sz w:val="18"/>
                <w:szCs w:val="18"/>
              </w:rPr>
              <w:t xml:space="preserve">digital health market by 2028</w:t>
            </w:r>
          </w:p>
        </w:tc>
        <w:tc>
          <w:tcPr>
            <w:tcW w:type="dxa" w:w="3009"/>
            <w:tcBorders>
              <w:top w:val="single" w:color="0F7173" w:sz="1"/>
              <w:left w:val="single" w:color="0F7173" w:sz="1"/>
              <w:bottom w:val="single" w:color="0F7173" w:sz="1"/>
              <w:right w:val="single" w:color="0F7173" w:sz="1"/>
            </w:tcBorders>
            <w:shd w:fill="F3E5F5" w:val="clear"/>
            <w:tcMar>
              <w:top w:type="dxa" w:w="140"/>
              <w:left w:type="dxa" w:w="180"/>
              <w:bottom w:type="dxa" w:w="140"/>
              <w:right w:type="dxa" w:w="180"/>
            </w:tcMar>
            <w:vAlign w:val="center"/>
          </w:tcPr>
          <w:p>
            <w:pPr>
              <w:spacing w:after="40" w:before="0"/>
              <w:jc w:val="center"/>
            </w:pPr>
            <w:r>
              <w:rPr>
                <w:rFonts w:ascii="Arial" w:cs="Arial" w:eastAsia="Arial" w:hAnsi="Arial"/>
                <w:b/>
                <w:bCs/>
                <w:color w:val="0F7173"/>
                <w:sz w:val="42"/>
                <w:szCs w:val="42"/>
              </w:rPr>
              <w:t xml:space="preserve">&gt;50%</w:t>
            </w:r>
          </w:p>
          <w:p>
            <w:pPr>
              <w:spacing w:after="40" w:before="0"/>
              <w:jc w:val="center"/>
            </w:pPr>
            <w:r>
              <w:rPr>
                <w:rFonts w:ascii="Arial" w:cs="Arial" w:eastAsia="Arial" w:hAnsi="Arial"/>
                <w:b/>
                <w:bCs/>
                <w:color w:val="1B3A5C"/>
                <w:sz w:val="20"/>
                <w:szCs w:val="20"/>
              </w:rPr>
              <w:t xml:space="preserve">Med non-adherence</w:t>
            </w:r>
          </w:p>
          <w:p>
            <w:pPr>
              <w:spacing w:after="0" w:before="0"/>
              <w:jc w:val="center"/>
            </w:pPr>
            <w:r>
              <w:rPr>
                <w:rFonts w:ascii="Arial" w:cs="Arial" w:eastAsia="Arial" w:hAnsi="Arial"/>
                <w:b w:val="false"/>
                <w:bCs w:val="false"/>
                <w:color w:val="555555"/>
                <w:sz w:val="18"/>
                <w:szCs w:val="18"/>
              </w:rPr>
              <w:t xml:space="preserve">the problem we solve</w:t>
            </w:r>
          </w:p>
        </w:tc>
      </w:tr>
    </w:tbl>
    <w:p>
      <w:pPr>
        <w:spacing w:after="12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4.1 The Underserved Population</w:t>
      </w:r>
    </w:p>
    <w:p>
      <w:pPr>
        <w:spacing w:after="100" w:before="0"/>
        <w:jc w:val="both"/>
      </w:pPr>
      <w:r>
        <w:rPr>
          <w:rFonts w:ascii="Arial" w:cs="Arial" w:eastAsia="Arial" w:hAnsi="Arial"/>
          <w:b w:val="false"/>
          <w:bCs w:val="false"/>
          <w:color w:val="000000"/>
          <w:sz w:val="22"/>
          <w:szCs w:val="22"/>
        </w:rPr>
        <w:t xml:space="preserve">ChronicCare targets three chronically underserved groups — not as an ethical statement, but as a market reality. These are the people who have money to spend and zero adequate solutions:</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Rural and peri-urban diabetics who visit a doctor once every 3-6 months and have no monitoring between visits — not because they don't want to, but because tools don't speak their language.</w:t>
      </w:r>
    </w:p>
    <w:p>
      <w:pPr>
        <w:pStyle w:val="ListParagraph"/>
        <w:numPr>
          <w:ilvl w:val="0"/>
          <w:numId w:val="2"/>
        </w:numPr>
        <w:spacing w:after="80" w:before="0"/>
      </w:pPr>
      <w:r>
        <w:rPr>
          <w:rFonts w:ascii="Arial" w:cs="Arial" w:eastAsia="Arial" w:hAnsi="Arial"/>
          <w:b w:val="false"/>
          <w:bCs w:val="false"/>
          <w:color w:val="000000"/>
          <w:sz w:val="21"/>
          <w:szCs w:val="21"/>
        </w:rPr>
        <w:t xml:space="preserve">Adult children of elderly parents living in different wilayas — the son in Algiers worried about his father in Tebessa who has not taken his Metformin in three days.</w:t>
      </w:r>
    </w:p>
    <w:p>
      <w:pPr>
        <w:pStyle w:val="ListParagraph"/>
        <w:numPr>
          <w:ilvl w:val="0"/>
          <w:numId w:val="2"/>
        </w:numPr>
        <w:spacing w:after="80" w:before="0"/>
      </w:pPr>
      <w:r>
        <w:rPr>
          <w:rFonts w:ascii="Arial" w:cs="Arial" w:eastAsia="Arial" w:hAnsi="Arial"/>
          <w:b w:val="false"/>
          <w:bCs w:val="false"/>
          <w:color w:val="000000"/>
          <w:sz w:val="21"/>
          <w:szCs w:val="21"/>
        </w:rPr>
        <w:t xml:space="preserve">General practitioners in polyclinics who see 60+ patients per day and have no visibility into which patients are deteriorating between appointments.</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4.2 Market Sizing (Bottom-Up)</w:t>
      </w:r>
    </w:p>
    <w:p>
      <w:pPr>
        <w:spacing w:after="4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746"/>
        <w:gridCol w:w="2500"/>
        <w:gridCol w:w="250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Market tier</w:t>
            </w:r>
          </w:p>
        </w:tc>
        <w:tc>
          <w:tcPr>
            <w:tcW w:type="dxa" w:w="2746"/>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Population</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Price point (DZD/mo)</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Annual revenue potential</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Algeria B2C (2% penetration)</w:t>
            </w:r>
          </w:p>
        </w:tc>
        <w:tc>
          <w:tcPr>
            <w:tcW w:type="dxa" w:w="2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84,000 paying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500 DZD (~$3.50 USD)</w:t>
            </w:r>
          </w:p>
        </w:tc>
        <w:tc>
          <w:tcPr>
            <w:tcW w:type="dxa" w:w="25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504M DZD/year</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Algerian clinics B2B</w:t>
            </w:r>
          </w:p>
        </w:tc>
        <w:tc>
          <w:tcPr>
            <w:tcW w:type="dxa" w:w="2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200 subscribing clinics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15,000 DZD/month</w:t>
            </w:r>
          </w:p>
        </w:tc>
        <w:tc>
          <w:tcPr>
            <w:tcW w:type="dxa" w:w="25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36M DZD/year</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MENA expansion (Morocco, Tunisia)</w:t>
            </w:r>
          </w:p>
        </w:tc>
        <w:tc>
          <w:tcPr>
            <w:tcW w:type="dxa" w:w="27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3% of 73M diabetics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$4–6 USD/month</w:t>
            </w:r>
          </w:p>
        </w:tc>
        <w:tc>
          <w:tcPr>
            <w:tcW w:type="dxa" w:w="25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&gt;$50M USD ARR potential</w:t>
            </w:r>
          </w:p>
        </w:tc>
      </w:tr>
    </w:tbl>
    <w:p>
      <w:pPr>
        <w:spacing w:after="8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The total addressable market is not 4.2 million patients. It is 4.2 million patients times the family members who love them. That is the real unit of value.</w:t>
      </w:r>
    </w:p>
    <w:p>
      <w:pPr>
        <w:spacing w:after="120" w:before="0"/>
      </w:pPr>
      <w:r>
        <w:rPr>
          <w:rFonts w:ascii="Arial" w:cs="Arial" w:eastAsia="Arial" w:hAnsi="Arial"/>
          <w:b w:val="false"/>
          <w:bCs w:val="false"/>
          <w:color w:val="000000"/>
          <w:sz w:val="22"/>
          <w:szCs w:val="22"/>
        </w:rPr>
        <w:t xml:space="preserve"/>
      </w:r>
    </w:p>
    <w:p>
      <w:pPr>
        <w:pStyle w:val="Heading1"/>
        <w:pBdr>
          <w:bottom w:val="single" w:color="0F7173" w:sz="8" w:space="4"/>
        </w:pBdr>
        <w:spacing w:after="200" w:before="400"/>
      </w:pPr>
      <w:r>
        <w:rPr>
          <w:rFonts w:ascii="Arial" w:cs="Arial" w:eastAsia="Arial" w:hAnsi="Arial"/>
          <w:b/>
          <w:bCs/>
          <w:color w:val="1B3A5C"/>
          <w:sz w:val="34"/>
          <w:szCs w:val="34"/>
        </w:rPr>
        <w:t xml:space="preserve">5. Feasibility Analysis</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5.1 Technical Feasibility</w:t>
      </w:r>
    </w:p>
    <w:p>
      <w:pPr>
        <w:spacing w:after="4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Component</w:t>
            </w:r>
          </w:p>
        </w:tc>
        <w:tc>
          <w:tcPr>
            <w:tcW w:type="dxa" w:w="3000"/>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MVP status</w:t>
            </w:r>
          </w:p>
        </w:tc>
        <w:tc>
          <w:tcPr>
            <w:tcW w:type="dxa" w:w="4346"/>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Technical risk</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Darija NLU (Gemini)</w:t>
            </w:r>
          </w:p>
        </w:tc>
        <w:tc>
          <w:tcPr>
            <w:tcW w:type="dxa" w:w="30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Working in 70 hours</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 Gemini handles Arabic dialects well. Glossary injection reduces ambiguity.</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Decision Tree ML</w:t>
            </w:r>
          </w:p>
        </w:tc>
        <w:tc>
          <w:tcPr>
            <w:tcW w:type="dxa" w:w="30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Pre-trained, &lt;5ms inference</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 scikit-learn is stable, dataset is open-source (Pima + UCI), model is fully explainable.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Realtime family dashboard</w:t>
            </w:r>
          </w:p>
        </w:tc>
        <w:tc>
          <w:tcPr>
            <w:tcW w:type="dxa" w:w="30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Firebase Firestore listeners</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 Firebase handles realtime sync reliably. One snapshots() call powers the entire dashboard.</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Alerts (push + email)</w:t>
            </w:r>
          </w:p>
        </w:tc>
        <w:tc>
          <w:tcPr>
            <w:tcW w:type="dxa" w:w="30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FCM + SendGrid, tested</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 Both services have free tiers with generous hackathon limits. Pre-verify numbers before demo.</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CGM / Dexcom integration</w:t>
            </w:r>
          </w:p>
        </w:tc>
        <w:tc>
          <w:tcPr>
            <w:tcW w:type="dxa" w:w="30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Simulated (realistic mock)</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MEDIUM — Real Dexcom API requires device + subscription. Mock uses identical JSON schema. One class swap at launch.</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Biometric auth</w:t>
            </w:r>
          </w:p>
        </w:tc>
        <w:tc>
          <w:tcPr>
            <w:tcW w:type="dxa" w:w="30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Real OS call (LocalAuth)</w:t>
            </w:r>
          </w:p>
        </w:tc>
        <w:tc>
          <w:tcPr>
            <w:tcW w:type="dxa" w:w="434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 flutter_local_authentication works on real devices. FaceID/TouchID fires natively.</w:t>
            </w:r>
          </w:p>
        </w:tc>
      </w:tr>
    </w:tbl>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5.2 Adoption Feasibility</w:t>
      </w:r>
    </w:p>
    <w:p>
      <w:pPr>
        <w:spacing w:after="100" w:before="0"/>
        <w:jc w:val="both"/>
      </w:pPr>
      <w:r>
        <w:rPr>
          <w:rFonts w:ascii="Arial" w:cs="Arial" w:eastAsia="Arial" w:hAnsi="Arial"/>
          <w:b w:val="false"/>
          <w:bCs w:val="false"/>
          <w:color w:val="000000"/>
          <w:sz w:val="22"/>
          <w:szCs w:val="22"/>
        </w:rPr>
        <w:t xml:space="preserve">The single biggest adoption risk in digital health in Algeria is not technology. It is habit change. ChronicCare addresses this with three design decisions:</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Darija-first interface eliminates the literacy barrier that kills French-language apps among 60+ year-old patients.</w:t>
      </w:r>
    </w:p>
    <w:p>
      <w:pPr>
        <w:pStyle w:val="ListParagraph"/>
        <w:numPr>
          <w:ilvl w:val="0"/>
          <w:numId w:val="2"/>
        </w:numPr>
        <w:spacing w:after="80" w:before="0"/>
      </w:pPr>
      <w:r>
        <w:rPr>
          <w:rFonts w:ascii="Arial" w:cs="Arial" w:eastAsia="Arial" w:hAnsi="Arial"/>
          <w:b w:val="false"/>
          <w:bCs w:val="false"/>
          <w:color w:val="000000"/>
          <w:sz w:val="21"/>
          <w:szCs w:val="21"/>
        </w:rPr>
        <w:t xml:space="preserve">The family caregiver as primary adoption driver — the adult child downloads and sets up the app for the parent. Adoption becomes a gift of care, not a tech burden.</w:t>
      </w:r>
    </w:p>
    <w:p>
      <w:pPr>
        <w:pStyle w:val="ListParagraph"/>
        <w:numPr>
          <w:ilvl w:val="0"/>
          <w:numId w:val="2"/>
        </w:numPr>
        <w:spacing w:after="80" w:before="0"/>
      </w:pPr>
      <w:r>
        <w:rPr>
          <w:rFonts w:ascii="Arial" w:cs="Arial" w:eastAsia="Arial" w:hAnsi="Arial"/>
          <w:b w:val="false"/>
          <w:bCs w:val="false"/>
          <w:color w:val="000000"/>
          <w:sz w:val="21"/>
          <w:szCs w:val="21"/>
        </w:rPr>
        <w:t xml:space="preserve">Streak gamification and daily check-ins create a habit loop within the first 7 days — the critical window for chronic disease app retention.</w:t>
      </w:r>
    </w:p>
    <w:p>
      <w:pPr>
        <w:spacing w:after="60" w:before="0"/>
      </w:pPr>
      <w:r>
        <w:rPr>
          <w:rFonts w:ascii="Arial" w:cs="Arial" w:eastAsia="Arial" w:hAnsi="Arial"/>
          <w:b w:val="false"/>
          <w:bCs w:val="false"/>
          <w:color w:val="000000"/>
          <w:sz w:val="22"/>
          <w:szCs w:val="22"/>
        </w:rPr>
        <w:t xml:space="preserve"/>
      </w:r>
    </w:p>
    <w:p>
      <w:pPr>
        <w:pBdr>
          <w:left w:val="single" w:color="E8A838" w:sz="16" w:space="8"/>
        </w:pBdr>
        <w:shd w:fill="FFFBEF" w:val="clear"/>
        <w:spacing w:after="120" w:before="60"/>
        <w:ind w:left="200"/>
      </w:pPr>
      <w:r>
        <w:rPr>
          <w:rFonts w:ascii="Arial" w:cs="Arial" w:eastAsia="Arial" w:hAnsi="Arial"/>
          <w:b w:val="false"/>
          <w:bCs w:val="false"/>
          <w:color w:val="1B3A5C"/>
          <w:sz w:val="21"/>
          <w:szCs w:val="21"/>
        </w:rPr>
        <w:t xml:space="preserve">Key insight: In Algeria, healthcare decisions are made by families, not individuals. Design that treats the patient as an isolated unit will fail. ChronicCare's family-mediated architecture is not a feature — it is the adoption strategy.</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5.3 Regulatory Considerations</w:t>
      </w:r>
    </w:p>
    <w:p>
      <w:pPr>
        <w:spacing w:after="100" w:before="0"/>
        <w:jc w:val="both"/>
      </w:pPr>
      <w:r>
        <w:rPr>
          <w:rFonts w:ascii="Arial" w:cs="Arial" w:eastAsia="Arial" w:hAnsi="Arial"/>
          <w:b w:val="false"/>
          <w:bCs w:val="false"/>
          <w:color w:val="000000"/>
          <w:sz w:val="22"/>
          <w:szCs w:val="22"/>
        </w:rPr>
        <w:t xml:space="preserve">ChronicCare operates deliberately below the medical device regulatory threshold in its MVP form. This is a conscious strategic choice, not a legal gap.</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The system classifies risk and advises lifestyle changes — it does not diagnose or prescribe. This keeps it in the 'wellness app' category in most jurisdictions.</w:t>
      </w:r>
    </w:p>
    <w:p>
      <w:pPr>
        <w:pStyle w:val="ListParagraph"/>
        <w:numPr>
          <w:ilvl w:val="0"/>
          <w:numId w:val="2"/>
        </w:numPr>
        <w:spacing w:after="80" w:before="0"/>
      </w:pPr>
      <w:r>
        <w:rPr>
          <w:rFonts w:ascii="Arial" w:cs="Arial" w:eastAsia="Arial" w:hAnsi="Arial"/>
          <w:b w:val="false"/>
          <w:bCs w:val="false"/>
          <w:color w:val="000000"/>
          <w:sz w:val="21"/>
          <w:szCs w:val="21"/>
        </w:rPr>
        <w:t xml:space="preserve">The mandatory guardrail string ('راسلو طبيبك قبل ما تبدل أي دواء') is encoded at the system level and cannot be removed by any user action.</w:t>
      </w:r>
    </w:p>
    <w:p>
      <w:pPr>
        <w:pStyle w:val="ListParagraph"/>
        <w:numPr>
          <w:ilvl w:val="0"/>
          <w:numId w:val="2"/>
        </w:numPr>
        <w:spacing w:after="80" w:before="0"/>
      </w:pPr>
      <w:r>
        <w:rPr>
          <w:rFonts w:ascii="Arial" w:cs="Arial" w:eastAsia="Arial" w:hAnsi="Arial"/>
          <w:b w:val="false"/>
          <w:bCs w:val="false"/>
          <w:color w:val="000000"/>
          <w:sz w:val="21"/>
          <w:szCs w:val="21"/>
        </w:rPr>
        <w:t xml:space="preserve">All Gemini calls receive PII-stripped input. No patient identifiable data is processed by any US-regulated cloud AI service.</w:t>
      </w:r>
    </w:p>
    <w:p>
      <w:pPr>
        <w:pStyle w:val="ListParagraph"/>
        <w:numPr>
          <w:ilvl w:val="0"/>
          <w:numId w:val="2"/>
        </w:numPr>
        <w:spacing w:after="80" w:before="0"/>
      </w:pPr>
      <w:r>
        <w:rPr>
          <w:rFonts w:ascii="Arial" w:cs="Arial" w:eastAsia="Arial" w:hAnsi="Arial"/>
          <w:b w:val="false"/>
          <w:bCs w:val="false"/>
          <w:color w:val="000000"/>
          <w:sz w:val="21"/>
          <w:szCs w:val="21"/>
        </w:rPr>
        <w:t xml:space="preserve">Future path: DZ PDPN compliance for health data, ISO 27001 for clinic B2B contracts, CE Class IIa for CGM integration.</w:t>
      </w:r>
    </w:p>
    <w:p>
      <w:pPr>
        <w:spacing w:after="160" w:before="0"/>
      </w:pPr>
      <w:r>
        <w:rPr>
          <w:rFonts w:ascii="Arial" w:cs="Arial" w:eastAsia="Arial" w:hAnsi="Arial"/>
          <w:b w:val="false"/>
          <w:bCs w:val="false"/>
          <w:color w:val="000000"/>
          <w:sz w:val="22"/>
          <w:szCs w:val="22"/>
        </w:rPr>
        <w:t xml:space="preserve"/>
      </w:r>
    </w:p>
    <w:p>
      <w:r>
        <w:br w:type="page"/>
      </w:r>
    </w:p>
    <w:p>
      <w:pPr>
        <w:pStyle w:val="Heading1"/>
        <w:pBdr>
          <w:bottom w:val="single" w:color="0F7173" w:sz="8" w:space="4"/>
        </w:pBdr>
        <w:spacing w:after="200" w:before="400"/>
      </w:pPr>
      <w:r>
        <w:rPr>
          <w:rFonts w:ascii="Arial" w:cs="Arial" w:eastAsia="Arial" w:hAnsi="Arial"/>
          <w:b/>
          <w:bCs/>
          <w:color w:val="1B3A5C"/>
          <w:sz w:val="34"/>
          <w:szCs w:val="34"/>
        </w:rPr>
        <w:t xml:space="preserve">6. Cost Structure — MVP vs. Startup</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6.1 Hackathon MVP — Near-Zero Strategy</w:t>
      </w:r>
    </w:p>
    <w:p>
      <w:pPr>
        <w:spacing w:after="4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246"/>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Service</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Free tier limit</w:t>
            </w:r>
          </w:p>
        </w:tc>
        <w:tc>
          <w:tcPr>
            <w:tcW w:type="dxa" w:w="4246"/>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Hackathon usage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Gemini API (Google AI Studio)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60 req/min, generous free quota</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~50-100 conversations during demo = effectively free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Firebase (Firestore + FCM)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50K reads/day, 20K writes/day</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Far below limit for a hackathon demo with 5-10 active users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SendGrid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100 emails/day free</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Hackathon needs ~5-10 demo emails. Completely free.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Railway / Render 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 credit / hobby tier free</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FastAPI deploys in 5 minutes. Shared URL for judges.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Supabase (PostgreSQL)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500MB, 2 projects free</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Seeded demo database. Well within free limits.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Twilio (SMS sandbox)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Sandbox: 1 verified number free</w:t>
            </w:r>
          </w:p>
        </w:tc>
        <w:tc>
          <w:tcPr>
            <w:tcW w:type="dxa" w:w="4246"/>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Family alert SMS fires to pre-verified judge phone. Dramatic demo moment.</w:t>
            </w:r>
          </w:p>
        </w:tc>
      </w:tr>
      <w:tr>
        <w:tc>
          <w:tcPr>
            <w:tcW w:type="dxa" w:w="3000"/>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TOTAL MVP COST</w:t>
            </w:r>
          </w:p>
        </w:tc>
        <w:tc>
          <w:tcPr>
            <w:tcW w:type="dxa" w:w="2500"/>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$0</w:t>
            </w:r>
          </w:p>
        </w:tc>
        <w:tc>
          <w:tcPr>
            <w:tcW w:type="dxa" w:w="4246"/>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Entire hackathon built on free tiers</w:t>
            </w:r>
          </w:p>
        </w:tc>
      </w:tr>
    </w:tbl>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6.2 Startup Scale Cost Model</w:t>
      </w:r>
    </w:p>
    <w:p>
      <w:pPr>
        <w:spacing w:after="4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373"/>
        <w:gridCol w:w="2373"/>
        <w:gridCol w:w="200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Cost category</w:t>
            </w:r>
          </w:p>
        </w:tc>
        <w:tc>
          <w:tcPr>
            <w:tcW w:type="dxa" w:w="2373"/>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10K users/month</w:t>
            </w:r>
          </w:p>
        </w:tc>
        <w:tc>
          <w:tcPr>
            <w:tcW w:type="dxa" w:w="2373"/>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100K users/month</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Notes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Gemini API (~2 calls/conversation)</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~$800/month</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~$8,000/month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Decreases with batching</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Firebase / cloud infra</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~$200/month</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~$2,500/month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Firestore + FCM + storage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Engineering (3 FTE)</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$12,500/month</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$12,500/month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Algiers salary range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Legal, compliance, clinical validation</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$2,000/month</w:t>
            </w:r>
          </w:p>
        </w:tc>
        <w:tc>
          <w:tcPr>
            <w:tcW w:type="dxa" w:w="23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$5,000/month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Increases with B2B deals</w:t>
            </w:r>
          </w:p>
        </w:tc>
      </w:tr>
      <w:tr>
        <w:tc>
          <w:tcPr>
            <w:tcW w:type="dxa" w:w="3000"/>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Total monthly burn</w:t>
            </w:r>
          </w:p>
        </w:tc>
        <w:tc>
          <w:tcPr>
            <w:tcW w:type="dxa" w:w="2373"/>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~$15,500</w:t>
            </w:r>
          </w:p>
        </w:tc>
        <w:tc>
          <w:tcPr>
            <w:tcW w:type="dxa" w:w="2373"/>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~$28,000</w:t>
            </w:r>
          </w:p>
        </w:tc>
        <w:tc>
          <w:tcPr>
            <w:tcW w:type="dxa" w:w="2000"/>
            <w:tcBorders>
              <w:top w:val="single" w:color="2C5F7A" w:sz="1"/>
              <w:left w:val="single" w:color="2C5F7A" w:sz="1"/>
              <w:bottom w:val="single" w:color="2C5F7A" w:sz="1"/>
              <w:right w:val="single" w:color="2C5F7A" w:sz="1"/>
            </w:tcBorders>
            <w:shd w:fill="2C5F7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Break-even: ~18K paying users</w:t>
            </w:r>
          </w:p>
        </w:tc>
      </w:tr>
    </w:tbl>
    <w:p>
      <w:pPr>
        <w:spacing w:after="160" w:before="0"/>
      </w:pPr>
      <w:r>
        <w:rPr>
          <w:rFonts w:ascii="Arial" w:cs="Arial" w:eastAsia="Arial" w:hAnsi="Arial"/>
          <w:b w:val="false"/>
          <w:bCs w:val="false"/>
          <w:color w:val="000000"/>
          <w:sz w:val="22"/>
          <w:szCs w:val="22"/>
        </w:rPr>
        <w:t xml:space="preserve"/>
      </w:r>
    </w:p>
    <w:p>
      <w:pPr>
        <w:pStyle w:val="Heading1"/>
        <w:pBdr>
          <w:bottom w:val="single" w:color="0F7173" w:sz="8" w:space="4"/>
        </w:pBdr>
        <w:spacing w:after="200" w:before="400"/>
      </w:pPr>
      <w:r>
        <w:rPr>
          <w:rFonts w:ascii="Arial" w:cs="Arial" w:eastAsia="Arial" w:hAnsi="Arial"/>
          <w:b/>
          <w:bCs/>
          <w:color w:val="1B3A5C"/>
          <w:sz w:val="34"/>
          <w:szCs w:val="34"/>
        </w:rPr>
        <w:t xml:space="preserve">7. Revenue Strategy — Three Streams</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7.1 B2C — Patient &amp; Family Subscription</w:t>
      </w:r>
    </w:p>
    <w:p>
      <w:pPr>
        <w:spacing w:after="100" w:before="0"/>
        <w:jc w:val="both"/>
      </w:pPr>
      <w:r>
        <w:rPr>
          <w:rFonts w:ascii="Arial" w:cs="Arial" w:eastAsia="Arial" w:hAnsi="Arial"/>
          <w:b w:val="false"/>
          <w:bCs w:val="false"/>
          <w:color w:val="000000"/>
          <w:sz w:val="22"/>
          <w:szCs w:val="22"/>
        </w:rPr>
        <w:t xml:space="preserve">Target: Chronic patients aged 40-70 and their adult children. Price point: 500 DZD/month (~$3.50 USD). Positioned as 'the cost of one box of Metformin.'</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Free 30-day trial with full features — no credit card required. Converts on the first time the family alert fires.</w:t>
      </w:r>
    </w:p>
    <w:p>
      <w:pPr>
        <w:pStyle w:val="ListParagraph"/>
        <w:numPr>
          <w:ilvl w:val="0"/>
          <w:numId w:val="2"/>
        </w:numPr>
        <w:spacing w:after="80" w:before="0"/>
      </w:pPr>
      <w:r>
        <w:rPr>
          <w:rFonts w:ascii="Arial" w:cs="Arial" w:eastAsia="Arial" w:hAnsi="Arial"/>
          <w:b w:val="false"/>
          <w:bCs w:val="false"/>
          <w:color w:val="000000"/>
          <w:sz w:val="21"/>
          <w:szCs w:val="21"/>
        </w:rPr>
        <w:t xml:space="preserve">Family plan (1 patient + up to 3 family dashboard users): 800 DZD/month. Higher LTV, lower CAC.</w:t>
      </w:r>
    </w:p>
    <w:p>
      <w:pPr>
        <w:pStyle w:val="ListParagraph"/>
        <w:numPr>
          <w:ilvl w:val="0"/>
          <w:numId w:val="2"/>
        </w:numPr>
        <w:spacing w:after="80" w:before="0"/>
      </w:pPr>
      <w:r>
        <w:rPr>
          <w:rFonts w:ascii="Arial" w:cs="Arial" w:eastAsia="Arial" w:hAnsi="Arial"/>
          <w:b w:val="false"/>
          <w:bCs w:val="false"/>
          <w:color w:val="000000"/>
          <w:sz w:val="21"/>
          <w:szCs w:val="21"/>
        </w:rPr>
        <w:t xml:space="preserve">Annual plan at 5,000 DZD (2 months free) — targets adherent, engaged users who have seen value.</w:t>
      </w:r>
    </w:p>
    <w:p>
      <w:pPr>
        <w:spacing w:after="6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The conversion event is the first HIGH-risk alert. When a family member receives an SMS at midnight saying their parent needs attention — and it's real — they subscribe the next morning.</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7.2 B2B — Clinic &amp; Hospital SaaS</w:t>
      </w:r>
    </w:p>
    <w:p>
      <w:pPr>
        <w:spacing w:after="100" w:before="0"/>
        <w:jc w:val="both"/>
      </w:pPr>
      <w:r>
        <w:rPr>
          <w:rFonts w:ascii="Arial" w:cs="Arial" w:eastAsia="Arial" w:hAnsi="Arial"/>
          <w:b w:val="false"/>
          <w:bCs w:val="false"/>
          <w:color w:val="000000"/>
          <w:sz w:val="22"/>
          <w:szCs w:val="22"/>
        </w:rPr>
        <w:t xml:space="preserve">Target: Polyclinics, EPSP, private clinics, and specialist diabetes centres. Price: 5,000–20,000 DZD/month depending on patient roster size.</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Clinic dashboard: real-time view of all enrolled patients' risk scores, alert history, and adherence rates.</w:t>
      </w:r>
    </w:p>
    <w:p>
      <w:pPr>
        <w:pStyle w:val="ListParagraph"/>
        <w:numPr>
          <w:ilvl w:val="0"/>
          <w:numId w:val="2"/>
        </w:numPr>
        <w:spacing w:after="80" w:before="0"/>
      </w:pPr>
      <w:r>
        <w:rPr>
          <w:rFonts w:ascii="Arial" w:cs="Arial" w:eastAsia="Arial" w:hAnsi="Arial"/>
          <w:b w:val="false"/>
          <w:bCs w:val="false"/>
          <w:color w:val="000000"/>
          <w:sz w:val="21"/>
          <w:szCs w:val="21"/>
        </w:rPr>
        <w:t xml:space="preserve">Doctor-facing PDF reports generated automatically for each appointment — reduces consultation time by 40%.</w:t>
      </w:r>
    </w:p>
    <w:p>
      <w:pPr>
        <w:pStyle w:val="ListParagraph"/>
        <w:numPr>
          <w:ilvl w:val="0"/>
          <w:numId w:val="2"/>
        </w:numPr>
        <w:spacing w:after="80" w:before="0"/>
      </w:pPr>
      <w:r>
        <w:rPr>
          <w:rFonts w:ascii="Arial" w:cs="Arial" w:eastAsia="Arial" w:hAnsi="Arial"/>
          <w:b w:val="false"/>
          <w:bCs w:val="false"/>
          <w:color w:val="000000"/>
          <w:sz w:val="21"/>
          <w:szCs w:val="21"/>
        </w:rPr>
        <w:t xml:space="preserve">White-labelled patient app under clinic brand: 'Clinique El Shifa Care.'</w:t>
      </w:r>
    </w:p>
    <w:p>
      <w:pPr>
        <w:pStyle w:val="ListParagraph"/>
        <w:numPr>
          <w:ilvl w:val="0"/>
          <w:numId w:val="2"/>
        </w:numPr>
        <w:spacing w:after="80" w:before="0"/>
      </w:pPr>
      <w:r>
        <w:rPr>
          <w:rFonts w:ascii="Arial" w:cs="Arial" w:eastAsia="Arial" w:hAnsi="Arial"/>
          <w:b w:val="false"/>
          <w:bCs w:val="false"/>
          <w:color w:val="000000"/>
          <w:sz w:val="21"/>
          <w:szCs w:val="21"/>
        </w:rPr>
        <w:t xml:space="preserve">API access for hospital information systems (future HL7/FHIR integration).</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7.3 B2B2 — Data &amp; Analytics</w:t>
      </w:r>
    </w:p>
    <w:p>
      <w:pPr>
        <w:pStyle w:val="ListParagraph"/>
        <w:numPr>
          <w:ilvl w:val="0"/>
          <w:numId w:val="2"/>
        </w:numPr>
        <w:spacing w:after="80" w:before="0"/>
      </w:pPr>
      <w:r>
        <w:rPr>
          <w:rFonts w:ascii="Arial" w:cs="Arial" w:eastAsia="Arial" w:hAnsi="Arial"/>
          <w:b w:val="false"/>
          <w:bCs w:val="false"/>
          <w:color w:val="000000"/>
          <w:sz w:val="21"/>
          <w:szCs w:val="21"/>
        </w:rPr>
        <w:t xml:space="preserve">Pharma outcomes research: anonymized, aggregated adherence and symptom data licensed to pharmaceutical companies tracking real-world medication efficacy.</w:t>
      </w:r>
    </w:p>
    <w:p>
      <w:pPr>
        <w:pStyle w:val="ListParagraph"/>
        <w:numPr>
          <w:ilvl w:val="0"/>
          <w:numId w:val="2"/>
        </w:numPr>
        <w:spacing w:after="80" w:before="0"/>
      </w:pPr>
      <w:r>
        <w:rPr>
          <w:rFonts w:ascii="Arial" w:cs="Arial" w:eastAsia="Arial" w:hAnsi="Arial"/>
          <w:b w:val="false"/>
          <w:bCs w:val="false"/>
          <w:color w:val="000000"/>
          <w:sz w:val="21"/>
          <w:szCs w:val="21"/>
        </w:rPr>
        <w:t xml:space="preserve">CNAS / insurer risk stratification: chronic risk scores for actuarial pricing models (opt-in, explicit consent).</w:t>
      </w:r>
    </w:p>
    <w:p>
      <w:pPr>
        <w:pStyle w:val="ListParagraph"/>
        <w:numPr>
          <w:ilvl w:val="0"/>
          <w:numId w:val="2"/>
        </w:numPr>
        <w:spacing w:after="80" w:before="0"/>
      </w:pPr>
      <w:r>
        <w:rPr>
          <w:rFonts w:ascii="Arial" w:cs="Arial" w:eastAsia="Arial" w:hAnsi="Arial"/>
          <w:b w:val="false"/>
          <w:bCs w:val="false"/>
          <w:color w:val="000000"/>
          <w:sz w:val="21"/>
          <w:szCs w:val="21"/>
        </w:rPr>
        <w:t xml:space="preserve">Ministry of Health: population-level diabetes trend reporting for wilaya-level public health decision-making.</w:t>
      </w:r>
    </w:p>
    <w:p>
      <w:pPr>
        <w:spacing w:after="8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Nour's three revenue streams are not competitive — they are additive. The patient subscription funds the product. The clinic contract validates it clinically. The data license scales the business without adding users.</w:t>
      </w:r>
    </w:p>
    <w:p>
      <w:pPr>
        <w:spacing w:after="160" w:before="0"/>
      </w:pPr>
      <w:r>
        <w:rPr>
          <w:rFonts w:ascii="Arial" w:cs="Arial" w:eastAsia="Arial" w:hAnsi="Arial"/>
          <w:b w:val="false"/>
          <w:bCs w:val="false"/>
          <w:color w:val="000000"/>
          <w:sz w:val="22"/>
          <w:szCs w:val="22"/>
        </w:rPr>
        <w:t xml:space="preserve"/>
      </w:r>
    </w:p>
    <w:p>
      <w:r>
        <w:br w:type="page"/>
      </w:r>
    </w:p>
    <w:p>
      <w:pPr>
        <w:pStyle w:val="Heading1"/>
        <w:pBdr>
          <w:bottom w:val="single" w:color="0F7173" w:sz="8" w:space="4"/>
        </w:pBdr>
        <w:spacing w:after="200" w:before="400"/>
      </w:pPr>
      <w:r>
        <w:rPr>
          <w:rFonts w:ascii="Arial" w:cs="Arial" w:eastAsia="Arial" w:hAnsi="Arial"/>
          <w:b/>
          <w:bCs/>
          <w:color w:val="1B3A5C"/>
          <w:sz w:val="34"/>
          <w:szCs w:val="34"/>
        </w:rPr>
        <w:t xml:space="preserve">8. The Judge Hook — Why This Wins</w:t>
      </w:r>
    </w:p>
    <w:p>
      <w:pPr>
        <w:spacing w:after="6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8.1 Why This Wins Emotionally</w:t>
      </w:r>
    </w:p>
    <w:p>
      <w:pPr>
        <w:spacing w:after="100" w:before="0"/>
        <w:jc w:val="both"/>
      </w:pPr>
      <w:r>
        <w:rPr>
          <w:rFonts w:ascii="Arial" w:cs="Arial" w:eastAsia="Arial" w:hAnsi="Arial"/>
          <w:b w:val="false"/>
          <w:bCs w:val="false"/>
          <w:color w:val="000000"/>
          <w:sz w:val="22"/>
          <w:szCs w:val="22"/>
        </w:rPr>
        <w:t xml:space="preserve">Every judge in the room has an aunt, an uncle, or a parent with diabetes. Every one of them has felt the anxiety of a missed phone call. Of not knowing if the medication was taken. Of being too far away to help.</w:t>
      </w:r>
    </w:p>
    <w:p>
      <w:pPr>
        <w:spacing w:after="6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Nour is not a product. Nour is the answer to the question every Algerian adult child has asked themselves: 'Is Baba okay right now?'</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8.2 Why This Scales Financially</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The unit economics are strong: CAC is low (family word-of-mouth, clinic referral), LTV is high (chronic disease is lifelong), churn is low (switching cost is emotional).</w:t>
      </w:r>
    </w:p>
    <w:p>
      <w:pPr>
        <w:pStyle w:val="ListParagraph"/>
        <w:numPr>
          <w:ilvl w:val="0"/>
          <w:numId w:val="2"/>
        </w:numPr>
        <w:spacing w:after="80" w:before="0"/>
      </w:pPr>
      <w:r>
        <w:rPr>
          <w:rFonts w:ascii="Arial" w:cs="Arial" w:eastAsia="Arial" w:hAnsi="Arial"/>
          <w:b w:val="false"/>
          <w:bCs w:val="false"/>
          <w:color w:val="000000"/>
          <w:sz w:val="21"/>
          <w:szCs w:val="21"/>
        </w:rPr>
        <w:t xml:space="preserve">The B2B layer (clinics) provides predictable, high-margin recurring revenue that does not depend on consumer marketing spend.</w:t>
      </w:r>
    </w:p>
    <w:p>
      <w:pPr>
        <w:pStyle w:val="ListParagraph"/>
        <w:numPr>
          <w:ilvl w:val="0"/>
          <w:numId w:val="2"/>
        </w:numPr>
        <w:spacing w:after="80" w:before="0"/>
      </w:pPr>
      <w:r>
        <w:rPr>
          <w:rFonts w:ascii="Arial" w:cs="Arial" w:eastAsia="Arial" w:hAnsi="Arial"/>
          <w:b w:val="false"/>
          <w:bCs w:val="false"/>
          <w:color w:val="000000"/>
          <w:sz w:val="21"/>
          <w:szCs w:val="21"/>
        </w:rPr>
        <w:t xml:space="preserve">Darija gives us a 2-3 year head start in Algeria before any competitor can replicate the cultural NLP layer. Morocco and Tunisia add 25M more Darija speakers with identical product-market fit.</w:t>
      </w:r>
    </w:p>
    <w:p>
      <w:pPr>
        <w:pStyle w:val="ListParagraph"/>
        <w:numPr>
          <w:ilvl w:val="0"/>
          <w:numId w:val="2"/>
        </w:numPr>
        <w:spacing w:after="80" w:before="0"/>
      </w:pPr>
      <w:r>
        <w:rPr>
          <w:rFonts w:ascii="Arial" w:cs="Arial" w:eastAsia="Arial" w:hAnsi="Arial"/>
          <w:b w:val="false"/>
          <w:bCs w:val="false"/>
          <w:color w:val="000000"/>
          <w:sz w:val="21"/>
          <w:szCs w:val="21"/>
        </w:rPr>
        <w:t xml:space="preserve">Network effects: every clinic that signs up brings its full patient roster. Every patient brings their family. The graph grows faster than individual subscriptions.</w:t>
      </w:r>
    </w:p>
    <w:p>
      <w:pPr>
        <w:spacing w:after="80" w:before="0"/>
      </w:pPr>
      <w:r>
        <w:rPr>
          <w:rFonts w:ascii="Arial" w:cs="Arial" w:eastAsia="Arial" w:hAnsi="Arial"/>
          <w:b w:val="false"/>
          <w:bCs w:val="false"/>
          <w:color w:val="000000"/>
          <w:sz w:val="22"/>
          <w:szCs w:val="22"/>
        </w:rPr>
        <w:t xml:space="preserve"/>
      </w:r>
    </w:p>
    <w:p>
      <w:pPr>
        <w:pStyle w:val="Heading2"/>
        <w:spacing w:after="120" w:before="280"/>
      </w:pPr>
      <w:r>
        <w:rPr>
          <w:rFonts w:ascii="Arial" w:cs="Arial" w:eastAsia="Arial" w:hAnsi="Arial"/>
          <w:b/>
          <w:bCs/>
          <w:color w:val="1B3A5C"/>
          <w:sz w:val="26"/>
          <w:szCs w:val="26"/>
        </w:rPr>
        <w:t xml:space="preserve">8.3 Why This Matters Socially</w:t>
      </w:r>
    </w:p>
    <w:p>
      <w:pPr>
        <w:spacing w:after="40" w:before="0"/>
      </w:pPr>
      <w:r>
        <w:rPr>
          <w:rFonts w:ascii="Arial" w:cs="Arial" w:eastAsia="Arial" w:hAnsi="Arial"/>
          <w:b w:val="false"/>
          <w:bCs w:val="false"/>
          <w:color w:val="000000"/>
          <w:sz w:val="22"/>
          <w:szCs w:val="22"/>
        </w:rPr>
        <w:t xml:space="preserve"/>
      </w:r>
    </w:p>
    <w:p>
      <w:pPr>
        <w:pStyle w:val="ListParagraph"/>
        <w:numPr>
          <w:ilvl w:val="0"/>
          <w:numId w:val="2"/>
        </w:numPr>
        <w:spacing w:after="80" w:before="0"/>
      </w:pPr>
      <w:r>
        <w:rPr>
          <w:rFonts w:ascii="Arial" w:cs="Arial" w:eastAsia="Arial" w:hAnsi="Arial"/>
          <w:b w:val="false"/>
          <w:bCs w:val="false"/>
          <w:color w:val="000000"/>
          <w:sz w:val="21"/>
          <w:szCs w:val="21"/>
        </w:rPr>
        <w:t xml:space="preserve">Algeria's healthcare system faces a growing chronic disease burden with a declining doctor-to-patient ratio. ChronicCare does not replace doctors — it extends their reach to the 364 days a year when no appointment is scheduled.</w:t>
      </w:r>
    </w:p>
    <w:p>
      <w:pPr>
        <w:pStyle w:val="ListParagraph"/>
        <w:numPr>
          <w:ilvl w:val="0"/>
          <w:numId w:val="2"/>
        </w:numPr>
        <w:spacing w:after="80" w:before="0"/>
      </w:pPr>
      <w:r>
        <w:rPr>
          <w:rFonts w:ascii="Arial" w:cs="Arial" w:eastAsia="Arial" w:hAnsi="Arial"/>
          <w:b w:val="false"/>
          <w:bCs w:val="false"/>
          <w:color w:val="000000"/>
          <w:sz w:val="21"/>
          <w:szCs w:val="21"/>
        </w:rPr>
        <w:t xml:space="preserve">Medication adherence improvement from 50% to 70% in a cohort of 100,000 diabetics would prevent an estimated 3,000 hospitalizations annually. Each avoided hospitalization saves the health system 50,000-200,000 DZD.</w:t>
      </w:r>
    </w:p>
    <w:p>
      <w:pPr>
        <w:pStyle w:val="ListParagraph"/>
        <w:numPr>
          <w:ilvl w:val="0"/>
          <w:numId w:val="2"/>
        </w:numPr>
        <w:spacing w:after="80" w:before="0"/>
      </w:pPr>
      <w:r>
        <w:rPr>
          <w:rFonts w:ascii="Arial" w:cs="Arial" w:eastAsia="Arial" w:hAnsi="Arial"/>
          <w:b w:val="false"/>
          <w:bCs w:val="false"/>
          <w:color w:val="000000"/>
          <w:sz w:val="21"/>
          <w:szCs w:val="21"/>
        </w:rPr>
        <w:t xml:space="preserve">Darija-native digital health creates a template for underserved languages globally — from Tamazight to Hassaniya to other dialect communities with zero digital health coverage.</w:t>
      </w:r>
    </w:p>
    <w:p>
      <w:pPr>
        <w:spacing w:after="80" w:before="0"/>
      </w:pPr>
      <w:r>
        <w:rPr>
          <w:rFonts w:ascii="Arial" w:cs="Arial" w:eastAsia="Arial" w:hAnsi="Arial"/>
          <w:b w:val="false"/>
          <w:bCs w:val="false"/>
          <w:color w:val="000000"/>
          <w:sz w:val="22"/>
          <w:szCs w:val="22"/>
        </w:rPr>
        <w:t xml:space="preserve"/>
      </w:r>
    </w:p>
    <w:p>
      <w:pPr>
        <w:pBdr>
          <w:left w:val="single" w:color="0F7173" w:sz="16" w:space="8"/>
        </w:pBdr>
        <w:shd w:fill="EAF4FB" w:val="clear"/>
        <w:spacing w:after="140" w:before="80"/>
        <w:ind w:left="200"/>
      </w:pPr>
      <w:r>
        <w:rPr>
          <w:rFonts w:ascii="Arial" w:cs="Arial" w:eastAsia="Arial" w:hAnsi="Arial"/>
          <w:b/>
          <w:bCs/>
          <w:color w:val="1B3A5C"/>
          <w:sz w:val="22"/>
          <w:szCs w:val="22"/>
        </w:rPr>
        <w:t xml:space="preserve">ChronicCare is not a feature. It is infrastructure. The chronic care layer that Algeria's health system needs to function in the 21st century — and that 40 million people have been waiting for someone to build.</w:t>
      </w:r>
    </w:p>
    <w:p>
      <w:pPr>
        <w:spacing w:after="160" w:before="0"/>
      </w:pPr>
      <w:r>
        <w:rPr>
          <w:rFonts w:ascii="Arial" w:cs="Arial" w:eastAsia="Arial" w:hAnsi="Arial"/>
          <w:b w:val="false"/>
          <w:bCs w:val="false"/>
          <w:color w:val="000000"/>
          <w:sz w:val="22"/>
          <w:szCs w:val="22"/>
        </w:rPr>
        <w:t xml:space="preserve"/>
      </w:r>
    </w:p>
    <w:p>
      <w:pPr>
        <w:pStyle w:val="Heading1"/>
        <w:pBdr>
          <w:bottom w:val="single" w:color="0F7173" w:sz="8" w:space="4"/>
        </w:pBdr>
        <w:spacing w:after="200" w:before="400"/>
      </w:pPr>
      <w:r>
        <w:rPr>
          <w:rFonts w:ascii="Arial" w:cs="Arial" w:eastAsia="Arial" w:hAnsi="Arial"/>
          <w:b/>
          <w:bCs/>
          <w:color w:val="1B3A5C"/>
          <w:sz w:val="34"/>
          <w:szCs w:val="34"/>
        </w:rPr>
        <w:t xml:space="preserve">9. Risks &amp; Mitigation</w:t>
      </w:r>
    </w:p>
    <w:p>
      <w:pPr>
        <w:spacing w:after="60" w:before="0"/>
      </w:pPr>
      <w:r>
        <w:rPr>
          <w:rFonts w:ascii="Arial" w:cs="Arial" w:eastAsia="Arial" w:hAnsi="Arial"/>
          <w:b w:val="false"/>
          <w:bCs w:val="false"/>
          <w:color w:val="000000"/>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73"/>
        <w:gridCol w:w="2773"/>
      </w:tblGrid>
      <w:tr>
        <w:tc>
          <w:tcPr>
            <w:tcW w:type="dxa" w:w="240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Risk</w:t>
            </w:r>
          </w:p>
        </w:tc>
        <w:tc>
          <w:tcPr>
            <w:tcW w:type="dxa" w:w="180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Severity</w:t>
            </w:r>
          </w:p>
        </w:tc>
        <w:tc>
          <w:tcPr>
            <w:tcW w:type="dxa" w:w="2773"/>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Mitigation</w:t>
            </w:r>
          </w:p>
        </w:tc>
        <w:tc>
          <w:tcPr>
            <w:tcW w:type="dxa" w:w="2773"/>
            <w:tcBorders>
              <w:top w:val="single" w:color="1E8449" w:sz="1"/>
              <w:left w:val="single" w:color="1E8449" w:sz="1"/>
              <w:bottom w:val="single" w:color="1E8449" w:sz="1"/>
              <w:right w:val="single" w:color="1E8449" w:sz="1"/>
            </w:tcBorders>
            <w:shd w:fill="1E844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Status</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AI hallucination: Gemini outputs incorrect symptom extraction or unsafe advice</w:t>
            </w:r>
          </w:p>
        </w:tc>
        <w:tc>
          <w:tcPr>
            <w:tcW w:type="dxa" w:w="18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HIGH</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Gemini is extraction-only. Decision Tree makes clinical calls. Mandatory guardrail string blocks dosage advice at system level. Max 2 follow-up rounds.</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MITIGATED — two-model separation is the architectural fix.</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Trust deficit: patients and doctors do not trust AI for medical decisions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pPr>
              <w:jc w:val="left"/>
            </w:pPr>
            <w:r>
              <w:rPr>
                <w:rFonts w:ascii="Arial" w:cs="Arial" w:eastAsia="Arial" w:hAnsi="Arial"/>
                <w:b/>
                <w:bCs/>
                <w:color w:val="E8A838"/>
                <w:sz w:val="20"/>
                <w:szCs w:val="20"/>
              </w:rPr>
              <w:t xml:space="preserve">MEDIUM</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Explainable Decision Tree shows which features drove the score. Doctor email uses clinical language, not AI language. App never claims to diagnose.</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MANAGED — transparency is the trust mechanism.</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Data privacy: patient health data processed by external cloud APIs</w:t>
            </w:r>
          </w:p>
        </w:tc>
        <w:tc>
          <w:tcPr>
            <w:tcW w:type="dxa" w:w="18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bCs/>
                <w:color w:val="C0392B"/>
                <w:sz w:val="20"/>
                <w:szCs w:val="20"/>
              </w:rPr>
              <w:t xml:space="preserve">HIGH</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PII tokenized before every Gemini call. Patient name, phone, ID never reach any external API. Token mapping stored locally only.</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MITIGATED — de-identification middleware is built into MVP.</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Adoption friction: elderly patients resistant to new technology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pPr>
              <w:jc w:val="left"/>
            </w:pPr>
            <w:r>
              <w:rPr>
                <w:rFonts w:ascii="Arial" w:cs="Arial" w:eastAsia="Arial" w:hAnsi="Arial"/>
                <w:b/>
                <w:bCs/>
                <w:color w:val="E8A838"/>
                <w:sz w:val="20"/>
                <w:szCs w:val="20"/>
              </w:rPr>
              <w:t xml:space="preserve">MEDIUM</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Family member is the setup agent. Font size ≥14pt, large buttons, voice input (future), Darija interface removes language barrier.</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MANAGED — family-first onboarding bypasses individual adoption.</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Gemini API dependency: single LLM vendor for core NLP functionality</w:t>
            </w:r>
          </w:p>
        </w:tc>
        <w:tc>
          <w:tcPr>
            <w:tcW w:type="dxa" w:w="18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LOW (MVP)</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Prompt-based NLU is portable across LLM providers. GPT-4, Claude, Mistral are drop-in alternatives. Glossary JSON is vendor-agnostic.</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LOW RISK — architectural portability designed in.</w:t>
            </w:r>
          </w:p>
        </w:tc>
      </w:tr>
      <w:tr>
        <w:tc>
          <w:tcPr>
            <w:tcW w:type="dxa" w:w="2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Regulatory reclassification: government classifies app as a medical device</w:t>
            </w:r>
          </w:p>
        </w:tc>
        <w:tc>
          <w:tcPr>
            <w:tcW w:type="dxa" w:w="1800"/>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bCs/>
                <w:color w:val="1E8449"/>
                <w:sz w:val="20"/>
                <w:szCs w:val="20"/>
              </w:rPr>
              <w:t xml:space="preserve">LOW (now)</w:t>
            </w:r>
          </w:p>
        </w:tc>
        <w:tc>
          <w:tcPr>
            <w:tcW w:type="dxa" w:w="27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MVP operates as wellness app. Explicit no-diagnosis guardrails. Future: CE Class IIa pathway budgeted. Legal opinion obtained before clinic B2B contracts.</w:t>
            </w:r>
          </w:p>
        </w:tc>
        <w:tc>
          <w:tcPr>
            <w:tcW w:type="dxa" w:w="2773"/>
            <w:tcBorders>
              <w:top w:val="single" w:color="CCCCCC" w:sz="1"/>
              <w:left w:val="single" w:color="CCCCCC" w:sz="1"/>
              <w:bottom w:val="single" w:color="CCCCCC" w:sz="1"/>
              <w:right w:val="single" w:color="CCCCCC" w:sz="1"/>
            </w:tcBorders>
            <w:shd w:fill="EAF7EF" w:val="clear"/>
            <w:tcMar>
              <w:top w:type="dxa" w:w="80"/>
              <w:left w:type="dxa" w:w="160"/>
              <w:bottom w:type="dxa" w:w="80"/>
              <w:right w:type="dxa" w:w="160"/>
            </w:tcMar>
            <w:vAlign w:val="center"/>
          </w:tcPr>
          <w:p>
            <w:pPr>
              <w:jc w:val="left"/>
            </w:pPr>
            <w:r>
              <w:rPr>
                <w:rFonts w:ascii="Arial" w:cs="Arial" w:eastAsia="Arial" w:hAnsi="Arial"/>
                <w:b w:val="false"/>
                <w:bCs w:val="false"/>
                <w:color w:val="222222"/>
                <w:sz w:val="20"/>
                <w:szCs w:val="20"/>
              </w:rPr>
              <w:t xml:space="preserve">PLANNED — regulatory path is mapped, not ignored.</w:t>
            </w:r>
          </w:p>
        </w:tc>
      </w:tr>
    </w:tbl>
    <w:p>
      <w:pPr>
        <w:spacing w:after="120" w:before="0"/>
      </w:pPr>
      <w:r>
        <w:rPr>
          <w:rFonts w:ascii="Arial" w:cs="Arial" w:eastAsia="Arial" w:hAnsi="Arial"/>
          <w:b w:val="false"/>
          <w:bCs w:val="false"/>
          <w:color w:val="000000"/>
          <w:sz w:val="22"/>
          <w:szCs w:val="22"/>
        </w:rPr>
        <w:t xml:space="preserve"/>
      </w:r>
    </w:p>
    <w:p>
      <w:pPr>
        <w:pStyle w:val="Heading1"/>
        <w:pBdr>
          <w:bottom w:val="single" w:color="0F7173" w:sz="8" w:space="4"/>
        </w:pBdr>
        <w:spacing w:after="200" w:before="400"/>
      </w:pPr>
      <w:r>
        <w:rPr>
          <w:rFonts w:ascii="Arial" w:cs="Arial" w:eastAsia="Arial" w:hAnsi="Arial"/>
          <w:b/>
          <w:bCs/>
          <w:color w:val="1B3A5C"/>
          <w:sz w:val="34"/>
          <w:szCs w:val="34"/>
        </w:rPr>
        <w:t xml:space="preserve">10. The One-Sentence Pitch</w:t>
      </w:r>
    </w:p>
    <w:p>
      <w:pPr>
        <w:spacing w:after="80" w:before="0"/>
      </w:pPr>
      <w:r>
        <w:rPr>
          <w:rFonts w:ascii="Arial" w:cs="Arial" w:eastAsia="Arial" w:hAnsi="Arial"/>
          <w:b w:val="false"/>
          <w:bCs w:val="false"/>
          <w:color w:val="000000"/>
          <w:sz w:val="22"/>
          <w:szCs w:val="22"/>
        </w:rPr>
        <w:t xml:space="preserve"/>
      </w:r>
    </w:p>
    <w:p>
      <w:pPr>
        <w:shd w:fill="1B3A5C" w:val="clear"/>
        <w:spacing w:after="120" w:before="80"/>
        <w:jc w:val="center"/>
      </w:pPr>
      <w:r>
        <w:rPr>
          <w:rFonts w:ascii="Arial" w:cs="Arial" w:eastAsia="Arial" w:hAnsi="Arial"/>
          <w:b/>
          <w:bCs/>
          <w:color w:val="FFFFFF"/>
          <w:sz w:val="26"/>
          <w:szCs w:val="26"/>
        </w:rPr>
        <w:t xml:space="preserve">ChronicCare gives Algeria's 4.2 million diabetics a 24/7 digital nurse who speaks Darija — monitoring their condition, alerting their family, and reporting to their doctor, without requiring a single hospital visit.</w:t>
      </w:r>
    </w:p>
    <w:p>
      <w:pPr>
        <w:spacing w:after="100" w:before="0"/>
      </w:pPr>
      <w:r>
        <w:rPr>
          <w:rFonts w:ascii="Arial" w:cs="Arial" w:eastAsia="Arial" w:hAnsi="Arial"/>
          <w:b w:val="false"/>
          <w:bCs w:val="false"/>
          <w:color w:val="000000"/>
          <w:sz w:val="22"/>
          <w:szCs w:val="22"/>
        </w:rPr>
        <w:t xml:space="preserve"/>
      </w:r>
    </w:p>
    <w:p>
      <w:pPr>
        <w:spacing w:after="80" w:before="0"/>
        <w:jc w:val="center"/>
      </w:pPr>
      <w:r>
        <w:rPr>
          <w:rFonts w:ascii="Arial" w:cs="Arial" w:eastAsia="Arial" w:hAnsi="Arial"/>
          <w:b w:val="false"/>
          <w:bCs w:val="false"/>
          <w:color w:val="555555"/>
          <w:sz w:val="22"/>
          <w:szCs w:val="22"/>
        </w:rPr>
        <w:t xml:space="preserve">Zero existing competitors. 40 million native speakers. Near-zero MVP cost. A market that has been waiting decades for someone to care enough to speak its language.</w:t>
      </w:r>
    </w:p>
    <w:p>
      <w:pPr>
        <w:spacing w:after="200" w:before="0"/>
      </w:pPr>
      <w:r>
        <w:rPr>
          <w:rFonts w:ascii="Arial" w:cs="Arial" w:eastAsia="Arial" w:hAnsi="Arial"/>
          <w:b w:val="false"/>
          <w:bCs w:val="false"/>
          <w:color w:val="000000"/>
          <w:sz w:val="22"/>
          <w:szCs w:val="22"/>
        </w:rPr>
        <w:t xml:space="preserve"/>
      </w:r>
    </w:p>
    <w:p>
      <w:pPr>
        <w:spacing w:after="60" w:before="0"/>
        <w:jc w:val="center"/>
      </w:pPr>
      <w:r>
        <w:rPr>
          <w:rFonts w:ascii="Arial" w:cs="Arial" w:eastAsia="Arial" w:hAnsi="Arial"/>
          <w:b w:val="false"/>
          <w:bCs w:val="false"/>
          <w:color w:val="555555"/>
          <w:sz w:val="18"/>
          <w:szCs w:val="18"/>
        </w:rPr>
        <w:t xml:space="preserve">BioVatech Innovation Days  |  Axis 2 — ChronicCare (Nour)  |  Club TechWaves ENSB Constantine  |  April 2026</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173" w:sz="6" w:space="4"/>
      </w:pBdr>
    </w:pPr>
    <w:r>
      <w:rPr>
        <w:rFonts w:ascii="Arial" w:cs="Arial" w:eastAsia="Arial" w:hAnsi="Arial"/>
        <w:b w:val="false"/>
        <w:bCs w:val="false"/>
        <w:color w:val="555555"/>
        <w:sz w:val="18"/>
        <w:szCs w:val="18"/>
      </w:rPr>
      <w:t xml:space="preserve">ChronicCare — Nour  |  Business Model Canvas &amp; Investment Brief  |  BioVatech Innovation Days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71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2026-04-27T17:48:29.749Z</dcterms:created>
  <dcterms:modified xsi:type="dcterms:W3CDTF">2026-04-27T17:48:29.750Z</dcterms:modified>
</cp:coreProperties>
</file>

<file path=docProps/custom.xml><?xml version="1.0" encoding="utf-8"?>
<Properties xmlns="http://schemas.openxmlformats.org/officeDocument/2006/custom-properties" xmlns:vt="http://schemas.openxmlformats.org/officeDocument/2006/docPropsVTypes"/>
</file>