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Cheatsheet If-Anweisung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76" w:lineRule="auto"/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Skelett einer If-Anweisung: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1981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(Boolescher Ausdruck){</w:t>
              <w:br w:type="textWrapping"/>
              <w:t xml:space="preserve">  Anweisung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Anweisung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//beliebig viele Anweisungen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(Boolescher Ausdruck) {</w:t>
              <w:br w:type="textWrapping"/>
              <w:t xml:space="preserve">  Anweisung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Anweisung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//beliebig viele Anweisungen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Anweisung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Anweisung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//beliebig viele Anweisungen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Beispiel: 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zahl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(zahl ==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"Zahl ist 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(zahl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"Zahl ist kleiner 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"Zahl ist größer 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Operatoren:</w:t>
      </w:r>
    </w:p>
    <w:tbl>
      <w:tblPr>
        <w:tblStyle w:val="Table3"/>
        <w:tblW w:w="906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65"/>
        <w:gridCol w:w="2400"/>
        <w:gridCol w:w="2130"/>
        <w:gridCol w:w="2266"/>
        <w:tblGridChange w:id="0">
          <w:tblGrid>
            <w:gridCol w:w="2265"/>
            <w:gridCol w:w="2400"/>
            <w:gridCol w:w="2130"/>
            <w:gridCol w:w="2266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==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gleich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&amp;&amp;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Logisches „Und“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!=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ungleich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||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Logisches „Oder“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größer als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kleiner als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&gt;=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größer als oder gleich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&lt;=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kleiner als oder gleich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nsolas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