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Unterrichtsstunde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Switch-Case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Übersicht: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dieser Stunde erhalten die Schüler einen Einblick in die Anwendung der Switch-Anweisung. Zu Beginn soll die Theorie anhand eines Beispiels erklärt werden. Danach sollen die Schüler sich über die Aufgaben, die immer etwas anspruchsvoller werden, mit dem Thema vertraut machen.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Lernziel: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Minimalziel: Die Schüler sollen nach dieser Stunde eine einfach Switch-Anweisung erstellen und verstehen können. Siehe Aufgabe 1 &amp; 2. Des Weiteren soll ihnen bewusst sein in welchen Fällen sie eine Switch-Anweisung verwenden können.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Maximalziel: Die Schüler sollen alle Aufgaben erledigen können und gespannt auf weitere Aufgaben zu anderen Themen sein.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Zeitplan:</w:t>
        <w:tab/>
        <w:tab/>
        <w:tab/>
        <w:tab/>
        <w:tab/>
        <w:tab/>
        <w:tab/>
        <w:tab/>
        <w:tab/>
        <w:t xml:space="preserve">Zeit in min: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Einführung in die Materie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Erklärung einer einfachen Switch-Anweisung</w:t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Erklärung von default</w:t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Skelett einer Switch-Anweisung vorstellen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Übung 1</w:t>
        <w:tab/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Übung 2</w:t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Übung 3</w:t>
        <w:tab/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Übung 4</w:t>
        <w:tab/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Entstandene Fragen klären</w:t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13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Theorie: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Einführung in die Materie: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Switch-Case oder auch Switch-Anweisung wird in ähnlichen Fällen benutzt wie die If-Anweisung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Funktioniert nach dem Prinzip “Wenn Fall a eintritt, dann alpha; Wenn Fall b eintritt, dann beta; etc.”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Erklärung einer einfachen Switch-Anweisung: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Beispiel: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1514792</wp:posOffset>
            </wp:positionH>
            <wp:positionV relativeFrom="paragraph">
              <wp:posOffset>123825</wp:posOffset>
            </wp:positionV>
            <wp:extent cx="2733675" cy="1838325"/>
            <wp:effectExtent b="0" l="0" r="0" t="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- Anhand daran Syntax und Logik erklären.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- Es kann beliebig viele cases geben</w:t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- Switch-Case wird solange ausgeführt bis break erscheint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Erklärung von default: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86225" cy="342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default wird erreicht, wenn keiner der anderen cases zutrifft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Skelett einer Switch-Anweisung vorstellen: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Switch(Ausdruck){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'konstanter Ausdruck_1'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ab/>
              <w:t xml:space="preserve">Anweisung_1;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'konstanter Ausdruck_2'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Anweisung_2;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'konstanter Ausdruck_3'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ab/>
              <w:t xml:space="preserve">Anweisung_3;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ab/>
              <w:t xml:space="preserve">Anweisung Sonstiges;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Übungen: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Übung:</w:t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Switch-Anweisung ein Programm, welches einer Monatszahl den ausgeschriebenen Monat zu teilt.</w:t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Folgender Output soll in der Konsole erscheinen: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1: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"Januar"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2: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"Februar"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Bei 3: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"März"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Usw…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monat = X;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//Für X eine Zahl zwischen 1 und 12 zum Überprüfen des Programms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Übung:</w:t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Switch-Anweisung ein Programm, welches eine Wortbewertung als Notenziffer ausgibt.</w:t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Folgender Output soll in der Konsole erscheinen: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„Sehr gut“: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"Note: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„Gut“: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"Note: 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„Befriedigend“: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"Note: 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„Ausreichend“: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"Note: 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„Mangelhaft“: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"Note: 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„Ungenügend“: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"Note: 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note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//Für X eine Wortbewertung wählen zum Überprüfen des Programms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Übung:</w:t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Switch-Anweisung ein Programm, welches prüft ob es sich bei einem Buchstaben um einen Vokal oder einen Konsonanten handelt.</w:t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Folgender Output soll in der Konsole erscheinen:</w:t>
      </w:r>
    </w:p>
    <w:p w:rsidR="00000000" w:rsidDel="00000000" w:rsidP="00000000" w:rsidRDefault="00000000" w:rsidRPr="00000000" w14:paraId="0000004E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Vokalen: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"Dieser Buchstabe ist ein Vokal"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Konsonanten: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"Dieser Buchstabe ist ein Konsonant"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buchstabe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//Für X ein Buchstabe des deutschen Alphabets zum Überprüfen des Programms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Übung: </w:t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Switch-Anweisung ein Programm, welches die gegebene Farbe ausgibt.</w:t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Verwenden Sie folgende RGB Werte:</w:t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Blau: (0,0,128)</w:t>
        <w:tab/>
        <w:tab/>
        <w:t xml:space="preserve">Gelb: (255,25,0)</w:t>
        <w:tab/>
        <w:tab/>
        <w:t xml:space="preserve">Pink: (255,052,179)</w:t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Rot: (178,34,34)</w:t>
        <w:tab/>
        <w:tab/>
        <w:t xml:space="preserve">Grün: (0,238,118)</w:t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Verwenden sie dafür die Funktion </w:t>
      </w:r>
      <w:r w:rsidDel="00000000" w:rsidR="00000000" w:rsidRPr="00000000">
        <w:rPr>
          <w:rFonts w:ascii="Arial" w:cs="Arial" w:eastAsia="Arial" w:hAnsi="Arial"/>
          <w:shd w:fill="f3f3f3" w:val="clear"/>
          <w:rtl w:val="0"/>
        </w:rPr>
        <w:t xml:space="preserve">background(r,g,b)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farbe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//Für X eine der Farben wählen zum Überprüfen des Programms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Lösungen: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1: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466975" cy="4305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2: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114675" cy="2447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3: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114800" cy="186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4: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181225" cy="2943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