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BIOWELLNESS</w:t>
      </w:r>
    </w:p>
    <w:p>
      <w:pPr>
        <w:jc w:val="center"/>
      </w:pPr>
      <w:r>
        <w:rPr>
          <w:color w:val="2E75B6"/>
          <w:sz w:val="28"/>
        </w:rPr>
        <w:t>Sistema de Gestión Integral</w:t>
      </w:r>
    </w:p>
    <w:p>
      <w:pPr>
        <w:jc w:val="center"/>
      </w:pPr>
      <w:r>
        <w:rPr>
          <w:b/>
          <w:sz w:val="30"/>
        </w:rPr>
        <w:t>Anexo D — Requerimientos de Reportería Excel (Tablero de Gestión)</w:t>
      </w:r>
    </w:p>
    <w:p>
      <w:pPr>
        <w:jc w:val="center"/>
      </w:pPr>
      <w:r>
        <w:rPr>
          <w:color w:val="595959"/>
          <w:sz w:val="22"/>
        </w:rPr>
        <w:t>Amplía la Sección 6.8 del Documento de Requerimientos v4.0 · versión 2</w:t>
      </w:r>
    </w:p>
    <w:p>
      <w:pPr>
        <w:jc w:val="center"/>
      </w:pPr>
      <w:r>
        <w:rPr>
          <w:color w:val="595959"/>
          <w:sz w:val="22"/>
        </w:rPr>
        <w:t>Para: Dr. Alejandro Dalessandro · José (Lead Técnico)</w:t>
      </w:r>
    </w:p>
    <w:p>
      <w:pPr>
        <w:jc w:val="center"/>
      </w:pPr>
      <w:r>
        <w:rPr>
          <w:color w:val="595959"/>
          <w:sz w:val="22"/>
        </w:rPr>
        <w:t>De: Andrés Aizenberg — propietario del sistema</w:t>
      </w:r>
    </w:p>
    <w:p>
      <w:pPr>
        <w:jc w:val="center"/>
      </w:pPr>
      <w:r>
        <w:rPr>
          <w:color w:val="595959"/>
          <w:sz w:val="22"/>
        </w:rPr>
        <w:t>San Isidro, Buenos Aires · Junio 2026</w:t>
      </w:r>
    </w:p>
    <w:p>
      <w:pPr>
        <w:spacing w:after="120"/>
      </w:pPr>
      <w:r>
        <w:rPr>
          <w:i w:val="0"/>
          <w:sz w:val="22"/>
        </w:rPr>
      </w:r>
    </w:p>
    <w:p>
      <w:pPr>
        <w:spacing w:after="200"/>
      </w:pPr>
      <w:r>
        <w:rPr>
          <w:i w:val="0"/>
          <w:sz w:val="22"/>
        </w:rPr>
        <w:t>Este anexo define qué debe producir el sistema en planillas Excel para que Andrés monitoree el negocio al milímetro y comparta un estado de resultados claro con los socios. Acompaña a dos planillas modelo funcionales (BW_Tablero_MENSUAL_Modelo.xlsx y BW_Tablero_ANUAL_Modelo.xlsx) que muestran la estructura, las fórmulas y el aspecto buscados. La planilla modelo manda sobre cualquier ambigüedad de este texto.</w:t>
      </w:r>
    </w:p>
    <w:p>
      <w:pPr>
        <w:spacing w:after="120" w:before="240"/>
      </w:pPr>
      <w:r>
        <w:rPr>
          <w:rFonts w:ascii="Arial" w:hAnsi="Arial"/>
          <w:b/>
          <w:color w:val="1F3864"/>
          <w:sz w:val="30"/>
        </w:rPr>
        <w:t>1.  Objetivo y filosofía</w:t>
      </w:r>
    </w:p>
    <w:p>
      <w:pPr>
        <w:pStyle w:val="ListBullet"/>
        <w:spacing w:after="40"/>
      </w:pPr>
      <w:r>
        <w:rPr>
          <w:b/>
        </w:rPr>
        <w:t xml:space="preserve">Una sola fuente: </w:t>
      </w:r>
      <w:r>
        <w:t>El sistema (Medplum) es la fuente de la verdad. La reportería Excel es una capa de exportación, no un sistema paralelo.</w:t>
      </w:r>
    </w:p>
    <w:p>
      <w:pPr>
        <w:pStyle w:val="ListBullet"/>
        <w:spacing w:after="40"/>
      </w:pPr>
      <w:r>
        <w:rPr>
          <w:b/>
        </w:rPr>
        <w:t xml:space="preserve">Simple, no simplista: </w:t>
      </w:r>
      <w:r>
        <w:t>Andrés y los socios no son analistas financieros. Las planillas se entienden en 30 segundos: dashboard arriba, detalle abajo, colores consistentes, cero jerga. Simple, pero con análisis inteligente automático.</w:t>
      </w:r>
    </w:p>
    <w:p>
      <w:pPr>
        <w:pStyle w:val="ListBullet"/>
        <w:spacing w:after="40"/>
      </w:pPr>
      <w:r>
        <w:rPr>
          <w:b/>
        </w:rPr>
        <w:t xml:space="preserve">Diario → Mensual → Anual: </w:t>
      </w:r>
      <w:r>
        <w:t>Lo diario alimenta lo mensual, y lo mensual alimenta lo anual. El usuario nunca recalcula a mano.</w:t>
      </w:r>
    </w:p>
    <w:p>
      <w:pPr>
        <w:pStyle w:val="ListBullet"/>
        <w:spacing w:after="40"/>
      </w:pPr>
      <w:r>
        <w:rPr>
          <w:b/>
        </w:rPr>
        <w:t xml:space="preserve">Un clic: </w:t>
      </w:r>
      <w:r>
        <w:t>Exportable a .xlsx con un clic, siempre actualizado, en ARS y USD. El .xlsx mensual es además el informe que Andrés envía a los socios.</w:t>
      </w:r>
    </w:p>
    <w:p>
      <w:pPr>
        <w:spacing w:after="120" w:before="240"/>
      </w:pPr>
      <w:r>
        <w:rPr>
          <w:rFonts w:ascii="Arial" w:hAnsi="Arial"/>
          <w:b/>
          <w:color w:val="1F3864"/>
          <w:sz w:val="30"/>
        </w:rPr>
        <w:t>2.  Arquitectura de la reportería (carga híbrida)</w:t>
      </w:r>
    </w:p>
    <w:p>
      <w:pPr>
        <w:spacing w:after="120"/>
      </w:pPr>
      <w:r>
        <w:rPr>
          <w:i w:val="0"/>
          <w:sz w:val="22"/>
        </w:rPr>
        <w:t>Modelo híbrido: el sistema vuelca solo lo que sabe (ingresos cobrados, sesiones, ocupación) y el usuario carga lo que el sistema no puede saber (caja chica del día, gastos operativos del mes, y el resultado neto del Bar).</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fill="2E75B6"/>
          </w:tcPr>
          <w:p>
            <w:r/>
            <w:r>
              <w:rPr>
                <w:b/>
                <w:color w:val="FFFFFF"/>
                <w:sz w:val="20"/>
              </w:rPr>
              <w:t>Nivel</w:t>
            </w:r>
          </w:p>
        </w:tc>
        <w:tc>
          <w:tcPr>
            <w:tcW w:type="dxa" w:w="5328"/>
            <w:shd w:val="clear" w:fill="2E75B6"/>
          </w:tcPr>
          <w:p>
            <w:r/>
            <w:r>
              <w:rPr>
                <w:b/>
                <w:color w:val="FFFFFF"/>
                <w:sz w:val="20"/>
              </w:rPr>
              <w:t>Qué contiene</w:t>
            </w:r>
          </w:p>
        </w:tc>
        <w:tc>
          <w:tcPr>
            <w:tcW w:type="dxa" w:w="4320"/>
            <w:shd w:val="clear" w:fill="2E75B6"/>
          </w:tcPr>
          <w:p>
            <w:r/>
            <w:r>
              <w:rPr>
                <w:b/>
                <w:color w:val="FFFFFF"/>
                <w:sz w:val="20"/>
              </w:rPr>
              <w:t>Cómo se llena</w:t>
            </w:r>
          </w:p>
        </w:tc>
      </w:tr>
      <w:tr>
        <w:tc>
          <w:tcPr>
            <w:tcW w:type="dxa" w:w="1152"/>
          </w:tcPr>
          <w:p>
            <w:r/>
            <w:r>
              <w:rPr>
                <w:sz w:val="20"/>
              </w:rPr>
              <w:t>Diario</w:t>
            </w:r>
          </w:p>
        </w:tc>
        <w:tc>
          <w:tcPr>
            <w:tcW w:type="dxa" w:w="5328"/>
          </w:tcPr>
          <w:p>
            <w:r/>
            <w:r>
              <w:rPr>
                <w:sz w:val="20"/>
              </w:rPr>
              <w:t>Caja del día + sesiones + utilización por recurso + cierre diario con saldo acumulado</w:t>
            </w:r>
          </w:p>
        </w:tc>
        <w:tc>
          <w:tcPr>
            <w:tcW w:type="dxa" w:w="4320"/>
          </w:tcPr>
          <w:p>
            <w:r/>
            <w:r>
              <w:rPr>
                <w:sz w:val="20"/>
              </w:rPr>
              <w:t>Ingresos y sesiones: automático. Caja chica: manual de recepción</w:t>
            </w:r>
          </w:p>
        </w:tc>
      </w:tr>
      <w:tr>
        <w:tc>
          <w:tcPr>
            <w:tcW w:type="dxa" w:w="1152"/>
          </w:tcPr>
          <w:p>
            <w:r/>
            <w:r>
              <w:rPr>
                <w:sz w:val="20"/>
              </w:rPr>
              <w:t>Mensual</w:t>
            </w:r>
          </w:p>
        </w:tc>
        <w:tc>
          <w:tcPr>
            <w:tcW w:type="dxa" w:w="5328"/>
          </w:tcPr>
          <w:p>
            <w:r/>
            <w:r>
              <w:rPr>
                <w:sz w:val="20"/>
              </w:rPr>
              <w:t>Resumen del mes, estado de resultados, KPIs, membresías/MRR, distribución por socio</w:t>
            </w:r>
          </w:p>
        </w:tc>
        <w:tc>
          <w:tcPr>
            <w:tcW w:type="dxa" w:w="4320"/>
          </w:tcPr>
          <w:p>
            <w:r/>
            <w:r>
              <w:rPr>
                <w:sz w:val="20"/>
              </w:rPr>
              <w:t>Solo desde lo diario; gastos operativos y Bar los carga Andrés</w:t>
            </w:r>
          </w:p>
        </w:tc>
      </w:tr>
      <w:tr>
        <w:tc>
          <w:tcPr>
            <w:tcW w:type="dxa" w:w="1152"/>
          </w:tcPr>
          <w:p>
            <w:r/>
            <w:r>
              <w:rPr>
                <w:sz w:val="20"/>
              </w:rPr>
              <w:t>Anual</w:t>
            </w:r>
          </w:p>
        </w:tc>
        <w:tc>
          <w:tcPr>
            <w:tcW w:type="dxa" w:w="5328"/>
          </w:tcPr>
          <w:p>
            <w:r/>
            <w:r>
              <w:rPr>
                <w:sz w:val="20"/>
              </w:rPr>
              <w:t>Los 12 meses consolidados + evolución + distribución por socio</w:t>
            </w:r>
          </w:p>
        </w:tc>
        <w:tc>
          <w:tcPr>
            <w:tcW w:type="dxa" w:w="4320"/>
          </w:tcPr>
          <w:p>
            <w:r/>
            <w:r>
              <w:rPr>
                <w:sz w:val="20"/>
              </w:rPr>
              <w:t>Solo, al cerrar cada mes</w:t>
            </w:r>
          </w:p>
        </w:tc>
      </w:tr>
    </w:tbl>
    <w:p>
      <w:pPr>
        <w:spacing w:after="120"/>
      </w:pPr>
      <w:r>
        <w:rPr>
          <w:i w:val="0"/>
          <w:sz w:val="22"/>
        </w:rPr>
      </w:r>
    </w:p>
    <w:p>
      <w:pPr>
        <w:spacing w:after="120"/>
      </w:pPr>
      <w:r>
        <w:rPr>
          <w:i/>
          <w:color w:val="595959"/>
          <w:sz w:val="22"/>
        </w:rPr>
        <w:t>En la planilla modelo, diario→mensual es 100% automático por fórmulas. Mensual→anual se hace con un cierre de mes (se pegan los totales). En el sistema definitivo, los tres niveles se encadenan solos.</w:t>
      </w:r>
    </w:p>
    <w:p>
      <w:pPr>
        <w:spacing w:after="120" w:before="240"/>
      </w:pPr>
      <w:r>
        <w:rPr>
          <w:rFonts w:ascii="Arial" w:hAnsi="Arial"/>
          <w:b/>
          <w:color w:val="1F3864"/>
          <w:sz w:val="30"/>
        </w:rPr>
        <w:t>3.  Nivel diario — qué captura el sistema</w:t>
      </w:r>
    </w:p>
    <w:p>
      <w:pPr>
        <w:spacing w:after="120"/>
      </w:pPr>
      <w:r>
        <w:rPr>
          <w:i w:val="0"/>
          <w:sz w:val="22"/>
        </w:rPr>
        <w:t>El día se modela con DOS registros separados, porque plata y ocupación son cosas distintas: un socio que viene a una sesión ya pagada consume un recurso pero no genera caja ese día.</w:t>
      </w:r>
    </w:p>
    <w:p>
      <w:pPr>
        <w:spacing w:after="80" w:before="160"/>
      </w:pPr>
      <w:r>
        <w:rPr>
          <w:rFonts w:ascii="Arial" w:hAnsi="Arial"/>
          <w:b/>
          <w:color w:val="2E75B6"/>
          <w:sz w:val="24"/>
        </w:rPr>
        <w:t>3.1  Caja Diaria (movimientos de plata)</w:t>
      </w:r>
    </w:p>
    <w:tbl>
      <w:tblPr>
        <w:tblStyle w:val="TableGrid"/>
        <w:tblW w:type="auto" w:w="0"/>
        <w:jc w:val="center"/>
        <w:tblLook w:firstColumn="1" w:firstRow="1" w:lastColumn="0" w:lastRow="0" w:noHBand="0" w:noVBand="1" w:val="04A0"/>
      </w:tblPr>
      <w:tblGrid>
        <w:gridCol w:w="4320"/>
        <w:gridCol w:w="4320"/>
      </w:tblGrid>
      <w:tr>
        <w:tc>
          <w:tcPr>
            <w:tcW w:type="dxa" w:w="2592"/>
            <w:shd w:val="clear" w:fill="2E75B6"/>
          </w:tcPr>
          <w:p>
            <w:r/>
            <w:r>
              <w:rPr>
                <w:b/>
                <w:color w:val="FFFFFF"/>
                <w:sz w:val="20"/>
              </w:rPr>
              <w:t>Campo</w:t>
            </w:r>
          </w:p>
        </w:tc>
        <w:tc>
          <w:tcPr>
            <w:tcW w:type="dxa" w:w="8208"/>
            <w:shd w:val="clear" w:fill="2E75B6"/>
          </w:tcPr>
          <w:p>
            <w:r/>
            <w:r>
              <w:rPr>
                <w:b/>
                <w:color w:val="FFFFFF"/>
                <w:sz w:val="20"/>
              </w:rPr>
              <w:t>Descripción</w:t>
            </w:r>
          </w:p>
        </w:tc>
      </w:tr>
      <w:tr>
        <w:tc>
          <w:tcPr>
            <w:tcW w:type="dxa" w:w="2592"/>
          </w:tcPr>
          <w:p>
            <w:r/>
            <w:r>
              <w:rPr>
                <w:sz w:val="20"/>
              </w:rPr>
              <w:t>Fecha</w:t>
            </w:r>
          </w:p>
        </w:tc>
        <w:tc>
          <w:tcPr>
            <w:tcW w:type="dxa" w:w="8208"/>
          </w:tcPr>
          <w:p>
            <w:r/>
            <w:r>
              <w:rPr>
                <w:sz w:val="20"/>
              </w:rPr>
              <w:t>Día del movimiento</w:t>
            </w:r>
          </w:p>
        </w:tc>
      </w:tr>
      <w:tr>
        <w:tc>
          <w:tcPr>
            <w:tcW w:type="dxa" w:w="2592"/>
          </w:tcPr>
          <w:p>
            <w:r/>
            <w:r>
              <w:rPr>
                <w:sz w:val="20"/>
              </w:rPr>
              <w:t>Tipo</w:t>
            </w:r>
          </w:p>
        </w:tc>
        <w:tc>
          <w:tcPr>
            <w:tcW w:type="dxa" w:w="8208"/>
          </w:tcPr>
          <w:p>
            <w:r/>
            <w:r>
              <w:rPr>
                <w:sz w:val="20"/>
              </w:rPr>
              <w:t>Ingreso / Egreso</w:t>
            </w:r>
          </w:p>
        </w:tc>
      </w:tr>
      <w:tr>
        <w:tc>
          <w:tcPr>
            <w:tcW w:type="dxa" w:w="2592"/>
          </w:tcPr>
          <w:p>
            <w:r/>
            <w:r>
              <w:rPr>
                <w:sz w:val="20"/>
              </w:rPr>
              <w:t>Línea / Categoría</w:t>
            </w:r>
          </w:p>
        </w:tc>
        <w:tc>
          <w:tcPr>
            <w:tcW w:type="dxa" w:w="8208"/>
          </w:tcPr>
          <w:p>
            <w:r/>
            <w:r>
              <w:rPr>
                <w:sz w:val="20"/>
              </w:rPr>
              <w:t>Ingresos: Membresías, Sueltas &amp; Combos, Paquetes, IV + Terapias Biológicas, Otros. Egresos: caja chica (insumos menores, limpieza, viáticos, mantenimiento menor, varios)</w:t>
            </w:r>
          </w:p>
        </w:tc>
      </w:tr>
      <w:tr>
        <w:tc>
          <w:tcPr>
            <w:tcW w:type="dxa" w:w="2592"/>
          </w:tcPr>
          <w:p>
            <w:r/>
            <w:r>
              <w:rPr>
                <w:sz w:val="20"/>
              </w:rPr>
              <w:t>Detalle</w:t>
            </w:r>
          </w:p>
        </w:tc>
        <w:tc>
          <w:tcPr>
            <w:tcW w:type="dxa" w:w="8208"/>
          </w:tcPr>
          <w:p>
            <w:r/>
            <w:r>
              <w:rPr>
                <w:sz w:val="20"/>
              </w:rPr>
              <w:t>Texto libre</w:t>
            </w:r>
          </w:p>
        </w:tc>
      </w:tr>
      <w:tr>
        <w:tc>
          <w:tcPr>
            <w:tcW w:type="dxa" w:w="2592"/>
          </w:tcPr>
          <w:p>
            <w:r/>
            <w:r>
              <w:rPr>
                <w:sz w:val="20"/>
              </w:rPr>
              <w:t>Método de pago</w:t>
            </w:r>
          </w:p>
        </w:tc>
        <w:tc>
          <w:tcPr>
            <w:tcW w:type="dxa" w:w="8208"/>
          </w:tcPr>
          <w:p>
            <w:r/>
            <w:r>
              <w:rPr>
                <w:sz w:val="20"/>
              </w:rPr>
              <w:t>Efectivo / Débito / Crédito / Transferencia / MercadoPago</w:t>
            </w:r>
          </w:p>
        </w:tc>
      </w:tr>
      <w:tr>
        <w:tc>
          <w:tcPr>
            <w:tcW w:type="dxa" w:w="2592"/>
          </w:tcPr>
          <w:p>
            <w:r/>
            <w:r>
              <w:rPr>
                <w:sz w:val="20"/>
              </w:rPr>
              <w:t>Monto ARS</w:t>
            </w:r>
          </w:p>
        </w:tc>
        <w:tc>
          <w:tcPr>
            <w:tcW w:type="dxa" w:w="8208"/>
          </w:tcPr>
          <w:p>
            <w:r/>
            <w:r>
              <w:rPr>
                <w:sz w:val="20"/>
              </w:rPr>
              <w:t>Importe en pesos</w:t>
            </w:r>
          </w:p>
        </w:tc>
      </w:tr>
      <w:tr>
        <w:tc>
          <w:tcPr>
            <w:tcW w:type="dxa" w:w="2592"/>
          </w:tcPr>
          <w:p>
            <w:r/>
            <w:r>
              <w:rPr>
                <w:sz w:val="20"/>
              </w:rPr>
              <w:t>Monto USD</w:t>
            </w:r>
          </w:p>
        </w:tc>
        <w:tc>
          <w:tcPr>
            <w:tcW w:type="dxa" w:w="8208"/>
          </w:tcPr>
          <w:p>
            <w:r/>
            <w:r>
              <w:rPr>
                <w:sz w:val="20"/>
              </w:rPr>
              <w:t>Calculado: ARS ÷ TC del período</w:t>
            </w:r>
          </w:p>
        </w:tc>
      </w:tr>
    </w:tbl>
    <w:p>
      <w:pPr>
        <w:spacing w:after="120"/>
      </w:pPr>
      <w:r>
        <w:rPr>
          <w:i/>
          <w:color w:val="595959"/>
          <w:sz w:val="22"/>
        </w:rPr>
        <w:t>Importante: el Bar NO se carga acá. Es una unidad de negocio aparte (ver §5.5).</w:t>
      </w:r>
    </w:p>
    <w:p>
      <w:pPr>
        <w:spacing w:after="80" w:before="160"/>
      </w:pPr>
      <w:r>
        <w:rPr>
          <w:rFonts w:ascii="Arial" w:hAnsi="Arial"/>
          <w:b/>
          <w:color w:val="2E75B6"/>
          <w:sz w:val="24"/>
        </w:rPr>
        <w:t>3.2  Sesiones (uso de recursos)</w:t>
      </w:r>
    </w:p>
    <w:tbl>
      <w:tblPr>
        <w:tblStyle w:val="TableGrid"/>
        <w:tblW w:type="auto" w:w="0"/>
        <w:jc w:val="center"/>
        <w:tblLook w:firstColumn="1" w:firstRow="1" w:lastColumn="0" w:lastRow="0" w:noHBand="0" w:noVBand="1" w:val="04A0"/>
      </w:tblPr>
      <w:tblGrid>
        <w:gridCol w:w="4320"/>
        <w:gridCol w:w="4320"/>
      </w:tblGrid>
      <w:tr>
        <w:tc>
          <w:tcPr>
            <w:tcW w:type="dxa" w:w="2592"/>
            <w:shd w:val="clear" w:fill="2E75B6"/>
          </w:tcPr>
          <w:p>
            <w:r/>
            <w:r>
              <w:rPr>
                <w:b/>
                <w:color w:val="FFFFFF"/>
                <w:sz w:val="20"/>
              </w:rPr>
              <w:t>Campo</w:t>
            </w:r>
          </w:p>
        </w:tc>
        <w:tc>
          <w:tcPr>
            <w:tcW w:type="dxa" w:w="8208"/>
            <w:shd w:val="clear" w:fill="2E75B6"/>
          </w:tcPr>
          <w:p>
            <w:r/>
            <w:r>
              <w:rPr>
                <w:b/>
                <w:color w:val="FFFFFF"/>
                <w:sz w:val="20"/>
              </w:rPr>
              <w:t>Descripción</w:t>
            </w:r>
          </w:p>
        </w:tc>
      </w:tr>
      <w:tr>
        <w:tc>
          <w:tcPr>
            <w:tcW w:type="dxa" w:w="2592"/>
          </w:tcPr>
          <w:p>
            <w:r/>
            <w:r>
              <w:rPr>
                <w:sz w:val="20"/>
              </w:rPr>
              <w:t>Fecha</w:t>
            </w:r>
          </w:p>
        </w:tc>
        <w:tc>
          <w:tcPr>
            <w:tcW w:type="dxa" w:w="8208"/>
          </w:tcPr>
          <w:p>
            <w:r/>
            <w:r>
              <w:rPr>
                <w:sz w:val="20"/>
              </w:rPr>
              <w:t>Día de la sesión</w:t>
            </w:r>
          </w:p>
        </w:tc>
      </w:tr>
      <w:tr>
        <w:tc>
          <w:tcPr>
            <w:tcW w:type="dxa" w:w="2592"/>
          </w:tcPr>
          <w:p>
            <w:r/>
            <w:r>
              <w:rPr>
                <w:sz w:val="20"/>
              </w:rPr>
              <w:t>Recurso</w:t>
            </w:r>
          </w:p>
        </w:tc>
        <w:tc>
          <w:tcPr>
            <w:tcW w:type="dxa" w:w="8208"/>
          </w:tcPr>
          <w:p>
            <w:r/>
            <w:r>
              <w:rPr>
                <w:sz w:val="20"/>
              </w:rPr>
              <w:t>Recurso físico usado (lista cerrada, §4)</w:t>
            </w:r>
          </w:p>
        </w:tc>
      </w:tr>
      <w:tr>
        <w:tc>
          <w:tcPr>
            <w:tcW w:type="dxa" w:w="2592"/>
          </w:tcPr>
          <w:p>
            <w:r/>
            <w:r>
              <w:rPr>
                <w:sz w:val="20"/>
              </w:rPr>
              <w:t>Servicio / Combo</w:t>
            </w:r>
          </w:p>
        </w:tc>
        <w:tc>
          <w:tcPr>
            <w:tcW w:type="dxa" w:w="8208"/>
          </w:tcPr>
          <w:p>
            <w:r/>
            <w:r>
              <w:rPr>
                <w:sz w:val="20"/>
              </w:rPr>
              <w:t>Qué se prestó</w:t>
            </w:r>
          </w:p>
        </w:tc>
      </w:tr>
      <w:tr>
        <w:tc>
          <w:tcPr>
            <w:tcW w:type="dxa" w:w="2592"/>
          </w:tcPr>
          <w:p>
            <w:r/>
            <w:r>
              <w:rPr>
                <w:sz w:val="20"/>
              </w:rPr>
              <w:t>Ocupantes</w:t>
            </w:r>
          </w:p>
        </w:tc>
        <w:tc>
          <w:tcPr>
            <w:tcW w:type="dxa" w:w="8208"/>
          </w:tcPr>
          <w:p>
            <w:r/>
            <w:r>
              <w:rPr>
                <w:sz w:val="20"/>
              </w:rPr>
              <w:t>1 o más (multiplaza/biplaza)</w:t>
            </w:r>
          </w:p>
        </w:tc>
      </w:tr>
      <w:tr>
        <w:tc>
          <w:tcPr>
            <w:tcW w:type="dxa" w:w="2592"/>
          </w:tcPr>
          <w:p>
            <w:r/>
            <w:r>
              <w:rPr>
                <w:sz w:val="20"/>
              </w:rPr>
              <w:t>¿Socio?</w:t>
            </w:r>
          </w:p>
        </w:tc>
        <w:tc>
          <w:tcPr>
            <w:tcW w:type="dxa" w:w="8208"/>
          </w:tcPr>
          <w:p>
            <w:r/>
            <w:r>
              <w:rPr>
                <w:sz w:val="20"/>
              </w:rPr>
              <w:t>Sí/No — distingue consumo de membresía de venta suelta</w:t>
            </w:r>
          </w:p>
        </w:tc>
      </w:tr>
      <w:tr>
        <w:tc>
          <w:tcPr>
            <w:tcW w:type="dxa" w:w="2592"/>
          </w:tcPr>
          <w:p>
            <w:r/>
            <w:r>
              <w:rPr>
                <w:sz w:val="20"/>
              </w:rPr>
              <w:t>Paciente</w:t>
            </w:r>
          </w:p>
        </w:tc>
        <w:tc>
          <w:tcPr>
            <w:tcW w:type="dxa" w:w="8208"/>
          </w:tcPr>
          <w:p>
            <w:r/>
            <w:r>
              <w:rPr>
                <w:sz w:val="20"/>
              </w:rPr>
              <w:t>Identificación</w:t>
            </w:r>
          </w:p>
        </w:tc>
      </w:tr>
    </w:tbl>
    <w:p>
      <w:pPr>
        <w:spacing w:after="120"/>
      </w:pPr>
      <w:r>
        <w:rPr>
          <w:i/>
          <w:color w:val="595959"/>
          <w:sz w:val="22"/>
        </w:rPr>
        <w:t>Cada sesión realizada genera una fila acá, la pague un socio o no. Este registro alimenta la utilización; el de Caja alimenta la plata.</w:t>
      </w:r>
    </w:p>
    <w:p>
      <w:pPr>
        <w:spacing w:after="120" w:before="240"/>
      </w:pPr>
      <w:r>
        <w:rPr>
          <w:rFonts w:ascii="Arial" w:hAnsi="Arial"/>
          <w:b/>
          <w:color w:val="1F3864"/>
          <w:sz w:val="30"/>
        </w:rPr>
        <w:t>4.  Recursos y regla de utilización</w:t>
      </w:r>
    </w:p>
    <w:p>
      <w:pPr>
        <w:spacing w:after="120"/>
      </w:pPr>
      <w:r>
        <w:rPr>
          <w:i w:val="0"/>
          <w:sz w:val="22"/>
        </w:rPr>
        <w:t>Recursos cuya ocupación se mide: HBOT Monoplaza · HBOT Biplaza · HBOT Multiplaza · IHHT 1 · IHHT 2 · Recovery Pro Gabinete 1 · Recovery Pro Gabinete 2 · Red Light · Compresión (IPC06) · Crio (COT03) · Camilla de masajes · Consultorio médico · Sala TB / IV.</w:t>
      </w:r>
    </w:p>
    <w:p>
      <w:pPr>
        <w:pStyle w:val="ListBullet"/>
        <w:spacing w:after="40"/>
      </w:pPr>
      <w:r>
        <w:t>Slots por día = (horas operativas × 60) ÷ duración de la sesión del recurso. Ej.: HBOT (60 min) con 12 h = 12 slots/día.</w:t>
      </w:r>
    </w:p>
    <w:p>
      <w:pPr>
        <w:pStyle w:val="ListBullet"/>
        <w:spacing w:after="40"/>
      </w:pPr>
      <w:r>
        <w:t>Capacidad mensual = slots/día × días operativos del mes.</w:t>
      </w:r>
    </w:p>
    <w:p>
      <w:pPr>
        <w:pStyle w:val="ListBullet"/>
        <w:spacing w:after="40"/>
      </w:pPr>
      <w:r>
        <w:t>Utilización = sesiones realizadas ÷ capacidad (del día para la vista diaria, del mes para la mensual).</w:t>
      </w:r>
    </w:p>
    <w:p>
      <w:pPr>
        <w:pStyle w:val="ListBullet"/>
        <w:spacing w:after="40"/>
      </w:pPr>
      <w:r>
        <w:t>Una sesión ocupa un slot independientemente de los ocupantes (un multiplaza con 3 personas = 1 slot, pero 3 ocupantes para ingresos).</w:t>
      </w:r>
    </w:p>
    <w:p>
      <w:pPr>
        <w:spacing w:after="120"/>
      </w:pPr>
      <w:r>
        <w:rPr>
          <w:i/>
          <w:color w:val="595959"/>
          <w:sz w:val="22"/>
        </w:rPr>
        <w:t>Regla R-07: Recovery Pro Gabinete 1 y 2 comparten 2 tumbonas Red Light; su capacidad está acoplada y el cálculo de slots debe poder ajustarse.</w:t>
      </w:r>
    </w:p>
    <w:p>
      <w:pPr>
        <w:spacing w:after="120" w:before="240"/>
      </w:pPr>
      <w:r>
        <w:rPr>
          <w:rFonts w:ascii="Arial" w:hAnsi="Arial"/>
          <w:b/>
          <w:color w:val="1F3864"/>
          <w:sz w:val="30"/>
        </w:rPr>
        <w:t>5.  Nivel mensual — pestañas y contenido</w:t>
      </w:r>
    </w:p>
    <w:tbl>
      <w:tblPr>
        <w:tblStyle w:val="TableGrid"/>
        <w:tblW w:type="auto" w:w="0"/>
        <w:jc w:val="center"/>
        <w:tblLook w:firstColumn="1" w:firstRow="1" w:lastColumn="0" w:lastRow="0" w:noHBand="0" w:noVBand="1" w:val="04A0"/>
      </w:tblPr>
      <w:tblGrid>
        <w:gridCol w:w="4320"/>
        <w:gridCol w:w="4320"/>
      </w:tblGrid>
      <w:tr>
        <w:tc>
          <w:tcPr>
            <w:tcW w:type="dxa" w:w="2736"/>
            <w:shd w:val="clear" w:fill="2E75B6"/>
          </w:tcPr>
          <w:p>
            <w:r/>
            <w:r>
              <w:rPr>
                <w:b/>
                <w:color w:val="FFFFFF"/>
                <w:sz w:val="20"/>
              </w:rPr>
              <w:t>Pestaña</w:t>
            </w:r>
          </w:p>
        </w:tc>
        <w:tc>
          <w:tcPr>
            <w:tcW w:type="dxa" w:w="8064"/>
            <w:shd w:val="clear" w:fill="2E75B6"/>
          </w:tcPr>
          <w:p>
            <w:r/>
            <w:r>
              <w:rPr>
                <w:b/>
                <w:color w:val="FFFFFF"/>
                <w:sz w:val="20"/>
              </w:rPr>
              <w:t>Contenido</w:t>
            </w:r>
          </w:p>
        </w:tc>
      </w:tr>
      <w:tr>
        <w:tc>
          <w:tcPr>
            <w:tcW w:type="dxa" w:w="2736"/>
          </w:tcPr>
          <w:p>
            <w:r/>
            <w:r>
              <w:rPr>
                <w:sz w:val="20"/>
              </w:rPr>
              <w:t>Parámetros</w:t>
            </w:r>
          </w:p>
        </w:tc>
        <w:tc>
          <w:tcPr>
            <w:tcW w:type="dxa" w:w="8064"/>
          </w:tcPr>
          <w:p>
            <w:r/>
            <w:r>
              <w:rPr>
                <w:sz w:val="20"/>
              </w:rPr>
              <w:t>TC del mes, días/horas operativas, capacidad por recurso, saldo inicial de caja chica, precios de referencia</w:t>
            </w:r>
          </w:p>
        </w:tc>
      </w:tr>
      <w:tr>
        <w:tc>
          <w:tcPr>
            <w:tcW w:type="dxa" w:w="2736"/>
          </w:tcPr>
          <w:p>
            <w:r/>
            <w:r>
              <w:rPr>
                <w:sz w:val="20"/>
              </w:rPr>
              <w:t>Caja Diaria</w:t>
            </w:r>
          </w:p>
        </w:tc>
        <w:tc>
          <w:tcPr>
            <w:tcW w:type="dxa" w:w="8064"/>
          </w:tcPr>
          <w:p>
            <w:r/>
            <w:r>
              <w:rPr>
                <w:sz w:val="20"/>
              </w:rPr>
              <w:t>Registro §3.1</w:t>
            </w:r>
          </w:p>
        </w:tc>
      </w:tr>
      <w:tr>
        <w:tc>
          <w:tcPr>
            <w:tcW w:type="dxa" w:w="2736"/>
          </w:tcPr>
          <w:p>
            <w:r/>
            <w:r>
              <w:rPr>
                <w:sz w:val="20"/>
              </w:rPr>
              <w:t>Sesiones</w:t>
            </w:r>
          </w:p>
        </w:tc>
        <w:tc>
          <w:tcPr>
            <w:tcW w:type="dxa" w:w="8064"/>
          </w:tcPr>
          <w:p>
            <w:r/>
            <w:r>
              <w:rPr>
                <w:sz w:val="20"/>
              </w:rPr>
              <w:t>Registro §3.2</w:t>
            </w:r>
          </w:p>
        </w:tc>
      </w:tr>
      <w:tr>
        <w:tc>
          <w:tcPr>
            <w:tcW w:type="dxa" w:w="2736"/>
          </w:tcPr>
          <w:p>
            <w:r/>
            <w:r>
              <w:rPr>
                <w:sz w:val="20"/>
              </w:rPr>
              <w:t>Resumen Diario</w:t>
            </w:r>
          </w:p>
        </w:tc>
        <w:tc>
          <w:tcPr>
            <w:tcW w:type="dxa" w:w="8064"/>
          </w:tcPr>
          <w:p>
            <w:r/>
            <w:r>
              <w:rPr>
                <w:sz w:val="20"/>
              </w:rPr>
              <w:t>Un renglón por día: ingresos, egresos, saldo del día, saldo acumulado del mes, caja chica acumulada y % de utilización por recurso (§5.4)</w:t>
            </w:r>
          </w:p>
        </w:tc>
      </w:tr>
      <w:tr>
        <w:tc>
          <w:tcPr>
            <w:tcW w:type="dxa" w:w="2736"/>
          </w:tcPr>
          <w:p>
            <w:r/>
            <w:r>
              <w:rPr>
                <w:sz w:val="20"/>
              </w:rPr>
              <w:t>Membresías &amp; Combos</w:t>
            </w:r>
          </w:p>
        </w:tc>
        <w:tc>
          <w:tcPr>
            <w:tcW w:type="dxa" w:w="8064"/>
          </w:tcPr>
          <w:p>
            <w:r/>
            <w:r>
              <w:rPr>
                <w:sz w:val="20"/>
              </w:rPr>
              <w:t>Socios activos por plan, MRR y combos vendidos (§5.6)</w:t>
            </w:r>
          </w:p>
        </w:tc>
      </w:tr>
      <w:tr>
        <w:tc>
          <w:tcPr>
            <w:tcW w:type="dxa" w:w="2736"/>
          </w:tcPr>
          <w:p>
            <w:r/>
            <w:r>
              <w:rPr>
                <w:sz w:val="20"/>
              </w:rPr>
              <w:t>Formas de Pago</w:t>
            </w:r>
          </w:p>
        </w:tc>
        <w:tc>
          <w:tcPr>
            <w:tcW w:type="dxa" w:w="8064"/>
          </w:tcPr>
          <w:p>
            <w:r/>
            <w:r>
              <w:rPr>
                <w:sz w:val="20"/>
              </w:rPr>
              <w:t>Desglose por medio de pago: % diario, mensual y anual (§5.8)</w:t>
            </w:r>
          </w:p>
        </w:tc>
      </w:tr>
      <w:tr>
        <w:tc>
          <w:tcPr>
            <w:tcW w:type="dxa" w:w="2736"/>
          </w:tcPr>
          <w:p>
            <w:r/>
            <w:r>
              <w:rPr>
                <w:sz w:val="20"/>
              </w:rPr>
              <w:t>Gastos del Mes</w:t>
            </w:r>
          </w:p>
        </w:tc>
        <w:tc>
          <w:tcPr>
            <w:tcW w:type="dxa" w:w="8064"/>
          </w:tcPr>
          <w:p>
            <w:r/>
            <w:r>
              <w:rPr>
                <w:sz w:val="20"/>
              </w:rPr>
              <w:t>Gastos operativos (algunos automáticos, ver §5.9)</w:t>
            </w:r>
          </w:p>
        </w:tc>
      </w:tr>
      <w:tr>
        <w:tc>
          <w:tcPr>
            <w:tcW w:type="dxa" w:w="2736"/>
          </w:tcPr>
          <w:p>
            <w:r/>
            <w:r>
              <w:rPr>
                <w:sz w:val="20"/>
              </w:rPr>
              <w:t>Empleados</w:t>
            </w:r>
          </w:p>
        </w:tc>
        <w:tc>
          <w:tcPr>
            <w:tcW w:type="dxa" w:w="8064"/>
          </w:tcPr>
          <w:p>
            <w:r/>
            <w:r>
              <w:rPr>
                <w:sz w:val="20"/>
              </w:rPr>
              <w:t>Sueldos por empleado + cargas sociales; su total alimenta Gastos del Mes (§5.9)</w:t>
            </w:r>
          </w:p>
        </w:tc>
      </w:tr>
      <w:tr>
        <w:tc>
          <w:tcPr>
            <w:tcW w:type="dxa" w:w="2736"/>
          </w:tcPr>
          <w:p>
            <w:r/>
            <w:r>
              <w:rPr>
                <w:sz w:val="20"/>
              </w:rPr>
              <w:t>Gastos Varios</w:t>
            </w:r>
          </w:p>
        </w:tc>
        <w:tc>
          <w:tcPr>
            <w:tcW w:type="dxa" w:w="8064"/>
          </w:tcPr>
          <w:p>
            <w:r/>
            <w:r>
              <w:rPr>
                <w:sz w:val="20"/>
              </w:rPr>
              <w:t>Detalle de gastos varios; su total alimenta Gastos del Mes (§5.9)</w:t>
            </w:r>
          </w:p>
        </w:tc>
      </w:tr>
      <w:tr>
        <w:tc>
          <w:tcPr>
            <w:tcW w:type="dxa" w:w="2736"/>
          </w:tcPr>
          <w:p>
            <w:r/>
            <w:r>
              <w:rPr>
                <w:sz w:val="20"/>
              </w:rPr>
              <w:t>Consultas (Split)</w:t>
            </w:r>
          </w:p>
        </w:tc>
        <w:tc>
          <w:tcPr>
            <w:tcW w:type="dxa" w:w="8064"/>
          </w:tcPr>
          <w:p>
            <w:r/>
            <w:r>
              <w:rPr>
                <w:sz w:val="20"/>
              </w:rPr>
              <w:t>Ingresos de consultas médicas y nutrición con su reparto (§5.10)</w:t>
            </w:r>
          </w:p>
        </w:tc>
      </w:tr>
      <w:tr>
        <w:tc>
          <w:tcPr>
            <w:tcW w:type="dxa" w:w="2736"/>
          </w:tcPr>
          <w:p>
            <w:r/>
            <w:r>
              <w:rPr>
                <w:sz w:val="20"/>
              </w:rPr>
              <w:t>Dashboard Mensual</w:t>
            </w:r>
          </w:p>
        </w:tc>
        <w:tc>
          <w:tcPr>
            <w:tcW w:type="dxa" w:w="8064"/>
          </w:tcPr>
          <w:p>
            <w:r/>
            <w:r>
              <w:rPr>
                <w:sz w:val="20"/>
              </w:rPr>
              <w:t>KPIs, estado de resultados, mix de ingresos, utilización, distribución por socio y análisis automático</w:t>
            </w:r>
          </w:p>
        </w:tc>
      </w:tr>
    </w:tbl>
    <w:p>
      <w:pPr>
        <w:spacing w:after="80" w:before="160"/>
      </w:pPr>
      <w:r>
        <w:rPr>
          <w:rFonts w:ascii="Arial" w:hAnsi="Arial"/>
          <w:b/>
          <w:color w:val="2E75B6"/>
          <w:sz w:val="24"/>
        </w:rPr>
        <w:t>5.1  Gastos operativos del mes</w:t>
      </w:r>
    </w:p>
    <w:p>
      <w:pPr>
        <w:spacing w:after="120"/>
      </w:pPr>
      <w:r>
        <w:rPr>
          <w:i w:val="0"/>
          <w:sz w:val="22"/>
        </w:rPr>
        <w:t>Sueldos + cargas (27%), Honorario Dr. Conrado, Honorarios médicos (15% IV+TB), Costo insumos Regenerar, Alquiler, Estacionamiento, Electricidad/Gas, Internet/Software, Seguros, Mantenimiento, Marketing, Insumos médicos, Contaduría/Legal, Comisiones MercadoPago/POS, IIBB, Lavandería y Gastos varios. Algunos (Regenerar, comisiones, IIBB) el sistema los calcula solo; el resto es carga manual.</w:t>
      </w:r>
    </w:p>
    <w:p>
      <w:pPr>
        <w:spacing w:after="80" w:before="160"/>
      </w:pPr>
      <w:r>
        <w:rPr>
          <w:rFonts w:ascii="Arial" w:hAnsi="Arial"/>
          <w:b/>
          <w:color w:val="2E75B6"/>
          <w:sz w:val="24"/>
        </w:rPr>
        <w:t>5.2  Estado de Resultados para socios</w:t>
      </w:r>
    </w:p>
    <w:p>
      <w:pPr>
        <w:spacing w:after="120"/>
      </w:pPr>
      <w:r>
        <w:rPr>
          <w:i w:val="0"/>
          <w:sz w:val="22"/>
        </w:rPr>
        <w:t>Es el bloque que Andrés manda a los socios. Estructura:</w:t>
      </w:r>
    </w:p>
    <w:p>
      <w:pPr>
        <w:pStyle w:val="ListBullet"/>
        <w:spacing w:after="40"/>
      </w:pPr>
      <w:r>
        <w:t>Ingresos por línea (Membresías, Sueltas &amp; Combos, Paquetes, IV+TB, Otros) → Ingresos Wellness</w:t>
      </w:r>
    </w:p>
    <w:p>
      <w:pPr>
        <w:pStyle w:val="ListBullet"/>
        <w:spacing w:after="40"/>
      </w:pPr>
      <w:r>
        <w:t>(–) Gastos operativos del mes</w:t>
      </w:r>
    </w:p>
    <w:p>
      <w:pPr>
        <w:pStyle w:val="ListBullet"/>
        <w:spacing w:after="40"/>
      </w:pPr>
      <w:r>
        <w:t>(–) Egresos de caja chica</w:t>
      </w:r>
    </w:p>
    <w:p>
      <w:pPr>
        <w:pStyle w:val="ListBullet"/>
        <w:spacing w:after="40"/>
      </w:pPr>
      <w:r>
        <w:t>= Resultado Wellness (EBITDA) y Margen operativo</w:t>
      </w:r>
    </w:p>
    <w:p>
      <w:pPr>
        <w:pStyle w:val="ListBullet"/>
        <w:spacing w:after="40"/>
      </w:pPr>
      <w:r>
        <w:t>(+) Bar — resultado neto (manual)</w:t>
      </w:r>
    </w:p>
    <w:p>
      <w:pPr>
        <w:pStyle w:val="ListBullet"/>
        <w:spacing w:after="40"/>
      </w:pPr>
      <w:r>
        <w:t>= Resultado Total del Negocio</w:t>
      </w:r>
    </w:p>
    <w:p>
      <w:pPr>
        <w:spacing w:after="120"/>
      </w:pPr>
      <w:r>
        <w:rPr>
          <w:i/>
          <w:color w:val="595959"/>
          <w:sz w:val="22"/>
        </w:rPr>
        <w:t>Criterio de caja, en ARS y USD. No es una herramienta financiera sofisticada (sin depreciación ni impuesto a las ganancias): es un estado de resultados claro y honesto.</w:t>
      </w:r>
    </w:p>
    <w:p>
      <w:pPr>
        <w:spacing w:after="80" w:before="160"/>
      </w:pPr>
      <w:r>
        <w:rPr>
          <w:rFonts w:ascii="Arial" w:hAnsi="Arial"/>
          <w:b/>
          <w:color w:val="2E75B6"/>
          <w:sz w:val="24"/>
        </w:rPr>
        <w:t>5.3  KPIs del dashboard</w:t>
      </w:r>
    </w:p>
    <w:p>
      <w:pPr>
        <w:spacing w:after="120"/>
      </w:pPr>
      <w:r>
        <w:rPr>
          <w:i w:val="0"/>
          <w:sz w:val="22"/>
        </w:rPr>
        <w:t>Tarjetas de un vistazo: Ingresos Wellness (ARS y USD), Resultado Total, Margen, MRR de membresías, Ocupación promedio del centro. Más: mix de ingresos por línea (torta), utilización por recurso (barras) y comparativo vs. mes anterior.</w:t>
      </w:r>
    </w:p>
    <w:p>
      <w:pPr>
        <w:spacing w:after="80" w:before="160"/>
      </w:pPr>
      <w:r>
        <w:rPr>
          <w:rFonts w:ascii="Arial" w:hAnsi="Arial"/>
          <w:b/>
          <w:color w:val="2E75B6"/>
          <w:sz w:val="24"/>
        </w:rPr>
        <w:t>5.4  Cierre diario y saldo acumulado</w:t>
      </w:r>
    </w:p>
    <w:p>
      <w:pPr>
        <w:spacing w:after="120"/>
      </w:pPr>
      <w:r>
        <w:rPr>
          <w:i w:val="0"/>
          <w:sz w:val="22"/>
        </w:rPr>
        <w:t>El Resumen Diario funciona como un cierre de caja: por cada día muestra total de ingresos, total de egresos, saldo del día y un saldo acumulado que va construyendo el mes (arranca en cero el día 1 y suma el saldo de cada jornada). Aparte lleva una columna de saldo de efectivo en caja: parte del saldo inicial de efectivo, SUMA los cobros en efectivo y RESTA los egresos de caja chica pagados en efectivo. Refleja el efectivo físico real que hay en caja — clave si una parte importante de los clientes paga en efectivo.</w:t>
      </w:r>
    </w:p>
    <w:p>
      <w:pPr>
        <w:spacing w:after="80" w:before="160"/>
      </w:pPr>
      <w:r>
        <w:rPr>
          <w:rFonts w:ascii="Arial" w:hAnsi="Arial"/>
          <w:b/>
          <w:color w:val="2E75B6"/>
          <w:sz w:val="24"/>
        </w:rPr>
        <w:t>5.5  Bar como unidad de negocio separada</w:t>
      </w:r>
    </w:p>
    <w:p>
      <w:pPr>
        <w:spacing w:after="120"/>
      </w:pPr>
      <w:r>
        <w:rPr>
          <w:i w:val="0"/>
          <w:sz w:val="22"/>
        </w:rPr>
        <w:t>El Bar se gestiona como una unidad aparte. En el tablero no se cargan sus ventas ni sus costos al detalle: Andrés ingresa manualmente un único número, el resultado neto del Bar del mes, que se suma al Resultado Total. En el anual hay una fila equivalente. Si más adelante se decide integrar el Bar al detalle, se agrega su propio registro sin tocar el resto.</w:t>
      </w:r>
    </w:p>
    <w:p>
      <w:pPr>
        <w:spacing w:after="80" w:before="160"/>
      </w:pPr>
      <w:r>
        <w:rPr>
          <w:rFonts w:ascii="Arial" w:hAnsi="Arial"/>
          <w:b/>
          <w:color w:val="2E75B6"/>
          <w:sz w:val="24"/>
        </w:rPr>
        <w:t>5.6  Membresías, MRR y combos</w:t>
      </w:r>
    </w:p>
    <w:p>
      <w:pPr>
        <w:spacing w:after="120"/>
      </w:pPr>
      <w:r>
        <w:rPr>
          <w:i w:val="0"/>
          <w:sz w:val="22"/>
        </w:rPr>
        <w:t>Panel con los planes (FOCUS / PRIME / HEALTHSPAN, Standard e Intensivo, individual y pareja): cantidad de socios activos por plan y su MRR (Monthly Recurring Revenue = ingreso recurrente mensual asegurado por membresías). Más una tabla de combos vendidos por tipo. En el sistema definitivo, el conteo de socios activos, sesiones usadas vs. disponibles y combos vendidos sale solo de Medplum.</w:t>
      </w:r>
    </w:p>
    <w:p>
      <w:pPr>
        <w:spacing w:after="80" w:before="160"/>
      </w:pPr>
      <w:r>
        <w:rPr>
          <w:rFonts w:ascii="Arial" w:hAnsi="Arial"/>
          <w:b/>
          <w:color w:val="2E75B6"/>
          <w:sz w:val="24"/>
        </w:rPr>
        <w:t>5.7  Distribución del resultado por socio</w:t>
      </w:r>
    </w:p>
    <w:p>
      <w:pPr>
        <w:spacing w:after="120"/>
      </w:pPr>
      <w:r>
        <w:rPr>
          <w:i w:val="0"/>
          <w:sz w:val="22"/>
        </w:rPr>
        <w:t>Sección que reparte el Resultado Total según la participación societaria (parametrizable). Sirve para que cada socio vea su parte de un vistazo. Es un reparto bruto de referencia: no descuenta reservas, reinversiones ni CAPEX; esa política se aplica por fuera.</w:t>
      </w:r>
    </w:p>
    <w:p>
      <w:pPr>
        <w:spacing w:after="80" w:before="160"/>
      </w:pPr>
      <w:r>
        <w:rPr>
          <w:rFonts w:ascii="Arial" w:hAnsi="Arial"/>
          <w:b/>
          <w:color w:val="2E75B6"/>
          <w:sz w:val="24"/>
        </w:rPr>
        <w:t>5.8  Formas de pago</w:t>
      </w:r>
    </w:p>
    <w:p>
      <w:pPr>
        <w:spacing w:after="120"/>
      </w:pPr>
      <w:r>
        <w:rPr>
          <w:i w:val="0"/>
          <w:sz w:val="22"/>
        </w:rPr>
        <w:t>Cada cobro en Caja Diaria lleva su medio de pago (efectivo, débito, crédito, transferencia, MercadoPago), así que los ingresos diarios reflejan la realidad sin perder nada. La pestaña Formas de Pago muestra: el resumen del mes por método (monto y % del total, con torta), y el detalle diario (monto por método cada día y % de efectivo). El % por método se ve a nivel diario, mensual y anual. El sistema debe poder reportar esta apertura en cualquiera de los tres niveles.</w:t>
      </w:r>
    </w:p>
    <w:p>
      <w:pPr>
        <w:spacing w:after="80" w:before="160"/>
      </w:pPr>
      <w:r>
        <w:rPr>
          <w:rFonts w:ascii="Arial" w:hAnsi="Arial"/>
          <w:b/>
          <w:color w:val="2E75B6"/>
          <w:sz w:val="24"/>
        </w:rPr>
        <w:t>5.9  Hojas de gasto y automatizaciones</w:t>
      </w:r>
    </w:p>
    <w:p>
      <w:pPr>
        <w:spacing w:after="120"/>
      </w:pPr>
      <w:r>
        <w:rPr>
          <w:i w:val="0"/>
          <w:sz w:val="22"/>
        </w:rPr>
        <w:t>Para no cargar números agregados a mano, dos rubros se abren en su propia hoja y vuelcan el total a Gastos del Mes:</w:t>
      </w:r>
    </w:p>
    <w:p>
      <w:pPr>
        <w:pStyle w:val="ListBullet"/>
        <w:spacing w:after="40"/>
      </w:pPr>
      <w:r>
        <w:rPr>
          <w:b/>
        </w:rPr>
        <w:t xml:space="preserve">Empleados: </w:t>
      </w:r>
      <w:r>
        <w:t>Empleados: una fila por empleado con su sueldo bruto y una columna de cargas sociales (27% editable). El total (sueldos + cargas) alimenta automáticamente la línea Sueldos de Gastos del Mes. El personal del Bar no va acá (el Bar es unidad aparte).</w:t>
      </w:r>
    </w:p>
    <w:p>
      <w:pPr>
        <w:pStyle w:val="ListBullet"/>
        <w:spacing w:after="40"/>
      </w:pPr>
      <w:r>
        <w:rPr>
          <w:b/>
        </w:rPr>
        <w:t xml:space="preserve">Gastos Varios: </w:t>
      </w:r>
      <w:r>
        <w:t>Gastos Varios: una lista de ítems (fecha, concepto, monto) cuyo total alimenta la línea Gastos varios.</w:t>
      </w:r>
    </w:p>
    <w:p>
      <w:pPr>
        <w:spacing w:after="120"/>
      </w:pPr>
      <w:r>
        <w:rPr>
          <w:i/>
          <w:color w:val="595959"/>
          <w:sz w:val="22"/>
        </w:rPr>
        <w:t>Además, dos costos de Terapias Biológicas se calculan solos como porcentaje editable del ingreso IV+TB cobrado: honorarios médicos prescriptores y costo de insumos Regenerar. Los porcentajes (15% y 30% por defecto) son parámetros editables. IMPORTANTE: la base de cálculo exacta de estos dos porcentajes debe validarse con Andrés y el contador — quedó como aproximación parametrizada.</w:t>
      </w:r>
    </w:p>
    <w:p>
      <w:pPr>
        <w:spacing w:after="80" w:before="160"/>
      </w:pPr>
      <w:r>
        <w:rPr>
          <w:rFonts w:ascii="Arial" w:hAnsi="Arial"/>
          <w:b/>
          <w:color w:val="2E75B6"/>
          <w:sz w:val="24"/>
        </w:rPr>
        <w:t>5.10  Consultas con split (médicas y nutrición)</w:t>
      </w:r>
    </w:p>
    <w:p>
      <w:pPr>
        <w:spacing w:after="120"/>
      </w:pPr>
      <w:r>
        <w:rPr>
          <w:i w:val="0"/>
          <w:sz w:val="22"/>
        </w:rPr>
        <w:t>Las consultas generan ingresos que se reparten con los profesionales. La hoja Consultas (Split) calcula, según cantidad y precio:</w:t>
      </w:r>
    </w:p>
    <w:p>
      <w:pPr>
        <w:pStyle w:val="ListBullet"/>
        <w:spacing w:after="40"/>
      </w:pPr>
      <w:r>
        <w:t>Consultas médicas: 70% para los médicos, 30% para Biowellness.</w:t>
      </w:r>
    </w:p>
    <w:p>
      <w:pPr>
        <w:pStyle w:val="ListBullet"/>
        <w:spacing w:after="40"/>
      </w:pPr>
      <w:r>
        <w:t>Consultas de nutrición: 50% nutricionista, 20% Diego Sívori, 30% Biowellness.</w:t>
      </w:r>
    </w:p>
    <w:p>
      <w:pPr>
        <w:spacing w:after="120"/>
      </w:pPr>
      <w:r>
        <w:rPr>
          <w:i/>
          <w:color w:val="595959"/>
          <w:sz w:val="22"/>
        </w:rPr>
        <w:t>La hoja muestra los pagos a cada profesional y el neto que le queda a Biowellness. PENDIENTE de definir con Andrés en qué línea del estado de resultados impacta ese neto BW; por ahora la hoja calcula los splits pero no está conectada al Dashboard.</w:t>
      </w:r>
    </w:p>
    <w:p>
      <w:pPr>
        <w:spacing w:after="120" w:before="240"/>
      </w:pPr>
      <w:r>
        <w:rPr>
          <w:rFonts w:ascii="Arial" w:hAnsi="Arial"/>
          <w:b/>
          <w:color w:val="1F3864"/>
          <w:sz w:val="30"/>
        </w:rPr>
        <w:t>6.  Análisis automático (la parte 'inteligente')</w:t>
      </w:r>
    </w:p>
    <w:p>
      <w:pPr>
        <w:spacing w:after="120"/>
      </w:pPr>
      <w:r>
        <w:rPr>
          <w:i w:val="0"/>
          <w:sz w:val="22"/>
        </w:rPr>
        <w:t>El dashboard escribe solo, en lenguaje natural, una lectura del mes:</w:t>
      </w:r>
    </w:p>
    <w:p>
      <w:pPr>
        <w:pStyle w:val="ListBullet"/>
        <w:spacing w:after="40"/>
      </w:pPr>
      <w:r>
        <w:t>Resultado positivo o negativo, con monto y margen.</w:t>
      </w:r>
    </w:p>
    <w:p>
      <w:pPr>
        <w:pStyle w:val="ListBullet"/>
        <w:spacing w:after="40"/>
      </w:pPr>
      <w:r>
        <w:t>Ingresos arriba o abajo vs. el mes anterior, con porcentaje.</w:t>
      </w:r>
    </w:p>
    <w:p>
      <w:pPr>
        <w:pStyle w:val="ListBullet"/>
        <w:spacing w:after="40"/>
      </w:pPr>
      <w:r>
        <w:t>MRR y cantidad de socios activos.</w:t>
      </w:r>
    </w:p>
    <w:p>
      <w:pPr>
        <w:pStyle w:val="ListBullet"/>
        <w:spacing w:after="40"/>
      </w:pPr>
      <w:r>
        <w:t>Recurso más usado y menos usado (oportunidad de promoción).</w:t>
      </w:r>
    </w:p>
    <w:p>
      <w:pPr>
        <w:pStyle w:val="ListBullet"/>
        <w:spacing w:after="40"/>
      </w:pPr>
      <w:r>
        <w:t>Forma de pago principal y su peso en la facturación.</w:t>
      </w:r>
    </w:p>
    <w:p>
      <w:pPr>
        <w:pStyle w:val="ListBullet"/>
        <w:spacing w:after="40"/>
      </w:pPr>
      <w:r>
        <w:t>Alerta si el margen cae por debajo del objetivo (ej. 20%).</w:t>
      </w:r>
    </w:p>
    <w:p>
      <w:pPr>
        <w:spacing w:after="120" w:before="240"/>
      </w:pPr>
      <w:r>
        <w:rPr>
          <w:rFonts w:ascii="Arial" w:hAnsi="Arial"/>
          <w:b/>
          <w:color w:val="1F3864"/>
          <w:sz w:val="30"/>
        </w:rPr>
        <w:t>7.  Nivel anual — consolidación</w:t>
      </w:r>
    </w:p>
    <w:p>
      <w:pPr>
        <w:pStyle w:val="ListBullet"/>
        <w:spacing w:after="40"/>
      </w:pPr>
      <w:r>
        <w:t>Una fila por métrica (ingresos por línea, totales, gastos, Bar neto, resultado total, margen, ocupación) y una columna por mes más Total/Promedio.</w:t>
      </w:r>
    </w:p>
    <w:p>
      <w:pPr>
        <w:pStyle w:val="ListBullet"/>
        <w:spacing w:after="40"/>
      </w:pPr>
      <w:r>
        <w:t>Sección de distribución por socio por mes y total del año (misma lógica que el mensual).</w:t>
      </w:r>
    </w:p>
    <w:p>
      <w:pPr>
        <w:pStyle w:val="ListBullet"/>
        <w:spacing w:after="40"/>
      </w:pPr>
      <w:r>
        <w:t>Sección de formas de pago por mes y total del año, con el % de cada medio sobre lo cobrado.</w:t>
      </w:r>
    </w:p>
    <w:p>
      <w:pPr>
        <w:pStyle w:val="ListBullet"/>
        <w:spacing w:after="40"/>
      </w:pPr>
      <w:r>
        <w:t>Dashboard anual: ingresos y resultado del año, margen, mejor mes, evolución mensual (líneas) y mix de ingresos (torta).</w:t>
      </w:r>
    </w:p>
    <w:p>
      <w:pPr>
        <w:pStyle w:val="ListBullet"/>
        <w:spacing w:after="40"/>
      </w:pPr>
      <w:r>
        <w:t>La operación arranca en Agosto 2026; los meses previos quedan en cero. Cada cierre mensual completa la columna del mes.</w:t>
      </w:r>
    </w:p>
    <w:p>
      <w:pPr>
        <w:spacing w:after="120" w:before="240"/>
      </w:pPr>
      <w:r>
        <w:rPr>
          <w:rFonts w:ascii="Arial" w:hAnsi="Arial"/>
          <w:b/>
          <w:color w:val="1F3864"/>
          <w:sz w:val="30"/>
        </w:rPr>
        <w:t>8.  Parámetros configurables</w:t>
      </w:r>
    </w:p>
    <w:p>
      <w:pPr>
        <w:pStyle w:val="ListBullet"/>
        <w:spacing w:after="40"/>
      </w:pPr>
      <w:r>
        <w:t>Tipo de cambio ARS/USD por período (hoy 1.500) y saldo inicial de caja chica.</w:t>
      </w:r>
    </w:p>
    <w:p>
      <w:pPr>
        <w:pStyle w:val="ListBullet"/>
        <w:spacing w:after="40"/>
      </w:pPr>
      <w:r>
        <w:t>Días y horas operativas (definen la capacidad).</w:t>
      </w:r>
    </w:p>
    <w:p>
      <w:pPr>
        <w:pStyle w:val="ListBullet"/>
        <w:spacing w:after="40"/>
      </w:pPr>
      <w:r>
        <w:t>Duración y capacidad por recurso (con la corrección de tumbonas compartidas).</w:t>
      </w:r>
    </w:p>
    <w:p>
      <w:pPr>
        <w:pStyle w:val="ListBullet"/>
        <w:spacing w:after="40"/>
      </w:pPr>
      <w:r>
        <w:t>Cascada de pricing TB+IV y alícuotas fiscales (validar con el contador).</w:t>
      </w:r>
    </w:p>
    <w:p>
      <w:pPr>
        <w:pStyle w:val="ListBullet"/>
        <w:spacing w:after="40"/>
      </w:pPr>
      <w:r>
        <w:t>Participaciones societarias y umbrales de alerta (margen, sub/sobre-utilización).</w:t>
      </w:r>
    </w:p>
    <w:p>
      <w:pPr>
        <w:spacing w:after="120" w:before="240"/>
      </w:pPr>
      <w:r>
        <w:rPr>
          <w:rFonts w:ascii="Arial" w:hAnsi="Arial"/>
          <w:b/>
          <w:color w:val="1F3864"/>
          <w:sz w:val="30"/>
        </w:rPr>
        <w:t>9.  Criterios de aceptación (testeables)</w:t>
      </w:r>
    </w:p>
    <w:tbl>
      <w:tblPr>
        <w:tblStyle w:val="TableGrid"/>
        <w:tblW w:type="auto" w:w="0"/>
        <w:jc w:val="center"/>
        <w:tblLook w:firstColumn="1" w:firstRow="1" w:lastColumn="0" w:lastRow="0" w:noHBand="0" w:noVBand="1" w:val="04A0"/>
      </w:tblPr>
      <w:tblGrid>
        <w:gridCol w:w="4320"/>
        <w:gridCol w:w="4320"/>
      </w:tblGrid>
      <w:tr>
        <w:tc>
          <w:tcPr>
            <w:tcW w:type="dxa" w:w="864"/>
            <w:shd w:val="clear" w:fill="2E75B6"/>
          </w:tcPr>
          <w:p>
            <w:r/>
            <w:r>
              <w:rPr>
                <w:b/>
                <w:color w:val="FFFFFF"/>
                <w:sz w:val="20"/>
              </w:rPr>
              <w:t>#</w:t>
            </w:r>
          </w:p>
        </w:tc>
        <w:tc>
          <w:tcPr>
            <w:tcW w:type="dxa" w:w="9936"/>
            <w:shd w:val="clear" w:fill="2E75B6"/>
          </w:tcPr>
          <w:p>
            <w:r/>
            <w:r>
              <w:rPr>
                <w:b/>
                <w:color w:val="FFFFFF"/>
                <w:sz w:val="20"/>
              </w:rPr>
              <w:t>El sistema pasa la prueba si…</w:t>
            </w:r>
          </w:p>
        </w:tc>
      </w:tr>
      <w:tr>
        <w:tc>
          <w:tcPr>
            <w:tcW w:type="dxa" w:w="864"/>
          </w:tcPr>
          <w:p>
            <w:r/>
            <w:r>
              <w:rPr>
                <w:sz w:val="20"/>
              </w:rPr>
              <w:t>CA-1</w:t>
            </w:r>
          </w:p>
        </w:tc>
        <w:tc>
          <w:tcPr>
            <w:tcW w:type="dxa" w:w="9936"/>
          </w:tcPr>
          <w:p>
            <w:r/>
            <w:r>
              <w:rPr>
                <w:sz w:val="20"/>
              </w:rPr>
              <w:t>Al cargar un cobro, aparece en Caja Diaria, suma al día correcto del Resumen Diario y al total del mes, sin intervención manual.</w:t>
            </w:r>
          </w:p>
        </w:tc>
      </w:tr>
      <w:tr>
        <w:tc>
          <w:tcPr>
            <w:tcW w:type="dxa" w:w="864"/>
          </w:tcPr>
          <w:p>
            <w:r/>
            <w:r>
              <w:rPr>
                <w:sz w:val="20"/>
              </w:rPr>
              <w:t>CA-2</w:t>
            </w:r>
          </w:p>
        </w:tc>
        <w:tc>
          <w:tcPr>
            <w:tcW w:type="dxa" w:w="9936"/>
          </w:tcPr>
          <w:p>
            <w:r/>
            <w:r>
              <w:rPr>
                <w:sz w:val="20"/>
              </w:rPr>
              <w:t>Al registrar una sesión, la utilización del recurso (día y mes) se recalcula sola.</w:t>
            </w:r>
          </w:p>
        </w:tc>
      </w:tr>
      <w:tr>
        <w:tc>
          <w:tcPr>
            <w:tcW w:type="dxa" w:w="864"/>
          </w:tcPr>
          <w:p>
            <w:r/>
            <w:r>
              <w:rPr>
                <w:sz w:val="20"/>
              </w:rPr>
              <w:t>CA-3</w:t>
            </w:r>
          </w:p>
        </w:tc>
        <w:tc>
          <w:tcPr>
            <w:tcW w:type="dxa" w:w="9936"/>
          </w:tcPr>
          <w:p>
            <w:r/>
            <w:r>
              <w:rPr>
                <w:sz w:val="20"/>
              </w:rPr>
              <w:t>El Monto USD de cada renglón = ARS ÷ TC. Cambiar el TC actualiza todo.</w:t>
            </w:r>
          </w:p>
        </w:tc>
      </w:tr>
      <w:tr>
        <w:tc>
          <w:tcPr>
            <w:tcW w:type="dxa" w:w="864"/>
          </w:tcPr>
          <w:p>
            <w:r/>
            <w:r>
              <w:rPr>
                <w:sz w:val="20"/>
              </w:rPr>
              <w:t>CA-4</w:t>
            </w:r>
          </w:p>
        </w:tc>
        <w:tc>
          <w:tcPr>
            <w:tcW w:type="dxa" w:w="9936"/>
          </w:tcPr>
          <w:p>
            <w:r/>
            <w:r>
              <w:rPr>
                <w:sz w:val="20"/>
              </w:rPr>
              <w:t>El saldo acumulado del día N = saldo acumulado del día N-1 + saldo del día N.</w:t>
            </w:r>
          </w:p>
        </w:tc>
      </w:tr>
      <w:tr>
        <w:tc>
          <w:tcPr>
            <w:tcW w:type="dxa" w:w="864"/>
          </w:tcPr>
          <w:p>
            <w:r/>
            <w:r>
              <w:rPr>
                <w:sz w:val="20"/>
              </w:rPr>
              <w:t>CA-5</w:t>
            </w:r>
          </w:p>
        </w:tc>
        <w:tc>
          <w:tcPr>
            <w:tcW w:type="dxa" w:w="9936"/>
          </w:tcPr>
          <w:p>
            <w:r/>
            <w:r>
              <w:rPr>
                <w:sz w:val="20"/>
              </w:rPr>
              <w:t>El estado de resultados cuadra: Ingresos – Gastos – Caja chica = Resultado Wellness; + Bar = Resultado Total.</w:t>
            </w:r>
          </w:p>
        </w:tc>
      </w:tr>
      <w:tr>
        <w:tc>
          <w:tcPr>
            <w:tcW w:type="dxa" w:w="864"/>
          </w:tcPr>
          <w:p>
            <w:r/>
            <w:r>
              <w:rPr>
                <w:sz w:val="20"/>
              </w:rPr>
              <w:t>CA-6</w:t>
            </w:r>
          </w:p>
        </w:tc>
        <w:tc>
          <w:tcPr>
            <w:tcW w:type="dxa" w:w="9936"/>
          </w:tcPr>
          <w:p>
            <w:r/>
            <w:r>
              <w:rPr>
                <w:sz w:val="20"/>
              </w:rPr>
              <w:t>La suma de la distribución por socio = Resultado Total (los % suman 100%).</w:t>
            </w:r>
          </w:p>
        </w:tc>
      </w:tr>
      <w:tr>
        <w:tc>
          <w:tcPr>
            <w:tcW w:type="dxa" w:w="864"/>
          </w:tcPr>
          <w:p>
            <w:r/>
            <w:r>
              <w:rPr>
                <w:sz w:val="20"/>
              </w:rPr>
              <w:t>CA-7</w:t>
            </w:r>
          </w:p>
        </w:tc>
        <w:tc>
          <w:tcPr>
            <w:tcW w:type="dxa" w:w="9936"/>
          </w:tcPr>
          <w:p>
            <w:r/>
            <w:r>
              <w:rPr>
                <w:sz w:val="20"/>
              </w:rPr>
              <w:t>La exportación .xlsx abre sin errores de fórmula y respeta el formato.</w:t>
            </w:r>
          </w:p>
        </w:tc>
      </w:tr>
      <w:tr>
        <w:tc>
          <w:tcPr>
            <w:tcW w:type="dxa" w:w="864"/>
          </w:tcPr>
          <w:p>
            <w:r/>
            <w:r>
              <w:rPr>
                <w:sz w:val="20"/>
              </w:rPr>
              <w:t>CA-8</w:t>
            </w:r>
          </w:p>
        </w:tc>
        <w:tc>
          <w:tcPr>
            <w:tcW w:type="dxa" w:w="9936"/>
          </w:tcPr>
          <w:p>
            <w:r/>
            <w:r>
              <w:rPr>
                <w:sz w:val="20"/>
              </w:rPr>
              <w:t>El cierre de un mes completa la columna del consolidado anual.</w:t>
            </w:r>
          </w:p>
        </w:tc>
      </w:tr>
      <w:tr>
        <w:tc>
          <w:tcPr>
            <w:tcW w:type="dxa" w:w="864"/>
          </w:tcPr>
          <w:p>
            <w:r/>
            <w:r>
              <w:rPr>
                <w:sz w:val="20"/>
              </w:rPr>
              <w:t>CA-9</w:t>
            </w:r>
          </w:p>
        </w:tc>
        <w:tc>
          <w:tcPr>
            <w:tcW w:type="dxa" w:w="9936"/>
          </w:tcPr>
          <w:p>
            <w:r/>
            <w:r>
              <w:rPr>
                <w:sz w:val="20"/>
              </w:rPr>
              <w:t>El saldo de efectivo en caja = saldo inicial + cobros en efectivo − egresos en efectivo.</w:t>
            </w:r>
          </w:p>
        </w:tc>
      </w:tr>
      <w:tr>
        <w:tc>
          <w:tcPr>
            <w:tcW w:type="dxa" w:w="864"/>
          </w:tcPr>
          <w:p>
            <w:r/>
            <w:r>
              <w:rPr>
                <w:sz w:val="20"/>
              </w:rPr>
              <w:t>CA-10</w:t>
            </w:r>
          </w:p>
        </w:tc>
        <w:tc>
          <w:tcPr>
            <w:tcW w:type="dxa" w:w="9936"/>
          </w:tcPr>
          <w:p>
            <w:r/>
            <w:r>
              <w:rPr>
                <w:sz w:val="20"/>
              </w:rPr>
              <w:t>El desglose por forma de pago suma 100% en cada nivel (diario, mensual, anual).</w:t>
            </w:r>
          </w:p>
        </w:tc>
      </w:tr>
      <w:tr>
        <w:tc>
          <w:tcPr>
            <w:tcW w:type="dxa" w:w="864"/>
          </w:tcPr>
          <w:p>
            <w:r/>
            <w:r>
              <w:rPr>
                <w:sz w:val="20"/>
              </w:rPr>
              <w:t>CA-11</w:t>
            </w:r>
          </w:p>
        </w:tc>
        <w:tc>
          <w:tcPr>
            <w:tcW w:type="dxa" w:w="9936"/>
          </w:tcPr>
          <w:p>
            <w:r/>
            <w:r>
              <w:rPr>
                <w:sz w:val="20"/>
              </w:rPr>
              <w:t>El análisis automático refleja signo del resultado, variación, MRR, recurso más/menos usado y forma de pago principal.</w:t>
            </w:r>
          </w:p>
        </w:tc>
      </w:tr>
    </w:tbl>
    <w:p>
      <w:pPr>
        <w:spacing w:after="120" w:before="240"/>
      </w:pPr>
      <w:r>
        <w:rPr>
          <w:rFonts w:ascii="Arial" w:hAnsi="Arial"/>
          <w:b/>
          <w:color w:val="1F3864"/>
          <w:sz w:val="30"/>
        </w:rPr>
        <w:t>10.  Relación con las planillas modelo</w:t>
      </w:r>
    </w:p>
    <w:p>
      <w:pPr>
        <w:pStyle w:val="ListBullet"/>
        <w:spacing w:after="40"/>
      </w:pPr>
      <w:r>
        <w:rPr>
          <w:b/>
        </w:rPr>
        <w:t xml:space="preserve">Mensual: </w:t>
      </w:r>
      <w:r>
        <w:t>BW_Tablero_MENSUAL_Modelo.xlsx — un mes completo, con datos de ejemplo, donde lo diario alimenta el dashboard automáticamente. Celdas azul/amarillo = inputs; verdes = cálculos.</w:t>
      </w:r>
    </w:p>
    <w:p>
      <w:pPr>
        <w:pStyle w:val="ListBullet"/>
        <w:spacing w:after="40"/>
      </w:pPr>
      <w:r>
        <w:rPr>
          <w:b/>
        </w:rPr>
        <w:t xml:space="preserve">Anual: </w:t>
      </w:r>
      <w:r>
        <w:t>BW_Tablero_ANUAL_Modelo.xlsx — el consolidado de los 12 meses con su dashboard y distribución por socio.</w:t>
      </w:r>
    </w:p>
    <w:p>
      <w:pPr>
        <w:spacing w:after="120"/>
      </w:pPr>
      <w:r>
        <w:rPr>
          <w:i/>
          <w:color w:val="595959"/>
          <w:sz w:val="22"/>
        </w:rPr>
        <w:t>Las planillas no son el producto final: son el patrón a replicar. El producto final es que el sistema genere estas vistas con un clic, en vivo y sin carga manual de lo que ya sabe.</w:t>
      </w:r>
    </w:p>
    <w:p>
      <w:pPr>
        <w:spacing w:after="120"/>
      </w:pPr>
      <w:r>
        <w:rPr>
          <w:i w:val="0"/>
          <w:sz w:val="22"/>
        </w:rPr>
      </w:r>
    </w:p>
    <w:p>
      <w:pPr>
        <w:jc w:val="center"/>
      </w:pPr>
      <w:r>
        <w:rPr>
          <w:color w:val="595959"/>
          <w:sz w:val="18"/>
        </w:rPr>
        <w:t>Biowellness — Sistema de Gestión Integral · Anexo D (v2) · Junio 2026 · Confidencial.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