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iCLIP data analysis</w:t>
      </w:r>
    </w:p>
    <w:p>
      <w:pPr>
        <w:pStyle w:val="Normal"/>
        <w:spacing w:lineRule="auto" w:line="360"/>
        <w:rPr/>
      </w:pPr>
      <w:r>
        <w:rPr/>
        <w:t xml:space="preserve">The iCLIP data were processed </w:t>
      </w:r>
      <w:r>
        <w:rPr/>
        <w:t xml:space="preserve">from raw reads to RBP binding sites </w:t>
      </w:r>
      <w:r>
        <w:rPr/>
        <w:t xml:space="preserve">by the pipeline </w:t>
      </w:r>
      <w:r>
        <w:rPr/>
        <w:t xml:space="preserve">as previously </w:t>
      </w:r>
      <w:r>
        <w:rPr/>
        <w:t>described</w:t>
      </w:r>
      <w:r>
        <w:rPr/>
        <w:t xml:space="preserve"> </w:t>
      </w:r>
      <w:r>
        <w:rPr>
          <w:vertAlign w:val="superscript"/>
        </w:rPr>
        <w:t>1</w:t>
      </w:r>
      <w:r>
        <w:rPr/>
        <w:t xml:space="preserve">.  </w:t>
      </w:r>
      <w:r>
        <w:rPr/>
        <w:t xml:space="preserve">Briefly, the barcode regions in the reads are filtered by FASTX-Toolkit (http://hannonlab.cshl.edu/fastx_toolkit/). The demultiplexing and adapter trimming are performed by Flexbar </w:t>
      </w:r>
      <w:r>
        <w:rPr>
          <w:vertAlign w:val="superscript"/>
        </w:rPr>
        <w:t>2</w:t>
      </w:r>
      <w:r>
        <w:rPr/>
        <w:t xml:space="preserve">. Only trimmed reads with at least 15 nt are kept for further analysis. The individual FASTQ files for each sample are mapped to human reference genome (GRCh38) by STAR </w:t>
      </w:r>
      <w:r>
        <w:rPr>
          <w:vertAlign w:val="superscript"/>
        </w:rPr>
        <w:t>3</w:t>
      </w:r>
      <w:r>
        <w:rPr/>
        <w:t xml:space="preserve">⁠. The technical duplicates are removed using UMI-tools </w:t>
      </w:r>
      <w:r>
        <w:rPr>
          <w:vertAlign w:val="superscript"/>
        </w:rPr>
        <w:t>4</w:t>
      </w:r>
      <w:r>
        <w:rPr>
          <w:vertAlign w:val="superscript"/>
        </w:rPr>
        <w:t>⁠</w:t>
      </w:r>
      <w:r>
        <w:rPr/>
        <w:t xml:space="preserve">. After deduplication, the crosslink events are transformed from the mapped reads by extracting the position upstream of the 5’end of the reads with BEDTools </w:t>
      </w:r>
      <w:r>
        <w:rPr>
          <w:vertAlign w:val="superscript"/>
        </w:rPr>
        <w:t>5</w:t>
      </w:r>
      <w:r>
        <w:rPr/>
        <w:t xml:space="preserve">⁠. The crosslink sites with significantly enriched crosslink events are identified by PureCLIP </w:t>
      </w:r>
      <w:r>
        <w:rPr>
          <w:vertAlign w:val="superscript"/>
        </w:rPr>
        <w:t>6</w:t>
      </w:r>
      <w:r>
        <w:rPr/>
        <w:t xml:space="preserve">⁠ and post-processed by the steps as previously described </w:t>
      </w:r>
      <w:r>
        <w:rPr>
          <w:vertAlign w:val="superscript"/>
        </w:rPr>
        <w:t>1</w:t>
      </w:r>
      <w:r>
        <w:rPr/>
        <w:t>⁠.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RNAmap</w:t>
      </w:r>
    </w:p>
    <w:p>
      <w:pPr>
        <w:pStyle w:val="Normal"/>
        <w:spacing w:lineRule="auto" w:line="360"/>
        <w:rPr/>
      </w:pPr>
      <w:r>
        <w:rPr/>
        <w:t>The c</w:t>
      </w:r>
      <w:r>
        <w:rPr/>
        <w:t xml:space="preserve">rosslink events located within only one annotated gene </w:t>
      </w:r>
      <w:r>
        <w:rPr/>
        <w:t xml:space="preserve">were normalized by the total </w:t>
      </w:r>
      <w:r>
        <w:rPr/>
        <w:t xml:space="preserve">count of  the respective gene and the gene length </w:t>
      </w:r>
      <w:r>
        <w:rPr>
          <w:vertAlign w:val="superscript"/>
        </w:rPr>
        <w:t>7</w:t>
      </w:r>
      <w:r>
        <w:rPr/>
        <w:t xml:space="preserve">⁠. </w:t>
      </w:r>
      <w:r>
        <w:rPr/>
        <w:t xml:space="preserve"> The </w:t>
      </w:r>
      <w:r>
        <w:rPr/>
        <w:t xml:space="preserve">total number of normalized crosslink events relative to </w:t>
      </w:r>
      <w:r>
        <w:rPr/>
        <w:t xml:space="preserve">the 3’ splicing site (3SS) and 5’ splicing site (5SS) of the enhanced and silenced SE events were shown in the </w:t>
      </w:r>
      <w:r>
        <w:rPr/>
        <w:t>RNAmap</w:t>
      </w:r>
      <w:r>
        <w:rPr/>
        <w:t xml:space="preserve">. We used a </w:t>
      </w:r>
      <w:r>
        <w:rPr/>
        <w:t>3</w:t>
      </w:r>
      <w:r>
        <w:rPr/>
        <w:t xml:space="preserve">0 </w:t>
      </w:r>
      <w:r>
        <w:rPr/>
        <w:t>nt</w:t>
      </w:r>
      <w:r>
        <w:rPr/>
        <w:t xml:space="preserve"> sliding window with 1 </w:t>
      </w:r>
      <w:r>
        <w:rPr/>
        <w:t>nt</w:t>
      </w:r>
      <w:r>
        <w:rPr/>
        <w:t xml:space="preserve"> step to detect the regions in which </w:t>
      </w:r>
      <w:r>
        <w:rPr/>
        <w:t>crosslink events</w:t>
      </w:r>
      <w:r>
        <w:rPr/>
        <w:t xml:space="preserve"> were significantly different between WT and KO samples. In each step, we performed t-test with the </w:t>
      </w:r>
      <w:r>
        <w:rPr/>
        <w:t>number of crosslink events of</w:t>
      </w:r>
      <w:r>
        <w:rPr/>
        <w:t xml:space="preserve"> two sample</w:t>
      </w:r>
      <w:r>
        <w:rPr/>
        <w:t>s</w:t>
      </w:r>
      <w:r>
        <w:rPr/>
        <w:t xml:space="preserve">, and calculated the fold-change. The windows with </w:t>
      </w:r>
      <w:r>
        <w:rPr/>
        <w:t xml:space="preserve">Bonferroni adjusted </w:t>
      </w:r>
      <w:r>
        <w:rPr>
          <w:i/>
          <w:iCs/>
        </w:rPr>
        <w:t>p-</w:t>
      </w:r>
      <w:r>
        <w:rPr/>
        <w:t xml:space="preserve">value &lt; </w:t>
      </w:r>
      <w:r>
        <w:rPr/>
        <w:t xml:space="preserve">0.01 and fold-change &gt; </w:t>
      </w:r>
      <w:r>
        <w:rPr/>
        <w:t>2</w:t>
      </w:r>
      <w:r>
        <w:rPr/>
        <w:t xml:space="preserve"> were merged and shown as a red box in the </w:t>
      </w:r>
      <w:r>
        <w:rPr/>
        <w:t>RNAmap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Reference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1.</w:t>
        <w:tab/>
        <w:t>Busch, A. &amp; Br, M. iCLIP data analysis : A complete pipeline from sequencing reads to RBP binding sites. 0–1</w:t>
      </w: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2.</w:t>
        <w:tab/>
        <w:t xml:space="preserve">Roehr, J. T., Dieterich, C. &amp; Reinert, K. Flexbar 3.0 - SIMD and multicore parallelization. </w:t>
      </w:r>
      <w:r>
        <w:rPr>
          <w:i/>
          <w:sz w:val="24"/>
        </w:rPr>
        <w:t>Bioinformatics</w:t>
      </w:r>
      <w:r>
        <w:rPr>
          <w:sz w:val="24"/>
        </w:rPr>
        <w:t xml:space="preserve"> </w:t>
      </w:r>
      <w:r>
        <w:rPr>
          <w:b/>
          <w:sz w:val="24"/>
        </w:rPr>
        <w:t>33,</w:t>
      </w:r>
      <w:r>
        <w:rPr>
          <w:sz w:val="24"/>
        </w:rPr>
        <w:t xml:space="preserve"> 2941–2942 (2017).</w:t>
      </w: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3.</w:t>
        <w:tab/>
        <w:t xml:space="preserve">Dobin, A. </w:t>
      </w:r>
      <w:r>
        <w:rPr>
          <w:i/>
          <w:sz w:val="24"/>
        </w:rPr>
        <w:t>et al.</w:t>
      </w:r>
      <w:r>
        <w:rPr>
          <w:sz w:val="24"/>
        </w:rPr>
        <w:t xml:space="preserve"> STAR: Ultrafast universal RNA-seq aligner. </w:t>
      </w:r>
      <w:r>
        <w:rPr>
          <w:i/>
          <w:sz w:val="24"/>
        </w:rPr>
        <w:t>Bioinformatics</w:t>
      </w:r>
      <w:r>
        <w:rPr>
          <w:sz w:val="24"/>
        </w:rPr>
        <w:t xml:space="preserve"> </w:t>
      </w:r>
      <w:r>
        <w:rPr>
          <w:b/>
          <w:sz w:val="24"/>
        </w:rPr>
        <w:t>29,</w:t>
      </w:r>
      <w:r>
        <w:rPr>
          <w:sz w:val="24"/>
        </w:rPr>
        <w:t xml:space="preserve"> 15–21 (2013).</w:t>
      </w: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4.</w:t>
        <w:tab/>
        <w:t xml:space="preserve">Smith, T., Heger, A. &amp; Sudbery, I. UMI-tools: Modeling sequencing errors in Unique Molecular Identifiers to improve quantification accuracy. </w:t>
      </w:r>
      <w:r>
        <w:rPr>
          <w:i/>
          <w:sz w:val="24"/>
        </w:rPr>
        <w:t>Genome Res.</w:t>
      </w:r>
      <w:r>
        <w:rPr>
          <w:sz w:val="24"/>
        </w:rPr>
        <w:t xml:space="preserve"> </w:t>
      </w:r>
      <w:r>
        <w:rPr>
          <w:b/>
          <w:sz w:val="24"/>
        </w:rPr>
        <w:t>27,</w:t>
      </w:r>
      <w:r>
        <w:rPr>
          <w:sz w:val="24"/>
        </w:rPr>
        <w:t xml:space="preserve"> 491–499 (2017).</w:t>
      </w: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5.</w:t>
        <w:tab/>
        <w:t xml:space="preserve">Quinlan, A. R. </w:t>
      </w:r>
      <w:r>
        <w:rPr>
          <w:i/>
          <w:sz w:val="24"/>
        </w:rPr>
        <w:t>BEDTools: The Swiss-Army tool for genome feature analysis</w:t>
      </w:r>
      <w:r>
        <w:rPr>
          <w:sz w:val="24"/>
        </w:rPr>
        <w:t xml:space="preserve">. </w:t>
      </w:r>
      <w:r>
        <w:rPr>
          <w:i/>
          <w:sz w:val="24"/>
        </w:rPr>
        <w:t>Current Protocols in Bioinformatics</w:t>
      </w:r>
      <w:r>
        <w:rPr>
          <w:sz w:val="24"/>
        </w:rPr>
        <w:t xml:space="preserve"> </w:t>
      </w:r>
      <w:r>
        <w:rPr>
          <w:b/>
          <w:sz w:val="24"/>
        </w:rPr>
        <w:t>2014,</w:t>
      </w:r>
      <w:r>
        <w:rPr>
          <w:sz w:val="24"/>
        </w:rPr>
        <w:t xml:space="preserve"> (2014).</w:t>
      </w:r>
    </w:p>
    <w:p>
      <w:pPr>
        <w:pStyle w:val="Normal"/>
        <w:spacing w:lineRule="auto" w:line="288" w:before="0" w:after="140"/>
        <w:ind w:left="640" w:right="0" w:hanging="640"/>
        <w:rPr>
          <w:rFonts w:ascii="Liberation Serif" w:hAnsi="Liberation Serif"/>
          <w:sz w:val="24"/>
        </w:rPr>
      </w:pPr>
      <w:r>
        <w:rPr>
          <w:sz w:val="24"/>
        </w:rPr>
        <w:t>6.</w:t>
        <w:tab/>
        <w:t xml:space="preserve">Krakau, S., Richard, H. &amp; Marsico, A. PureCLIP: Capturing target-specific protein-RNA interaction footprints from single-nucleotide CLIP-seq data. </w:t>
      </w:r>
      <w:r>
        <w:rPr>
          <w:i/>
          <w:sz w:val="24"/>
        </w:rPr>
        <w:t>Genome Biol.</w:t>
      </w:r>
      <w:r>
        <w:rPr>
          <w:sz w:val="24"/>
        </w:rPr>
        <w:t xml:space="preserve"> </w:t>
      </w:r>
      <w:r>
        <w:rPr>
          <w:b/>
          <w:sz w:val="24"/>
        </w:rPr>
        <w:t>18,</w:t>
      </w:r>
      <w:r>
        <w:rPr>
          <w:sz w:val="24"/>
        </w:rPr>
        <w:t xml:space="preserve"> 1–17 (2017).</w:t>
      </w:r>
    </w:p>
    <w:p>
      <w:pPr>
        <w:pStyle w:val="Normal"/>
        <w:rPr>
          <w:rFonts w:ascii="Liberation Serif" w:hAnsi="Liberation Serif"/>
          <w:sz w:val="24"/>
        </w:rPr>
      </w:pPr>
      <w:r>
        <w:rPr>
          <w:sz w:val="24"/>
        </w:rPr>
        <w:t>7.</w:t>
        <w:tab/>
        <w:t xml:space="preserve">Zarnack, K. </w:t>
      </w:r>
      <w:r>
        <w:rPr>
          <w:i/>
          <w:sz w:val="24"/>
        </w:rPr>
        <w:t>et al.</w:t>
      </w:r>
      <w:r>
        <w:rPr>
          <w:sz w:val="24"/>
        </w:rPr>
        <w:t xml:space="preserve"> Direct competition between hnRNP C and U2AF65 protects the transcriptome from the exonization of Alu elements. </w:t>
      </w:r>
      <w:r>
        <w:rPr>
          <w:i/>
          <w:sz w:val="24"/>
        </w:rPr>
        <w:t>Cell</w:t>
      </w:r>
      <w:r>
        <w:rPr>
          <w:sz w:val="24"/>
        </w:rPr>
        <w:t xml:space="preserve"> </w:t>
      </w:r>
      <w:r>
        <w:rPr>
          <w:b/>
          <w:sz w:val="24"/>
        </w:rPr>
        <w:t>152,</w:t>
      </w:r>
      <w:r>
        <w:rPr>
          <w:sz w:val="24"/>
        </w:rPr>
        <w:t xml:space="preserve"> 453–466 (2013).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LibreOffice/5.1.6.2$Linux_X86_64 LibreOffice_project/10m0$Build-2</Application>
  <Pages>1</Pages>
  <Words>408</Words>
  <Characters>2165</Characters>
  <CharactersWithSpaces>2557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2019-10-18T13:14:20Z</dcterms:created>
  <dc:creator/>
  <dc:description/>
  <dc:language>en-US</dc:language>
  <cp:lastModifiedBy/>
  <dcterms:modified xsi:type="dcterms:W3CDTF">2019-12-06T15:39:26Z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http://www.zotero.org/styles/nature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eaa98993-bde7-38e2-b571-4774f3142e2c</vt:lpwstr>
  </property>
</Properties>
</file>