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EBA" w:rsidRDefault="00AA4EBA">
      <w:r>
        <w:t xml:space="preserve">Tranformations to Normality </w:t>
      </w:r>
    </w:p>
    <w:p w:rsidR="00AA4EBA" w:rsidRDefault="00AA4EBA">
      <w:r>
        <w:t>Principal Component Analysis (PCA)</w:t>
      </w:r>
    </w:p>
    <w:p w:rsidR="00AA4EBA" w:rsidRDefault="00AA4EBA"/>
    <w:p w:rsidR="00AA4EBA" w:rsidRDefault="00AA4EBA">
      <w:r>
        <w:t>Assignments:</w:t>
      </w:r>
    </w:p>
    <w:p w:rsidR="00AA4EBA" w:rsidRPr="008713A5" w:rsidRDefault="00AA4EBA" w:rsidP="008713A5">
      <w:pPr>
        <w:pStyle w:val="ListParagraph"/>
        <w:numPr>
          <w:ilvl w:val="0"/>
          <w:numId w:val="3"/>
        </w:numPr>
        <w:rPr>
          <w:b/>
        </w:rPr>
      </w:pPr>
      <w:r w:rsidRPr="008713A5">
        <w:rPr>
          <w:b/>
        </w:rPr>
        <w:t>Find the best Box-Cox Transformation for each variable.</w:t>
      </w:r>
    </w:p>
    <w:p w:rsidR="008713A5" w:rsidRPr="008713A5" w:rsidRDefault="008713A5" w:rsidP="008713A5">
      <w:pPr>
        <w:pStyle w:val="ListParagraph"/>
        <w:numPr>
          <w:ilvl w:val="0"/>
          <w:numId w:val="3"/>
        </w:numPr>
        <w:rPr>
          <w:b/>
        </w:rPr>
      </w:pPr>
      <w:r>
        <w:rPr>
          <w:b/>
        </w:rPr>
        <w:t>Construct the Normal probability plots for the original and transformed variables. Discuss the quality and appropriateness of the transformations.</w:t>
      </w:r>
    </w:p>
    <w:p w:rsidR="00AA4EBA" w:rsidRPr="009944A6" w:rsidRDefault="00AA4EBA">
      <w:r w:rsidRPr="009944A6">
        <w:t>Many statistical test and intervals are based on assumption of normality ie. they assume the data sets are normally distributed. this assumptions often leads to tests that are simple, mathematically tractable, and powerful compared to tests that do not make normality assumption. However, many real data are not normally distributed. However, to fit our needs, an appropriate transformation of a dataset can often yield a data set that does follow approximately a normal distribution . This improves the applicability and usefulness of statistical techniques based on normality assumption. [1]</w:t>
      </w:r>
    </w:p>
    <w:p w:rsidR="00AA4EBA" w:rsidRPr="009944A6" w:rsidRDefault="00AA4EBA">
      <w:r w:rsidRPr="009944A6">
        <w:t>The Box-Cox transformation is a particularly useful family of transformations. It is defined as</w:t>
      </w:r>
    </w:p>
    <w:p w:rsidR="00AA4EBA" w:rsidRPr="009944A6" w:rsidRDefault="00AA4EBA">
      <w:pPr>
        <w:rPr>
          <w:rFonts w:cstheme="minorHAnsi"/>
        </w:rPr>
      </w:pPr>
      <w:r w:rsidRPr="009944A6">
        <w:t xml:space="preserve"> </w:t>
      </w:r>
      <w:r w:rsidRPr="009944A6">
        <w:tab/>
      </w:r>
      <w:r w:rsidRPr="009944A6">
        <w:tab/>
      </w:r>
      <w:r w:rsidRPr="009944A6">
        <w:tab/>
        <w:t>T(Y)= (Y</w:t>
      </w:r>
      <w:r w:rsidRPr="009944A6">
        <w:rPr>
          <w:rFonts w:cstheme="minorHAnsi"/>
          <w:vertAlign w:val="superscript"/>
        </w:rPr>
        <w:t>λ</w:t>
      </w:r>
      <w:r w:rsidRPr="009944A6">
        <w:rPr>
          <w:vertAlign w:val="superscript"/>
        </w:rPr>
        <w:t xml:space="preserve"> </w:t>
      </w:r>
      <w:r w:rsidRPr="009944A6">
        <w:t>-1)/</w:t>
      </w:r>
      <w:r w:rsidRPr="009944A6">
        <w:rPr>
          <w:rFonts w:cstheme="minorHAnsi"/>
        </w:rPr>
        <w:t>λ</w:t>
      </w:r>
      <w:r w:rsidR="009944A6" w:rsidRPr="009944A6">
        <w:rPr>
          <w:rFonts w:cstheme="minorHAnsi"/>
        </w:rPr>
        <w:t>..........................   1</w:t>
      </w:r>
    </w:p>
    <w:p w:rsidR="00AA4EBA" w:rsidRPr="009944A6" w:rsidRDefault="00AA4EBA">
      <w:pPr>
        <w:rPr>
          <w:rFonts w:cstheme="minorHAnsi"/>
        </w:rPr>
      </w:pPr>
      <w:r w:rsidRPr="009944A6">
        <w:rPr>
          <w:rFonts w:cstheme="minorHAnsi"/>
        </w:rPr>
        <w:t xml:space="preserve">where Y is the response variable and λ is the transformation parameter. </w:t>
      </w:r>
    </w:p>
    <w:p w:rsidR="009944A6" w:rsidRPr="009944A6" w:rsidRDefault="00425E5A">
      <w:pPr>
        <w:rPr>
          <w:rFonts w:cstheme="minorHAnsi"/>
          <w:color w:val="000000" w:themeColor="text1"/>
        </w:rPr>
      </w:pPr>
      <w:r>
        <w:rPr>
          <w:rFonts w:cstheme="minorHAnsi"/>
          <w:color w:val="000000" w:themeColor="text1"/>
        </w:rPr>
        <w:t>Given a particular transformation such as the Box-Cos transformation defined above, it is helpful to define a measure of the normality of the resulting transformation. One measure is to compute the correlation coefficient of a normal probability plot. The correlation is compute between the vertical and horizontal axis of variables of the probability plot and is a convenient measure of the linearity of the probability plot (the more linear the probability plot, the better a normal distribution fits the data)</w:t>
      </w:r>
    </w:p>
    <w:p w:rsidR="00AA4EBA" w:rsidRPr="009944A6" w:rsidRDefault="009944A6">
      <w:pPr>
        <w:rPr>
          <w:rFonts w:cstheme="minorHAnsi"/>
          <w:color w:val="000000" w:themeColor="text1"/>
        </w:rPr>
      </w:pPr>
      <w:r w:rsidRPr="009944A6">
        <w:rPr>
          <w:rFonts w:cstheme="minorHAnsi"/>
          <w:color w:val="000000" w:themeColor="text1"/>
        </w:rPr>
        <w:t>The value of λ corresponds to the maximum corelation on the Box-Cox Normality plot.</w:t>
      </w:r>
    </w:p>
    <w:p w:rsidR="009944A6" w:rsidRPr="009944A6" w:rsidRDefault="009944A6" w:rsidP="009944A6">
      <w:pPr>
        <w:rPr>
          <w:vertAlign w:val="superscript"/>
        </w:rPr>
      </w:pPr>
      <w:r w:rsidRPr="009944A6">
        <w:rPr>
          <w:rFonts w:cstheme="minorHAnsi"/>
        </w:rPr>
        <w:t>We then transform the variable using the equation (1)</w:t>
      </w:r>
      <w:r>
        <w:rPr>
          <w:rFonts w:cstheme="minorHAnsi"/>
        </w:rPr>
        <w:t xml:space="preserve"> above.</w:t>
      </w:r>
    </w:p>
    <w:p w:rsidR="009944A6" w:rsidRPr="009944A6" w:rsidRDefault="009944A6">
      <w:pPr>
        <w:rPr>
          <w:rFonts w:cstheme="minorHAnsi"/>
        </w:rPr>
      </w:pPr>
      <w:r>
        <w:rPr>
          <w:rFonts w:cstheme="minorHAnsi"/>
        </w:rPr>
        <w:t>Sometimes the tranformation might not result a normal distribution due to various reasons. Hence, not every data can be transformed to normality using Box-Cox transformation.</w:t>
      </w:r>
    </w:p>
    <w:p w:rsidR="00AA4EBA" w:rsidRDefault="00AB3391">
      <w:r>
        <w:t>We want</w:t>
      </w:r>
      <w:r w:rsidR="009944A6">
        <w:t xml:space="preserve"> to try to change USArrests dataset to Normality.</w:t>
      </w:r>
      <w:r>
        <w:t xml:space="preserve"> It has four data, Murder, Assault, UrbanPop and Rape.</w:t>
      </w:r>
    </w:p>
    <w:p w:rsidR="000F26E2" w:rsidRDefault="000F26E2">
      <w:r>
        <w:t>The analysis of all those variables have been studied before and after applying Box-Cox Transformation.</w:t>
      </w:r>
    </w:p>
    <w:p w:rsidR="009944A6" w:rsidRDefault="009944A6"/>
    <w:p w:rsidR="007E1A86" w:rsidRDefault="007E1A86"/>
    <w:p w:rsidR="007E1A86" w:rsidRDefault="007E1A86"/>
    <w:p w:rsidR="007E1A86" w:rsidRPr="007E1A86" w:rsidRDefault="007E1A86">
      <w:pPr>
        <w:rPr>
          <w:b/>
          <w:sz w:val="28"/>
        </w:rPr>
      </w:pPr>
      <w:r w:rsidRPr="007E1A86">
        <w:rPr>
          <w:b/>
          <w:sz w:val="28"/>
        </w:rPr>
        <w:lastRenderedPageBreak/>
        <w:t xml:space="preserve">Murder Data: </w:t>
      </w:r>
    </w:p>
    <w:p w:rsidR="007E1A86" w:rsidRDefault="00690848">
      <w:r>
        <w:rPr>
          <w:noProof/>
        </w:rPr>
        <w:drawing>
          <wp:anchor distT="0" distB="0" distL="114300" distR="114300" simplePos="0" relativeHeight="251645440" behindDoc="0" locked="0" layoutInCell="1" allowOverlap="1">
            <wp:simplePos x="0" y="0"/>
            <wp:positionH relativeFrom="column">
              <wp:posOffset>-200025</wp:posOffset>
            </wp:positionH>
            <wp:positionV relativeFrom="paragraph">
              <wp:posOffset>481330</wp:posOffset>
            </wp:positionV>
            <wp:extent cx="2857500" cy="280352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2857500" cy="28035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4416" behindDoc="0" locked="0" layoutInCell="1" allowOverlap="1">
            <wp:simplePos x="0" y="0"/>
            <wp:positionH relativeFrom="column">
              <wp:posOffset>3075940</wp:posOffset>
            </wp:positionH>
            <wp:positionV relativeFrom="paragraph">
              <wp:posOffset>450850</wp:posOffset>
            </wp:positionV>
            <wp:extent cx="2893695" cy="28714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893695" cy="28714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E1A86">
        <w:t>Before Transformation</w:t>
      </w:r>
    </w:p>
    <w:p w:rsidR="00690848" w:rsidRDefault="007E1A86" w:rsidP="00690848">
      <w:pPr>
        <w:ind w:left="720" w:hanging="720"/>
        <w:rPr>
          <w:noProof/>
        </w:rPr>
      </w:pPr>
      <w:r w:rsidRPr="007E1A86">
        <w:rPr>
          <w:noProof/>
        </w:rPr>
        <w:t xml:space="preserve"> </w:t>
      </w:r>
      <w:r>
        <w:rPr>
          <w:noProof/>
        </w:rPr>
        <w:tab/>
      </w:r>
      <w:r>
        <w:rPr>
          <w:noProof/>
        </w:rPr>
        <w:tab/>
        <w:t>Fig</w:t>
      </w:r>
      <w:r w:rsidR="00C065E7">
        <w:rPr>
          <w:noProof/>
        </w:rPr>
        <w:t xml:space="preserve"> </w:t>
      </w:r>
      <w:r w:rsidR="00175B86">
        <w:rPr>
          <w:noProof/>
        </w:rPr>
        <w:t>1.</w:t>
      </w:r>
      <w:r w:rsidR="00C065E7">
        <w:rPr>
          <w:noProof/>
        </w:rPr>
        <w:t>1</w:t>
      </w:r>
      <w:r>
        <w:rPr>
          <w:noProof/>
        </w:rPr>
        <w:t xml:space="preserve"> Nomal Q-Q Plot</w:t>
      </w:r>
    </w:p>
    <w:p w:rsidR="00791ED5" w:rsidRDefault="00690848" w:rsidP="00690848">
      <w:pPr>
        <w:ind w:left="720" w:hanging="720"/>
        <w:rPr>
          <w:noProof/>
        </w:rPr>
      </w:pPr>
      <w:r>
        <w:rPr>
          <w:noProof/>
        </w:rPr>
        <w:drawing>
          <wp:anchor distT="0" distB="0" distL="114300" distR="114300" simplePos="0" relativeHeight="251648512" behindDoc="0" locked="0" layoutInCell="1" allowOverlap="1">
            <wp:simplePos x="0" y="0"/>
            <wp:positionH relativeFrom="column">
              <wp:posOffset>-209550</wp:posOffset>
            </wp:positionH>
            <wp:positionV relativeFrom="paragraph">
              <wp:posOffset>353060</wp:posOffset>
            </wp:positionV>
            <wp:extent cx="3295650" cy="324548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295650" cy="32454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E1A86">
        <w:t>After Box-Cox Transformation:</w:t>
      </w:r>
      <w:r w:rsidR="007E1A86">
        <w:tab/>
      </w:r>
      <w:r w:rsidR="007E1A86">
        <w:tab/>
      </w:r>
      <w:r w:rsidR="007E1A86">
        <w:tab/>
      </w:r>
      <w:r w:rsidR="007E1A86">
        <w:tab/>
      </w:r>
      <w:r w:rsidR="007E1A86">
        <w:tab/>
        <w:t xml:space="preserve">            Fig.</w:t>
      </w:r>
      <w:r w:rsidR="00175B86">
        <w:t>1.</w:t>
      </w:r>
      <w:r w:rsidR="00C065E7">
        <w:t>2</w:t>
      </w:r>
      <w:r w:rsidR="007E1A86">
        <w:t xml:space="preserve"> Log-likelihood Profile</w:t>
      </w:r>
    </w:p>
    <w:p w:rsidR="00E1765C" w:rsidRDefault="00C065E7" w:rsidP="00791ED5">
      <w:r>
        <w:t>For Murder Data, we can see that the overall distribution of the data has been changed a bit, which can be seen from the elements distributed on two halves of red line in figure 1 and figure 3.</w:t>
      </w:r>
    </w:p>
    <w:p w:rsidR="00C065E7" w:rsidRDefault="00E1765C" w:rsidP="00791ED5">
      <w:r>
        <w:t>The third</w:t>
      </w:r>
      <w:r w:rsidR="00C065E7">
        <w:t xml:space="preserve"> figure seems more normal than first, but there is nothing drastic. </w:t>
      </w:r>
      <w:r w:rsidR="00690848">
        <w:t>It is not much appropriate i.e quality of transformation is not so good.</w:t>
      </w:r>
    </w:p>
    <w:p w:rsidR="00960686" w:rsidRDefault="00C065E7" w:rsidP="00960686">
      <w:pPr>
        <w:tabs>
          <w:tab w:val="left" w:pos="1641"/>
        </w:tabs>
        <w:rPr>
          <w:rFonts w:eastAsiaTheme="minorEastAsia"/>
        </w:rPr>
      </w:pPr>
      <w:r>
        <w:t>Also, the scale of quantiles have been changed indicating the change in scale after the transformation.</w:t>
      </w:r>
      <w:r w:rsidR="00960686" w:rsidRPr="00960686">
        <w:t xml:space="preserve"> </w:t>
      </w:r>
      <w:r w:rsidR="00960686">
        <w:t xml:space="preserve">The </w:t>
      </w:r>
      <m:oMath>
        <m:r>
          <w:rPr>
            <w:rFonts w:ascii="Cambria Math" w:hAnsi="Cambria Math"/>
          </w:rPr>
          <m:t>λ</m:t>
        </m:r>
      </m:oMath>
      <w:r w:rsidR="00960686">
        <w:rPr>
          <w:rFonts w:eastAsiaTheme="minorEastAsia"/>
        </w:rPr>
        <w:t xml:space="preserve"> is 0.4582</w:t>
      </w:r>
      <w:r w:rsidR="00960686">
        <w:rPr>
          <w:rFonts w:eastAsiaTheme="minorEastAsia"/>
        </w:rPr>
        <w:t xml:space="preserve"> in this case. </w:t>
      </w:r>
    </w:p>
    <w:p w:rsidR="007E1A86" w:rsidRDefault="005D2D43" w:rsidP="00791ED5">
      <w:r>
        <w:rPr>
          <w:noProof/>
          <w:lang w:eastAsia="zh-TW"/>
        </w:rPr>
        <w:pict>
          <v:shapetype id="_x0000_t202" coordsize="21600,21600" o:spt="202" path="m,l,21600r21600,l21600,xe">
            <v:stroke joinstyle="miter"/>
            <v:path gradientshapeok="t" o:connecttype="rect"/>
          </v:shapetype>
          <v:shape id="_x0000_s1026" type="#_x0000_t202" style="position:absolute;margin-left:-250.5pt;margin-top:22.3pt;width:246.05pt;height:33.4pt;z-index:251659776;mso-height-percent:200;mso-height-percent:200;mso-width-relative:margin;mso-height-relative:margin" strokecolor="white [3212]">
            <v:textbox style="mso-fit-shape-to-text:t">
              <w:txbxContent>
                <w:p w:rsidR="00C065E7" w:rsidRDefault="00C065E7">
                  <w:r>
                    <w:t xml:space="preserve">Fig </w:t>
                  </w:r>
                  <w:r w:rsidR="00175B86">
                    <w:t>1.</w:t>
                  </w:r>
                  <w:r>
                    <w:t>3 Normal Q -Q Plot after transformation</w:t>
                  </w:r>
                </w:p>
              </w:txbxContent>
            </v:textbox>
          </v:shape>
        </w:pict>
      </w:r>
      <w:r w:rsidR="00E1765C">
        <w:t xml:space="preserve">Fig 2 illustrate the selection range for the </w:t>
      </w:r>
      <w:r w:rsidR="00E1765C">
        <w:rPr>
          <w:rFonts w:cstheme="minorHAnsi"/>
        </w:rPr>
        <w:t xml:space="preserve">best </w:t>
      </w:r>
      <w:r w:rsidR="00E1765C" w:rsidRPr="009944A6">
        <w:rPr>
          <w:rFonts w:cstheme="minorHAnsi"/>
        </w:rPr>
        <w:t>λ</w:t>
      </w:r>
      <w:r w:rsidR="00E1765C">
        <w:rPr>
          <w:rFonts w:cstheme="minorHAnsi"/>
        </w:rPr>
        <w:t xml:space="preserve"> for Box-Cox Transformation.</w:t>
      </w:r>
    </w:p>
    <w:p w:rsidR="007E1A86" w:rsidRDefault="007E1A86" w:rsidP="00791ED5"/>
    <w:p w:rsidR="007E1A86" w:rsidRDefault="00EE0083" w:rsidP="00791ED5">
      <w:r>
        <w:rPr>
          <w:noProof/>
        </w:rPr>
        <w:lastRenderedPageBreak/>
        <w:drawing>
          <wp:anchor distT="0" distB="0" distL="114300" distR="114300" simplePos="0" relativeHeight="251647488" behindDoc="0" locked="0" layoutInCell="1" allowOverlap="1">
            <wp:simplePos x="0" y="0"/>
            <wp:positionH relativeFrom="column">
              <wp:posOffset>2985135</wp:posOffset>
            </wp:positionH>
            <wp:positionV relativeFrom="paragraph">
              <wp:posOffset>414655</wp:posOffset>
            </wp:positionV>
            <wp:extent cx="3258185" cy="3110865"/>
            <wp:effectExtent l="1905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3258185" cy="3110865"/>
                    </a:xfrm>
                    <a:prstGeom prst="rect">
                      <a:avLst/>
                    </a:prstGeom>
                    <a:noFill/>
                    <a:ln w="9525">
                      <a:noFill/>
                      <a:miter lim="800000"/>
                      <a:headEnd/>
                      <a:tailEnd/>
                    </a:ln>
                  </pic:spPr>
                </pic:pic>
              </a:graphicData>
            </a:graphic>
          </wp:anchor>
        </w:drawing>
      </w:r>
      <w:r w:rsidR="008341E8">
        <w:t xml:space="preserve">For </w:t>
      </w:r>
      <w:r w:rsidR="008341E8" w:rsidRPr="009A2CDB">
        <w:rPr>
          <w:b/>
        </w:rPr>
        <w:t>Assault</w:t>
      </w:r>
      <w:r w:rsidR="009A2CDB">
        <w:t xml:space="preserve"> data</w:t>
      </w:r>
      <w:r w:rsidR="008341E8">
        <w:t>:</w:t>
      </w:r>
    </w:p>
    <w:p w:rsidR="009A2CDB" w:rsidRDefault="009A2CDB" w:rsidP="00791ED5">
      <w:r>
        <w:rPr>
          <w:noProof/>
        </w:rPr>
        <w:drawing>
          <wp:anchor distT="0" distB="0" distL="114300" distR="114300" simplePos="0" relativeHeight="251646464" behindDoc="0" locked="0" layoutInCell="1" allowOverlap="1">
            <wp:simplePos x="0" y="0"/>
            <wp:positionH relativeFrom="column">
              <wp:posOffset>-374650</wp:posOffset>
            </wp:positionH>
            <wp:positionV relativeFrom="paragraph">
              <wp:posOffset>325120</wp:posOffset>
            </wp:positionV>
            <wp:extent cx="2926080" cy="2993390"/>
            <wp:effectExtent l="19050" t="0" r="762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2926080" cy="2993390"/>
                    </a:xfrm>
                    <a:prstGeom prst="rect">
                      <a:avLst/>
                    </a:prstGeom>
                    <a:noFill/>
                    <a:ln w="9525">
                      <a:noFill/>
                      <a:miter lim="800000"/>
                      <a:headEnd/>
                      <a:tailEnd/>
                    </a:ln>
                  </pic:spPr>
                </pic:pic>
              </a:graphicData>
            </a:graphic>
          </wp:anchor>
        </w:drawing>
      </w:r>
      <w:r>
        <w:t>Before Transformation:</w:t>
      </w:r>
    </w:p>
    <w:p w:rsidR="008341E8" w:rsidRDefault="005D2D43" w:rsidP="00791ED5">
      <w:r>
        <w:rPr>
          <w:noProof/>
        </w:rPr>
        <w:pict>
          <v:shape id="_x0000_s1028" type="#_x0000_t202" style="position:absolute;margin-left:-175.75pt;margin-top:238.4pt;width:186.35pt;height:33.4pt;z-index:251661824;mso-width-percent:400;mso-height-percent:200;mso-width-percent:400;mso-height-percent:200;mso-width-relative:margin;mso-height-relative:margin" strokecolor="white [3212]">
            <v:textbox style="mso-next-textbox:#_x0000_s1028;mso-fit-shape-to-text:t">
              <w:txbxContent>
                <w:p w:rsidR="009A2CDB" w:rsidRDefault="009A2CDB" w:rsidP="009A2CDB">
                  <w:r>
                    <w:t xml:space="preserve">Fig </w:t>
                  </w:r>
                  <w:r w:rsidR="00175B86">
                    <w:t>2.</w:t>
                  </w:r>
                  <w:r>
                    <w:t>1. Normal Q Q Plot</w:t>
                  </w:r>
                </w:p>
              </w:txbxContent>
            </v:textbox>
          </v:shape>
        </w:pict>
      </w:r>
      <w:r>
        <w:rPr>
          <w:noProof/>
          <w:lang w:eastAsia="zh-TW"/>
        </w:rPr>
        <w:pict>
          <v:shape id="_x0000_s1027" type="#_x0000_t202" style="position:absolute;margin-left:97.75pt;margin-top:237.95pt;width:186.35pt;height:33.4pt;z-index:251660800;mso-width-percent:400;mso-height-percent:200;mso-width-percent:400;mso-height-percent:200;mso-width-relative:margin;mso-height-relative:margin" strokecolor="white [3212]">
            <v:textbox style="mso-next-textbox:#_x0000_s1027;mso-fit-shape-to-text:t">
              <w:txbxContent>
                <w:p w:rsidR="009A2CDB" w:rsidRDefault="009A2CDB">
                  <w:r>
                    <w:t xml:space="preserve">Fig </w:t>
                  </w:r>
                  <w:r w:rsidR="00175B86">
                    <w:t>2.</w:t>
                  </w:r>
                  <w:r>
                    <w:t>2. log Likelihood Profile</w:t>
                  </w:r>
                </w:p>
              </w:txbxContent>
            </v:textbox>
          </v:shape>
        </w:pict>
      </w:r>
    </w:p>
    <w:p w:rsidR="00C065E7" w:rsidRDefault="00EE0083" w:rsidP="00791ED5">
      <w:r>
        <w:tab/>
      </w:r>
      <w:r>
        <w:tab/>
      </w:r>
      <w:r>
        <w:tab/>
      </w:r>
      <w:r>
        <w:tab/>
      </w:r>
      <w:r>
        <w:tab/>
      </w:r>
      <w:r>
        <w:tab/>
      </w:r>
      <w:r>
        <w:tab/>
      </w:r>
      <w:r>
        <w:tab/>
      </w:r>
      <w:r>
        <w:tab/>
      </w:r>
      <w:r>
        <w:tab/>
      </w:r>
      <w:r>
        <w:tab/>
      </w:r>
      <w:r>
        <w:tab/>
      </w:r>
      <w:r>
        <w:tab/>
      </w:r>
      <w:r>
        <w:tab/>
      </w:r>
      <w:r>
        <w:tab/>
      </w:r>
      <w:r>
        <w:tab/>
      </w:r>
      <w:r>
        <w:tab/>
      </w:r>
      <w:r>
        <w:tab/>
      </w:r>
      <w:r>
        <w:tab/>
      </w:r>
      <w:r>
        <w:tab/>
      </w:r>
      <w:r w:rsidR="009A2CDB">
        <w:t xml:space="preserve">                     </w:t>
      </w:r>
    </w:p>
    <w:p w:rsidR="009A2CDB" w:rsidRDefault="00175B86" w:rsidP="00791ED5">
      <w:r>
        <w:rPr>
          <w:noProof/>
        </w:rPr>
        <w:drawing>
          <wp:anchor distT="0" distB="0" distL="114300" distR="114300" simplePos="0" relativeHeight="251657728" behindDoc="0" locked="0" layoutInCell="1" allowOverlap="1">
            <wp:simplePos x="0" y="0"/>
            <wp:positionH relativeFrom="column">
              <wp:posOffset>-365125</wp:posOffset>
            </wp:positionH>
            <wp:positionV relativeFrom="paragraph">
              <wp:posOffset>358775</wp:posOffset>
            </wp:positionV>
            <wp:extent cx="3234055" cy="3174365"/>
            <wp:effectExtent l="19050" t="0" r="444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3234055" cy="3174365"/>
                    </a:xfrm>
                    <a:prstGeom prst="rect">
                      <a:avLst/>
                    </a:prstGeom>
                    <a:noFill/>
                    <a:ln w="9525">
                      <a:noFill/>
                      <a:miter lim="800000"/>
                      <a:headEnd/>
                      <a:tailEnd/>
                    </a:ln>
                  </pic:spPr>
                </pic:pic>
              </a:graphicData>
            </a:graphic>
          </wp:anchor>
        </w:drawing>
      </w:r>
      <w:r w:rsidR="009A2CDB">
        <w:t>After Transformation:</w:t>
      </w:r>
    </w:p>
    <w:p w:rsidR="00EE0083" w:rsidRDefault="00EE0083" w:rsidP="00791ED5"/>
    <w:p w:rsidR="00791ED5" w:rsidRDefault="009A2CDB" w:rsidP="007E1A86">
      <w:pPr>
        <w:tabs>
          <w:tab w:val="left" w:pos="1641"/>
        </w:tabs>
        <w:ind w:left="1641" w:hanging="1641"/>
      </w:pPr>
      <w:r>
        <w:t xml:space="preserve">In the adjacent figure, we can see that the QQ plot after transformation looks more normal than the original QQ Plot, and the normal line is </w:t>
      </w:r>
      <w:r w:rsidR="00175B86">
        <w:t>closer</w:t>
      </w:r>
      <w:r>
        <w:t xml:space="preserve"> to the data points in the figure.</w:t>
      </w:r>
      <w:r w:rsidR="00647643">
        <w:t xml:space="preserve"> </w:t>
      </w:r>
    </w:p>
    <w:p w:rsidR="00647643" w:rsidRDefault="00647643" w:rsidP="007E1A86">
      <w:pPr>
        <w:tabs>
          <w:tab w:val="left" w:pos="1641"/>
        </w:tabs>
        <w:ind w:left="1641" w:hanging="1641"/>
      </w:pPr>
      <w:r>
        <w:t>It brings in some improvement in the normality of the data.</w:t>
      </w:r>
    </w:p>
    <w:p w:rsidR="00960686" w:rsidRDefault="00960686" w:rsidP="00960686">
      <w:pPr>
        <w:tabs>
          <w:tab w:val="left" w:pos="1641"/>
        </w:tabs>
        <w:rPr>
          <w:rFonts w:eastAsiaTheme="minorEastAsia"/>
        </w:rPr>
      </w:pPr>
      <w:r>
        <w:t xml:space="preserve">The </w:t>
      </w:r>
      <m:oMath>
        <m:r>
          <w:rPr>
            <w:rFonts w:ascii="Cambria Math" w:hAnsi="Cambria Math"/>
          </w:rPr>
          <m:t>λ</m:t>
        </m:r>
      </m:oMath>
      <w:r>
        <w:rPr>
          <w:rFonts w:eastAsiaTheme="minorEastAsia"/>
        </w:rPr>
        <w:t xml:space="preserve"> is 0.5311</w:t>
      </w:r>
      <w:r>
        <w:rPr>
          <w:rFonts w:eastAsiaTheme="minorEastAsia"/>
        </w:rPr>
        <w:t xml:space="preserve"> in this case. </w:t>
      </w:r>
    </w:p>
    <w:p w:rsidR="009A2CDB" w:rsidRDefault="009A2CDB" w:rsidP="007E1A86">
      <w:pPr>
        <w:tabs>
          <w:tab w:val="left" w:pos="1641"/>
        </w:tabs>
        <w:ind w:left="1641" w:hanging="1641"/>
      </w:pPr>
      <w:r>
        <w:t>We should also make a note of the change of scales in the sample Quantiles.</w:t>
      </w:r>
    </w:p>
    <w:p w:rsidR="00791ED5" w:rsidRDefault="00791ED5" w:rsidP="00791ED5">
      <w:pPr>
        <w:tabs>
          <w:tab w:val="left" w:pos="1641"/>
        </w:tabs>
      </w:pPr>
    </w:p>
    <w:p w:rsidR="00791ED5" w:rsidRDefault="00791ED5" w:rsidP="00791ED5">
      <w:pPr>
        <w:tabs>
          <w:tab w:val="left" w:pos="1641"/>
        </w:tabs>
      </w:pPr>
    </w:p>
    <w:p w:rsidR="00791ED5" w:rsidRDefault="005D2D43" w:rsidP="00791ED5">
      <w:pPr>
        <w:tabs>
          <w:tab w:val="left" w:pos="1641"/>
        </w:tabs>
      </w:pPr>
      <w:r>
        <w:rPr>
          <w:noProof/>
        </w:rPr>
        <w:pict>
          <v:shape id="_x0000_s1029" type="#_x0000_t202" style="position:absolute;margin-left:0;margin-top:1.6pt;width:226.85pt;height:33.4pt;z-index:251662848;mso-height-percent:200;mso-height-percent:200;mso-width-relative:margin;mso-height-relative:margin" strokecolor="white [3212]">
            <v:textbox style="mso-next-textbox:#_x0000_s1029;mso-fit-shape-to-text:t">
              <w:txbxContent>
                <w:p w:rsidR="009A2CDB" w:rsidRDefault="009A2CDB" w:rsidP="009A2CDB">
                  <w:r>
                    <w:t xml:space="preserve">Fig </w:t>
                  </w:r>
                  <w:r w:rsidR="00175B86">
                    <w:t>2.</w:t>
                  </w:r>
                  <w:r>
                    <w:t>3. Normal Q Q Plot after transformation</w:t>
                  </w:r>
                </w:p>
              </w:txbxContent>
            </v:textbox>
          </v:shape>
        </w:pict>
      </w:r>
    </w:p>
    <w:p w:rsidR="00EE0083" w:rsidRDefault="009A2CDB" w:rsidP="00791ED5">
      <w:pPr>
        <w:tabs>
          <w:tab w:val="left" w:pos="1641"/>
        </w:tabs>
      </w:pPr>
      <w:r>
        <w:lastRenderedPageBreak/>
        <w:t xml:space="preserve">For </w:t>
      </w:r>
      <w:r w:rsidRPr="009A2CDB">
        <w:rPr>
          <w:b/>
        </w:rPr>
        <w:t>UrbanPop</w:t>
      </w:r>
      <w:r>
        <w:rPr>
          <w:b/>
        </w:rPr>
        <w:t xml:space="preserve"> </w:t>
      </w:r>
      <w:r>
        <w:t>data:</w:t>
      </w:r>
    </w:p>
    <w:p w:rsidR="009A2CDB" w:rsidRDefault="009A2CDB" w:rsidP="00791ED5">
      <w:pPr>
        <w:tabs>
          <w:tab w:val="left" w:pos="1641"/>
        </w:tabs>
      </w:pPr>
      <w:r>
        <w:rPr>
          <w:noProof/>
        </w:rPr>
        <w:drawing>
          <wp:anchor distT="0" distB="0" distL="114300" distR="114300" simplePos="0" relativeHeight="251650560" behindDoc="0" locked="0" layoutInCell="1" allowOverlap="1">
            <wp:simplePos x="0" y="0"/>
            <wp:positionH relativeFrom="column">
              <wp:posOffset>2985135</wp:posOffset>
            </wp:positionH>
            <wp:positionV relativeFrom="paragraph">
              <wp:posOffset>325120</wp:posOffset>
            </wp:positionV>
            <wp:extent cx="2936240" cy="2641600"/>
            <wp:effectExtent l="1905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srcRect/>
                    <a:stretch>
                      <a:fillRect/>
                    </a:stretch>
                  </pic:blipFill>
                  <pic:spPr bwMode="auto">
                    <a:xfrm>
                      <a:off x="0" y="0"/>
                      <a:ext cx="2936240" cy="2641600"/>
                    </a:xfrm>
                    <a:prstGeom prst="rect">
                      <a:avLst/>
                    </a:prstGeom>
                    <a:noFill/>
                    <a:ln w="9525">
                      <a:noFill/>
                      <a:miter lim="800000"/>
                      <a:headEnd/>
                      <a:tailEnd/>
                    </a:ln>
                  </pic:spPr>
                </pic:pic>
              </a:graphicData>
            </a:graphic>
          </wp:anchor>
        </w:drawing>
      </w:r>
      <w:r>
        <w:rPr>
          <w:noProof/>
        </w:rPr>
        <w:drawing>
          <wp:anchor distT="0" distB="0" distL="114300" distR="114300" simplePos="0" relativeHeight="251649536" behindDoc="0" locked="0" layoutInCell="1" allowOverlap="1">
            <wp:simplePos x="0" y="0"/>
            <wp:positionH relativeFrom="column">
              <wp:posOffset>19050</wp:posOffset>
            </wp:positionH>
            <wp:positionV relativeFrom="paragraph">
              <wp:posOffset>325120</wp:posOffset>
            </wp:positionV>
            <wp:extent cx="2966085" cy="2705100"/>
            <wp:effectExtent l="19050" t="0" r="5715"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2966085" cy="2705100"/>
                    </a:xfrm>
                    <a:prstGeom prst="rect">
                      <a:avLst/>
                    </a:prstGeom>
                    <a:noFill/>
                    <a:ln w="9525">
                      <a:noFill/>
                      <a:miter lim="800000"/>
                      <a:headEnd/>
                      <a:tailEnd/>
                    </a:ln>
                  </pic:spPr>
                </pic:pic>
              </a:graphicData>
            </a:graphic>
          </wp:anchor>
        </w:drawing>
      </w:r>
      <w:r>
        <w:t>Before Transformation:</w:t>
      </w:r>
    </w:p>
    <w:p w:rsidR="009A2CDB" w:rsidRPr="009A2CDB" w:rsidRDefault="005D2D43" w:rsidP="009A2CDB">
      <w:pPr>
        <w:tabs>
          <w:tab w:val="left" w:pos="1641"/>
        </w:tabs>
        <w:ind w:left="1641" w:hanging="1641"/>
      </w:pPr>
      <w:r>
        <w:rPr>
          <w:noProof/>
        </w:rPr>
        <w:pict>
          <v:shape id="_x0000_s1032" type="#_x0000_t202" style="position:absolute;left:0;text-align:left;margin-left:-178.05pt;margin-top:217.4pt;width:186.35pt;height:33.4pt;z-index:251664896;mso-width-percent:400;mso-height-percent:200;mso-width-percent:400;mso-height-percent:200;mso-width-relative:margin;mso-height-relative:margin" strokecolor="white [3212]">
            <v:textbox style="mso-next-textbox:#_x0000_s1032;mso-fit-shape-to-text:t">
              <w:txbxContent>
                <w:p w:rsidR="009A2CDB" w:rsidRDefault="009A2CDB" w:rsidP="009A2CDB">
                  <w:r>
                    <w:t xml:space="preserve">Fig </w:t>
                  </w:r>
                  <w:r w:rsidR="00F74B03">
                    <w:t>3.</w:t>
                  </w:r>
                  <w:r>
                    <w:t>1. Normal Q Q Plot</w:t>
                  </w:r>
                </w:p>
              </w:txbxContent>
            </v:textbox>
          </v:shape>
        </w:pict>
      </w:r>
      <w:r>
        <w:rPr>
          <w:noProof/>
        </w:rPr>
        <w:pict>
          <v:shape id="_x0000_s1031" type="#_x0000_t202" style="position:absolute;left:0;text-align:left;margin-left:38.9pt;margin-top:204pt;width:186.35pt;height:33.4pt;z-index:251663872;mso-width-percent:400;mso-height-percent:200;mso-width-percent:400;mso-height-percent:200;mso-width-relative:margin;mso-height-relative:margin" strokecolor="white [3212]">
            <v:textbox style="mso-next-textbox:#_x0000_s1031;mso-fit-shape-to-text:t">
              <w:txbxContent>
                <w:p w:rsidR="009A2CDB" w:rsidRDefault="009A2CDB" w:rsidP="009A2CDB">
                  <w:r>
                    <w:t xml:space="preserve">Fig </w:t>
                  </w:r>
                  <w:r w:rsidR="00F74B03">
                    <w:t>3.</w:t>
                  </w:r>
                  <w:r w:rsidR="009A6800">
                    <w:t>2. L</w:t>
                  </w:r>
                  <w:r>
                    <w:t>og Likelihood Profile</w:t>
                  </w:r>
                </w:p>
              </w:txbxContent>
            </v:textbox>
          </v:shape>
        </w:pict>
      </w:r>
    </w:p>
    <w:p w:rsidR="00EE0083" w:rsidRDefault="00EE0083" w:rsidP="00791ED5">
      <w:pPr>
        <w:tabs>
          <w:tab w:val="left" w:pos="1641"/>
        </w:tabs>
      </w:pPr>
    </w:p>
    <w:p w:rsidR="00EE0083" w:rsidRDefault="009A2CDB" w:rsidP="00791ED5">
      <w:pPr>
        <w:tabs>
          <w:tab w:val="left" w:pos="1641"/>
        </w:tabs>
      </w:pPr>
      <w:r>
        <w:rPr>
          <w:noProof/>
        </w:rPr>
        <w:drawing>
          <wp:anchor distT="0" distB="0" distL="114300" distR="114300" simplePos="0" relativeHeight="251651584" behindDoc="0" locked="0" layoutInCell="1" allowOverlap="1">
            <wp:simplePos x="0" y="0"/>
            <wp:positionH relativeFrom="column">
              <wp:posOffset>-55880</wp:posOffset>
            </wp:positionH>
            <wp:positionV relativeFrom="paragraph">
              <wp:posOffset>-2540</wp:posOffset>
            </wp:positionV>
            <wp:extent cx="3124835" cy="2767330"/>
            <wp:effectExtent l="1905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srcRect/>
                    <a:stretch>
                      <a:fillRect/>
                    </a:stretch>
                  </pic:blipFill>
                  <pic:spPr bwMode="auto">
                    <a:xfrm>
                      <a:off x="0" y="0"/>
                      <a:ext cx="3124835" cy="2767330"/>
                    </a:xfrm>
                    <a:prstGeom prst="rect">
                      <a:avLst/>
                    </a:prstGeom>
                    <a:noFill/>
                    <a:ln w="9525">
                      <a:noFill/>
                      <a:miter lim="800000"/>
                      <a:headEnd/>
                      <a:tailEnd/>
                    </a:ln>
                  </pic:spPr>
                </pic:pic>
              </a:graphicData>
            </a:graphic>
          </wp:anchor>
        </w:drawing>
      </w:r>
    </w:p>
    <w:p w:rsidR="00791ED5" w:rsidRDefault="009A2CDB" w:rsidP="00791ED5">
      <w:pPr>
        <w:tabs>
          <w:tab w:val="left" w:pos="1641"/>
        </w:tabs>
      </w:pPr>
      <w:r>
        <w:t xml:space="preserve">The three figure show QQ Plot before transformation, the log likelihood profile and the QQ plot after transformation. </w:t>
      </w:r>
    </w:p>
    <w:p w:rsidR="009A2CDB" w:rsidRDefault="009A2CDB" w:rsidP="00791ED5">
      <w:pPr>
        <w:tabs>
          <w:tab w:val="left" w:pos="1641"/>
        </w:tabs>
      </w:pPr>
      <w:r>
        <w:t>Unlike previous data, there is almost no change in the data after transformation; only the scales seems to have changed.</w:t>
      </w:r>
    </w:p>
    <w:p w:rsidR="009A2CDB" w:rsidRDefault="009A2CDB" w:rsidP="00791ED5">
      <w:pPr>
        <w:tabs>
          <w:tab w:val="left" w:pos="1641"/>
        </w:tabs>
        <w:rPr>
          <w:rFonts w:eastAsiaTheme="minorEastAsia"/>
        </w:rPr>
      </w:pPr>
      <w:r>
        <w:t xml:space="preserve">The </w:t>
      </w:r>
      <m:oMath>
        <m:r>
          <w:rPr>
            <w:rFonts w:ascii="Cambria Math" w:hAnsi="Cambria Math"/>
          </w:rPr>
          <m:t>λ</m:t>
        </m:r>
      </m:oMath>
      <w:r>
        <w:rPr>
          <w:rFonts w:eastAsiaTheme="minorEastAsia"/>
        </w:rPr>
        <w:t xml:space="preserve"> is 1.31 in this case. </w:t>
      </w:r>
    </w:p>
    <w:p w:rsidR="009A2CDB" w:rsidRDefault="009A2CDB" w:rsidP="00791ED5">
      <w:pPr>
        <w:tabs>
          <w:tab w:val="left" w:pos="1641"/>
        </w:tabs>
      </w:pPr>
      <w:r>
        <w:rPr>
          <w:rFonts w:eastAsiaTheme="minorEastAsia"/>
        </w:rPr>
        <w:t xml:space="preserve">So, the operation of conversion to normality is </w:t>
      </w:r>
      <w:r w:rsidR="002B5028">
        <w:rPr>
          <w:rFonts w:eastAsiaTheme="minorEastAsia"/>
        </w:rPr>
        <w:t>quite unsuccessful in this case, and can be avoided.</w:t>
      </w:r>
    </w:p>
    <w:p w:rsidR="00791ED5" w:rsidRDefault="005D2D43" w:rsidP="00791ED5">
      <w:pPr>
        <w:tabs>
          <w:tab w:val="left" w:pos="1641"/>
        </w:tabs>
      </w:pPr>
      <w:r>
        <w:rPr>
          <w:noProof/>
        </w:rPr>
        <w:pict>
          <v:shape id="_x0000_s1033" type="#_x0000_t202" style="position:absolute;margin-left:30pt;margin-top:10.95pt;width:214.85pt;height:33.4pt;z-index:251665920;mso-height-percent:200;mso-height-percent:200;mso-width-relative:margin;mso-height-relative:margin" strokecolor="white [3212]">
            <v:textbox style="mso-next-textbox:#_x0000_s1033;mso-fit-shape-to-text:t">
              <w:txbxContent>
                <w:p w:rsidR="009A2CDB" w:rsidRDefault="009A2CDB" w:rsidP="009A2CDB">
                  <w:r>
                    <w:t>Fig 3.</w:t>
                  </w:r>
                  <w:r w:rsidR="00F74B03">
                    <w:t>3</w:t>
                  </w:r>
                  <w:r>
                    <w:t xml:space="preserve"> Normal Q Q Plot after transformation</w:t>
                  </w:r>
                </w:p>
              </w:txbxContent>
            </v:textbox>
          </v:shape>
        </w:pict>
      </w:r>
    </w:p>
    <w:p w:rsidR="00791ED5" w:rsidRDefault="00791ED5" w:rsidP="00791ED5">
      <w:pPr>
        <w:tabs>
          <w:tab w:val="left" w:pos="1641"/>
        </w:tabs>
      </w:pPr>
    </w:p>
    <w:p w:rsidR="009A2CDB" w:rsidRDefault="009A2CDB" w:rsidP="00791ED5">
      <w:pPr>
        <w:tabs>
          <w:tab w:val="left" w:pos="1641"/>
        </w:tabs>
      </w:pPr>
    </w:p>
    <w:p w:rsidR="00D52319" w:rsidRDefault="00D52319" w:rsidP="00791ED5">
      <w:pPr>
        <w:tabs>
          <w:tab w:val="left" w:pos="1641"/>
        </w:tabs>
      </w:pPr>
    </w:p>
    <w:p w:rsidR="00D52319" w:rsidRDefault="00D52319" w:rsidP="00791ED5">
      <w:pPr>
        <w:tabs>
          <w:tab w:val="left" w:pos="1641"/>
        </w:tabs>
      </w:pPr>
    </w:p>
    <w:p w:rsidR="00D52319" w:rsidRDefault="00D52319" w:rsidP="00791ED5">
      <w:pPr>
        <w:tabs>
          <w:tab w:val="left" w:pos="1641"/>
        </w:tabs>
      </w:pPr>
      <w:r>
        <w:lastRenderedPageBreak/>
        <w:t xml:space="preserve">For </w:t>
      </w:r>
      <w:r>
        <w:rPr>
          <w:b/>
        </w:rPr>
        <w:t xml:space="preserve">Rape </w:t>
      </w:r>
      <w:r>
        <w:t>data:</w:t>
      </w:r>
    </w:p>
    <w:p w:rsidR="00D52319" w:rsidRDefault="00C446A6" w:rsidP="00791ED5">
      <w:pPr>
        <w:tabs>
          <w:tab w:val="left" w:pos="1641"/>
        </w:tabs>
      </w:pPr>
      <w:r>
        <w:rPr>
          <w:noProof/>
        </w:rPr>
        <w:drawing>
          <wp:anchor distT="0" distB="0" distL="114300" distR="114300" simplePos="0" relativeHeight="251652608" behindDoc="0" locked="0" layoutInCell="1" allowOverlap="1">
            <wp:simplePos x="0" y="0"/>
            <wp:positionH relativeFrom="column">
              <wp:posOffset>19050</wp:posOffset>
            </wp:positionH>
            <wp:positionV relativeFrom="paragraph">
              <wp:posOffset>325120</wp:posOffset>
            </wp:positionV>
            <wp:extent cx="3163570" cy="2562225"/>
            <wp:effectExtent l="1905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srcRect/>
                    <a:stretch>
                      <a:fillRect/>
                    </a:stretch>
                  </pic:blipFill>
                  <pic:spPr bwMode="auto">
                    <a:xfrm>
                      <a:off x="0" y="0"/>
                      <a:ext cx="3163570" cy="2562225"/>
                    </a:xfrm>
                    <a:prstGeom prst="rect">
                      <a:avLst/>
                    </a:prstGeom>
                    <a:noFill/>
                    <a:ln w="9525">
                      <a:noFill/>
                      <a:miter lim="800000"/>
                      <a:headEnd/>
                      <a:tailEnd/>
                    </a:ln>
                  </pic:spPr>
                </pic:pic>
              </a:graphicData>
            </a:graphic>
          </wp:anchor>
        </w:drawing>
      </w:r>
      <w:r w:rsidR="00D52319">
        <w:t>Before Transformation:</w:t>
      </w:r>
    </w:p>
    <w:p w:rsidR="00D52319" w:rsidRPr="00D52319" w:rsidRDefault="005D2D43" w:rsidP="00C446A6">
      <w:pPr>
        <w:tabs>
          <w:tab w:val="left" w:pos="1641"/>
        </w:tabs>
        <w:ind w:left="1641" w:hanging="1641"/>
      </w:pPr>
      <w:r>
        <w:rPr>
          <w:noProof/>
        </w:rPr>
        <w:pict>
          <v:shape id="_x0000_s1034" type="#_x0000_t202" style="position:absolute;left:0;text-align:left;margin-left:63.75pt;margin-top:214.6pt;width:186.2pt;height:33.4pt;z-index:251666944;mso-width-percent:400;mso-height-percent:200;mso-width-percent:400;mso-height-percent:200;mso-width-relative:margin;mso-height-relative:margin" strokecolor="white [3212]">
            <v:textbox style="mso-next-textbox:#_x0000_s1034;mso-fit-shape-to-text:t">
              <w:txbxContent>
                <w:p w:rsidR="00C446A6" w:rsidRDefault="00C446A6" w:rsidP="00C446A6">
                  <w:r>
                    <w:t>Fig</w:t>
                  </w:r>
                  <w:r w:rsidR="00474658">
                    <w:t xml:space="preserve"> 4.1</w:t>
                  </w:r>
                  <w:r>
                    <w:t xml:space="preserve"> Normal Q Q Plot</w:t>
                  </w:r>
                </w:p>
              </w:txbxContent>
            </v:textbox>
          </v:shape>
        </w:pict>
      </w:r>
      <w:r>
        <w:rPr>
          <w:noProof/>
        </w:rPr>
        <w:pict>
          <v:shape id="_x0000_s1035" type="#_x0000_t202" style="position:absolute;left:0;text-align:left;margin-left:307.5pt;margin-top:216.4pt;width:186.35pt;height:33.4pt;z-index:251667968;mso-width-percent:400;mso-height-percent:200;mso-width-percent:400;mso-height-percent:200;mso-width-relative:margin;mso-height-relative:margin" strokecolor="white [3212]">
            <v:textbox style="mso-next-textbox:#_x0000_s1035;mso-fit-shape-to-text:t">
              <w:txbxContent>
                <w:p w:rsidR="00C446A6" w:rsidRDefault="00C446A6" w:rsidP="00C446A6">
                  <w:r>
                    <w:t xml:space="preserve">Fig </w:t>
                  </w:r>
                  <w:r w:rsidR="00474658">
                    <w:t>4.2 L</w:t>
                  </w:r>
                  <w:r>
                    <w:t>og Likelihood Profile</w:t>
                  </w:r>
                </w:p>
              </w:txbxContent>
            </v:textbox>
          </v:shape>
        </w:pict>
      </w:r>
      <w:r w:rsidR="00C446A6">
        <w:rPr>
          <w:noProof/>
        </w:rPr>
        <w:drawing>
          <wp:anchor distT="0" distB="0" distL="114300" distR="114300" simplePos="0" relativeHeight="251653632" behindDoc="0" locked="0" layoutInCell="1" allowOverlap="1">
            <wp:simplePos x="0" y="0"/>
            <wp:positionH relativeFrom="column">
              <wp:posOffset>-118110</wp:posOffset>
            </wp:positionH>
            <wp:positionV relativeFrom="paragraph">
              <wp:posOffset>25400</wp:posOffset>
            </wp:positionV>
            <wp:extent cx="2840990" cy="2540635"/>
            <wp:effectExtent l="1905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srcRect/>
                    <a:stretch>
                      <a:fillRect/>
                    </a:stretch>
                  </pic:blipFill>
                  <pic:spPr bwMode="auto">
                    <a:xfrm>
                      <a:off x="0" y="0"/>
                      <a:ext cx="2840990" cy="2540635"/>
                    </a:xfrm>
                    <a:prstGeom prst="rect">
                      <a:avLst/>
                    </a:prstGeom>
                    <a:noFill/>
                    <a:ln w="9525">
                      <a:noFill/>
                      <a:miter lim="800000"/>
                      <a:headEnd/>
                      <a:tailEnd/>
                    </a:ln>
                  </pic:spPr>
                </pic:pic>
              </a:graphicData>
            </a:graphic>
          </wp:anchor>
        </w:drawing>
      </w:r>
    </w:p>
    <w:p w:rsidR="009A2CDB" w:rsidRDefault="009A2CDB" w:rsidP="00791ED5">
      <w:pPr>
        <w:tabs>
          <w:tab w:val="left" w:pos="1641"/>
        </w:tabs>
      </w:pPr>
    </w:p>
    <w:p w:rsidR="009A2CDB" w:rsidRDefault="00C446A6" w:rsidP="00791ED5">
      <w:pPr>
        <w:tabs>
          <w:tab w:val="left" w:pos="1641"/>
        </w:tabs>
      </w:pPr>
      <w:r>
        <w:rPr>
          <w:noProof/>
        </w:rPr>
        <w:drawing>
          <wp:anchor distT="0" distB="0" distL="114300" distR="114300" simplePos="0" relativeHeight="251654656" behindDoc="0" locked="0" layoutInCell="1" allowOverlap="1">
            <wp:simplePos x="0" y="0"/>
            <wp:positionH relativeFrom="column">
              <wp:posOffset>-119380</wp:posOffset>
            </wp:positionH>
            <wp:positionV relativeFrom="paragraph">
              <wp:posOffset>278765</wp:posOffset>
            </wp:positionV>
            <wp:extent cx="3037840" cy="2700655"/>
            <wp:effectExtent l="1905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srcRect/>
                    <a:stretch>
                      <a:fillRect/>
                    </a:stretch>
                  </pic:blipFill>
                  <pic:spPr bwMode="auto">
                    <a:xfrm>
                      <a:off x="0" y="0"/>
                      <a:ext cx="3037840" cy="2700655"/>
                    </a:xfrm>
                    <a:prstGeom prst="rect">
                      <a:avLst/>
                    </a:prstGeom>
                    <a:noFill/>
                    <a:ln w="9525">
                      <a:noFill/>
                      <a:miter lim="800000"/>
                      <a:headEnd/>
                      <a:tailEnd/>
                    </a:ln>
                  </pic:spPr>
                </pic:pic>
              </a:graphicData>
            </a:graphic>
          </wp:anchor>
        </w:drawing>
      </w:r>
    </w:p>
    <w:p w:rsidR="009A2CDB" w:rsidRDefault="009A2CDB" w:rsidP="00791ED5">
      <w:pPr>
        <w:tabs>
          <w:tab w:val="left" w:pos="1641"/>
        </w:tabs>
      </w:pPr>
    </w:p>
    <w:p w:rsidR="00C446A6" w:rsidRDefault="00C446A6" w:rsidP="00791ED5">
      <w:pPr>
        <w:tabs>
          <w:tab w:val="left" w:pos="1641"/>
        </w:tabs>
      </w:pPr>
      <w:r>
        <w:t xml:space="preserve">There can be seen significant transformation in this case of </w:t>
      </w:r>
      <w:r>
        <w:rPr>
          <w:b/>
        </w:rPr>
        <w:t>Rape</w:t>
      </w:r>
      <w:r>
        <w:t xml:space="preserve"> data before and after the transformation.</w:t>
      </w:r>
    </w:p>
    <w:p w:rsidR="00C446A6" w:rsidRDefault="00C446A6" w:rsidP="00791ED5">
      <w:pPr>
        <w:tabs>
          <w:tab w:val="left" w:pos="1641"/>
        </w:tabs>
      </w:pPr>
      <w:r>
        <w:t xml:space="preserve">The </w:t>
      </w:r>
      <w:r>
        <w:rPr>
          <w:rFonts w:cstheme="minorHAnsi"/>
        </w:rPr>
        <w:t>λ</w:t>
      </w:r>
      <w:r>
        <w:t xml:space="preserve"> in this case is taken to be 0.19. </w:t>
      </w:r>
    </w:p>
    <w:p w:rsidR="00690848" w:rsidRDefault="00690848" w:rsidP="00791ED5">
      <w:pPr>
        <w:tabs>
          <w:tab w:val="left" w:pos="1641"/>
        </w:tabs>
      </w:pPr>
      <w:r>
        <w:t>This is the best quality transformation in the four cases as can be seen.</w:t>
      </w:r>
    </w:p>
    <w:p w:rsidR="00C446A6" w:rsidRPr="00C446A6" w:rsidRDefault="00C446A6" w:rsidP="00791ED5">
      <w:pPr>
        <w:tabs>
          <w:tab w:val="left" w:pos="1641"/>
        </w:tabs>
      </w:pPr>
    </w:p>
    <w:p w:rsidR="009A2CDB" w:rsidRDefault="009A2CDB" w:rsidP="00791ED5">
      <w:pPr>
        <w:tabs>
          <w:tab w:val="left" w:pos="1641"/>
        </w:tabs>
      </w:pPr>
    </w:p>
    <w:p w:rsidR="009A2CDB" w:rsidRDefault="009A2CDB" w:rsidP="00791ED5">
      <w:pPr>
        <w:tabs>
          <w:tab w:val="left" w:pos="1641"/>
        </w:tabs>
      </w:pPr>
    </w:p>
    <w:p w:rsidR="009A2CDB" w:rsidRDefault="005D2D43" w:rsidP="00791ED5">
      <w:pPr>
        <w:tabs>
          <w:tab w:val="left" w:pos="1641"/>
        </w:tabs>
      </w:pPr>
      <w:r>
        <w:rPr>
          <w:noProof/>
        </w:rPr>
        <w:pict>
          <v:shape id="_x0000_s1036" type="#_x0000_t202" style="position:absolute;margin-left:20.2pt;margin-top:2.6pt;width:214.85pt;height:33.4pt;z-index:251668992;mso-height-percent:200;mso-height-percent:200;mso-width-relative:margin;mso-height-relative:margin" strokecolor="white [3212]">
            <v:textbox style="mso-next-textbox:#_x0000_s1036;mso-fit-shape-to-text:t">
              <w:txbxContent>
                <w:p w:rsidR="00C446A6" w:rsidRDefault="00C446A6" w:rsidP="00C446A6">
                  <w:r>
                    <w:t xml:space="preserve">Fig </w:t>
                  </w:r>
                  <w:r w:rsidR="00474658">
                    <w:t>4.3</w:t>
                  </w:r>
                  <w:r>
                    <w:t xml:space="preserve"> Normal Q Q Plot after transformation</w:t>
                  </w:r>
                </w:p>
              </w:txbxContent>
            </v:textbox>
          </v:shape>
        </w:pict>
      </w:r>
    </w:p>
    <w:p w:rsidR="009A2CDB" w:rsidRDefault="009A2CDB" w:rsidP="00791ED5">
      <w:pPr>
        <w:tabs>
          <w:tab w:val="left" w:pos="1641"/>
        </w:tabs>
      </w:pPr>
    </w:p>
    <w:p w:rsidR="009A2CDB" w:rsidRDefault="009A2CDB" w:rsidP="00791ED5">
      <w:pPr>
        <w:tabs>
          <w:tab w:val="left" w:pos="1641"/>
        </w:tabs>
      </w:pPr>
    </w:p>
    <w:p w:rsidR="009A2CDB" w:rsidRDefault="009A2CDB" w:rsidP="00791ED5">
      <w:pPr>
        <w:tabs>
          <w:tab w:val="left" w:pos="1641"/>
        </w:tabs>
      </w:pPr>
    </w:p>
    <w:p w:rsidR="009A2CDB" w:rsidRDefault="009A2CDB" w:rsidP="00791ED5">
      <w:pPr>
        <w:tabs>
          <w:tab w:val="left" w:pos="1641"/>
        </w:tabs>
      </w:pPr>
    </w:p>
    <w:p w:rsidR="009A2CDB" w:rsidRPr="001F14E5" w:rsidRDefault="001E378A" w:rsidP="00791ED5">
      <w:pPr>
        <w:tabs>
          <w:tab w:val="left" w:pos="1641"/>
        </w:tabs>
        <w:rPr>
          <w:b/>
        </w:rPr>
      </w:pPr>
      <w:r w:rsidRPr="001F14E5">
        <w:rPr>
          <w:b/>
        </w:rPr>
        <w:t>3) Pe</w:t>
      </w:r>
      <w:r w:rsidR="00EB0D8A" w:rsidRPr="001F14E5">
        <w:rPr>
          <w:b/>
        </w:rPr>
        <w:t>rform PCA and find the loadings.</w:t>
      </w:r>
    </w:p>
    <w:p w:rsidR="00B43F04" w:rsidRPr="001F14E5" w:rsidRDefault="00B43F04" w:rsidP="00791ED5">
      <w:pPr>
        <w:tabs>
          <w:tab w:val="left" w:pos="1641"/>
        </w:tabs>
        <w:rPr>
          <w:b/>
        </w:rPr>
      </w:pPr>
      <w:r w:rsidRPr="001F14E5">
        <w:rPr>
          <w:b/>
        </w:rPr>
        <w:t>4) Compute principal components and find the correlations between the first PC and the original variables.</w:t>
      </w:r>
    </w:p>
    <w:p w:rsidR="00264ECC" w:rsidRDefault="00EB0D8A" w:rsidP="00264ECC">
      <w:pPr>
        <w:pStyle w:val="NoSpacing"/>
      </w:pPr>
      <w:r>
        <w:t xml:space="preserve">Principal  Component Analysis (PCA) is a dimension reduction tool that can be used to reduce large set of variables to a small set that still contains most of the information in the large set. It is a mathematical procedure that transforms a number of (possibly) correlated variables into a (smaller) number of </w:t>
      </w:r>
    </w:p>
    <w:p w:rsidR="00EB0D8A" w:rsidRDefault="00EB0D8A" w:rsidP="00264ECC">
      <w:pPr>
        <w:pStyle w:val="NoSpacing"/>
      </w:pPr>
      <w:r>
        <w:t>uncorrelated variables called principal components.</w:t>
      </w:r>
    </w:p>
    <w:p w:rsidR="00264ECC" w:rsidRDefault="00264ECC" w:rsidP="00264ECC">
      <w:pPr>
        <w:pStyle w:val="NoSpacing"/>
      </w:pPr>
    </w:p>
    <w:p w:rsidR="00EB0D8A" w:rsidRDefault="00EB0D8A" w:rsidP="00264ECC">
      <w:pPr>
        <w:pStyle w:val="NoSpacing"/>
      </w:pPr>
      <w:r>
        <w:t>The first component accounts for as much of the variability in the data as possible and each succeeding component accounts for as much of the remaining variability as possible.</w:t>
      </w:r>
    </w:p>
    <w:p w:rsidR="00264ECC" w:rsidRDefault="00264ECC" w:rsidP="00264ECC">
      <w:pPr>
        <w:pStyle w:val="NoSpacing"/>
      </w:pPr>
    </w:p>
    <w:p w:rsidR="00D63678" w:rsidRDefault="00D63678" w:rsidP="00D63678">
      <w:pPr>
        <w:pStyle w:val="NoSpacing"/>
      </w:pPr>
      <w:r>
        <w:t xml:space="preserve"> PCA can be considered as a rotation of the axes of the original variable coordinate system to new </w:t>
      </w:r>
      <w:r w:rsidR="003E0DD6">
        <w:t>o</w:t>
      </w:r>
      <w:r>
        <w:t>rthogonal axes, called principal axes, such that the new axes coincide with directions of maximum variation of original observations. Consider the axis passing though the ends of the elliptical cluster of points in Figure 1. Project the original data points onto this axis. The point y</w:t>
      </w:r>
      <w:r>
        <w:rPr>
          <w:vertAlign w:val="subscript"/>
        </w:rPr>
        <w:t xml:space="preserve">1m </w:t>
      </w:r>
      <w:r w:rsidR="00264ECC">
        <w:t>is the projection of the point (X</w:t>
      </w:r>
      <w:r w:rsidR="00264ECC">
        <w:rPr>
          <w:vertAlign w:val="subscript"/>
        </w:rPr>
        <w:t xml:space="preserve">1m, </w:t>
      </w:r>
      <w:r w:rsidR="00264ECC">
        <w:t>X</w:t>
      </w:r>
      <w:r w:rsidR="00264ECC">
        <w:rPr>
          <w:vertAlign w:val="subscript"/>
        </w:rPr>
        <w:t xml:space="preserve">2m) </w:t>
      </w:r>
      <w:r w:rsidR="00264ECC">
        <w:t>onto the axis defined by the direction Y</w:t>
      </w:r>
      <w:r w:rsidR="00264ECC">
        <w:rPr>
          <w:vertAlign w:val="subscript"/>
        </w:rPr>
        <w:t xml:space="preserve">1. </w:t>
      </w:r>
      <w:r w:rsidR="00264ECC">
        <w:t>This axis has the property that the variance of the projected points y</w:t>
      </w:r>
      <w:r w:rsidR="00264ECC">
        <w:rPr>
          <w:vertAlign w:val="subscript"/>
        </w:rPr>
        <w:t>1m</w:t>
      </w:r>
      <w:r w:rsidR="00264ECC">
        <w:t>, m=1,…n, is greater than the variance of the points when projected onto any other line or axis passing through (x</w:t>
      </w:r>
      <w:r w:rsidR="00264ECC" w:rsidRPr="00264ECC">
        <w:rPr>
          <w:vertAlign w:val="subscript"/>
        </w:rPr>
        <w:t>1</w:t>
      </w:r>
      <w:r w:rsidR="00264ECC">
        <w:t>, x</w:t>
      </w:r>
      <w:r w:rsidR="00264ECC" w:rsidRPr="00264ECC">
        <w:rPr>
          <w:vertAlign w:val="subscript"/>
        </w:rPr>
        <w:t>2</w:t>
      </w:r>
      <w:r w:rsidR="00264ECC">
        <w:t>). Any line parallel to Y</w:t>
      </w:r>
      <w:r w:rsidR="00264ECC" w:rsidRPr="00264ECC">
        <w:rPr>
          <w:vertAlign w:val="subscript"/>
        </w:rPr>
        <w:t>1</w:t>
      </w:r>
      <w:r w:rsidR="00264ECC">
        <w:t xml:space="preserve"> also has the same property.</w:t>
      </w:r>
    </w:p>
    <w:p w:rsidR="00264ECC" w:rsidRDefault="00264ECC" w:rsidP="00D63678">
      <w:pPr>
        <w:pStyle w:val="NoSpacing"/>
      </w:pPr>
    </w:p>
    <w:p w:rsidR="00264ECC" w:rsidRDefault="00264ECC" w:rsidP="00D63678">
      <w:pPr>
        <w:pStyle w:val="NoSpacing"/>
      </w:pPr>
      <w:r>
        <w:rPr>
          <w:noProof/>
        </w:rPr>
        <w:drawing>
          <wp:anchor distT="0" distB="0" distL="114300" distR="114300" simplePos="0" relativeHeight="251655680" behindDoc="0" locked="0" layoutInCell="1" allowOverlap="1">
            <wp:simplePos x="0" y="0"/>
            <wp:positionH relativeFrom="column">
              <wp:posOffset>2553970</wp:posOffset>
            </wp:positionH>
            <wp:positionV relativeFrom="paragraph">
              <wp:posOffset>383313</wp:posOffset>
            </wp:positionV>
            <wp:extent cx="3948430" cy="44691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48430" cy="4469130"/>
                    </a:xfrm>
                    <a:prstGeom prst="rect">
                      <a:avLst/>
                    </a:prstGeom>
                  </pic:spPr>
                </pic:pic>
              </a:graphicData>
            </a:graphic>
            <wp14:sizeRelH relativeFrom="page">
              <wp14:pctWidth>0</wp14:pctWidth>
            </wp14:sizeRelH>
            <wp14:sizeRelV relativeFrom="page">
              <wp14:pctHeight>0</wp14:pctHeight>
            </wp14:sizeRelV>
          </wp:anchor>
        </w:drawing>
      </w:r>
      <w:r>
        <w:t>The property of maximum variation of the projected points defines the first principal axis; it is the line or direction with maximum variation of the projected values of the original data points. The projected values corresponding to this direction of maximum variation are the principal component scores.  The first principal axis is also called the line of best fit since the sum of squares of the perpendicular deviations of the original data points from the line is minimum. Successive principal axes are determined with the property that they are orthogonal to the previous principal axes and that they maximize the variation of the projected points subject to these constraints.[2]</w:t>
      </w:r>
    </w:p>
    <w:p w:rsidR="00264ECC" w:rsidRDefault="00264ECC" w:rsidP="00D63678">
      <w:pPr>
        <w:pStyle w:val="NoSpacing"/>
      </w:pPr>
    </w:p>
    <w:p w:rsidR="00264ECC" w:rsidRDefault="00264ECC" w:rsidP="00D63678">
      <w:pPr>
        <w:pStyle w:val="NoSpacing"/>
      </w:pPr>
      <w:r>
        <w:t>Objective of PCA:</w:t>
      </w:r>
    </w:p>
    <w:p w:rsidR="00264ECC" w:rsidRDefault="00264ECC" w:rsidP="00264ECC">
      <w:pPr>
        <w:pStyle w:val="NoSpacing"/>
        <w:numPr>
          <w:ilvl w:val="0"/>
          <w:numId w:val="2"/>
        </w:numPr>
      </w:pPr>
      <w:r>
        <w:t>Reduce the attribute space from a larger number of variables to a small number of factors and as such is a “non-dependent” procedure.</w:t>
      </w:r>
    </w:p>
    <w:p w:rsidR="00264ECC" w:rsidRDefault="00264ECC" w:rsidP="00264ECC">
      <w:pPr>
        <w:pStyle w:val="NoSpacing"/>
        <w:numPr>
          <w:ilvl w:val="0"/>
          <w:numId w:val="2"/>
        </w:numPr>
      </w:pPr>
      <w:r>
        <w:t>PCA is dimensionality reduction or data compression method, but there is no guarantee that the dimensions are interpretable.</w:t>
      </w:r>
    </w:p>
    <w:p w:rsidR="00264ECC" w:rsidRPr="00264ECC" w:rsidRDefault="00264ECC" w:rsidP="00264ECC">
      <w:pPr>
        <w:pStyle w:val="NoSpacing"/>
        <w:numPr>
          <w:ilvl w:val="0"/>
          <w:numId w:val="2"/>
        </w:numPr>
      </w:pPr>
      <w:r>
        <w:lastRenderedPageBreak/>
        <w:t>To select a subset of variable from a larger set, based on which original variables have the highest corelations with the principal component.</w:t>
      </w:r>
    </w:p>
    <w:p w:rsidR="00D63678" w:rsidRDefault="00264ECC" w:rsidP="00264ECC">
      <w:pPr>
        <w:pStyle w:val="NoSpacing"/>
      </w:pPr>
      <w:r>
        <w:t>The principal components are linear combinations of the original variables weighted by their contribution to exp</w:t>
      </w:r>
      <w:r w:rsidR="00AE4AEF">
        <w:t>laining the variance of a particular orthogonal dimension. It then removes this variance and seeks a second linear combination which explains the maximum proportion of remaining variance, and so on. This is called principal axis method.</w:t>
      </w:r>
    </w:p>
    <w:p w:rsidR="00AE4AEF" w:rsidRDefault="00AE4AEF" w:rsidP="00264ECC">
      <w:pPr>
        <w:pStyle w:val="NoSpacing"/>
      </w:pPr>
    </w:p>
    <w:p w:rsidR="00AE4AEF" w:rsidRDefault="00AE4AEF" w:rsidP="00264ECC">
      <w:pPr>
        <w:pStyle w:val="NoSpacing"/>
      </w:pPr>
      <w:r w:rsidRPr="00AE4AEF">
        <w:rPr>
          <w:b/>
        </w:rPr>
        <w:t>Eigen Vectors:</w:t>
      </w:r>
      <w:r>
        <w:t xml:space="preserve"> Principal components reflect both common and unique variance of the variables and may be seen as</w:t>
      </w:r>
      <w:r w:rsidR="003E0DD6">
        <w:t xml:space="preserve"> a variance-focused approach see</w:t>
      </w:r>
      <w:r>
        <w:t>king to reproduce both the total variable variance with all  components and to reproduce the correlations.</w:t>
      </w:r>
    </w:p>
    <w:p w:rsidR="00AE4AEF" w:rsidRDefault="00AE4AEF" w:rsidP="00264ECC">
      <w:pPr>
        <w:pStyle w:val="NoSpacing"/>
      </w:pPr>
    </w:p>
    <w:p w:rsidR="00AE4AEF" w:rsidRDefault="00AE4AEF" w:rsidP="00264ECC">
      <w:pPr>
        <w:pStyle w:val="NoSpacing"/>
      </w:pPr>
      <w:r>
        <w:rPr>
          <w:b/>
        </w:rPr>
        <w:t>Eigen Values</w:t>
      </w:r>
      <w:r>
        <w:t>: Also called characteristic roots. The eigenvalue for a given factor measures the variance in all the variables which is accounted for by that factor.</w:t>
      </w:r>
    </w:p>
    <w:p w:rsidR="00AE4AEF" w:rsidRDefault="00AE4AEF" w:rsidP="00264ECC">
      <w:pPr>
        <w:pStyle w:val="NoSpacing"/>
      </w:pPr>
      <w:r>
        <w:t>A factor’s eigenvalue may be computed as the sum of its squared factor loadings for all the variables.</w:t>
      </w:r>
    </w:p>
    <w:p w:rsidR="00AE4AEF" w:rsidRPr="00AE4AEF" w:rsidRDefault="00AE4AEF" w:rsidP="00264ECC">
      <w:pPr>
        <w:pStyle w:val="NoSpacing"/>
      </w:pPr>
    </w:p>
    <w:p w:rsidR="009A2CDB" w:rsidRDefault="00AE4AEF" w:rsidP="00AE4AEF">
      <w:pPr>
        <w:pStyle w:val="NoSpacing"/>
      </w:pPr>
      <w:r>
        <w:rPr>
          <w:b/>
        </w:rPr>
        <w:t>Factor Loadings:</w:t>
      </w:r>
      <w:r>
        <w:t xml:space="preserve"> The factor loadings, also called coefficient loadings in PCA, are the correlation coefficients between the variable(rows) and factors(column).</w:t>
      </w:r>
    </w:p>
    <w:p w:rsidR="00AE4AEF" w:rsidRDefault="00AE4AEF" w:rsidP="00AE4AEF">
      <w:pPr>
        <w:pStyle w:val="NoSpacing"/>
      </w:pPr>
    </w:p>
    <w:p w:rsidR="00AE4AEF" w:rsidRDefault="00AE4AEF" w:rsidP="00AE4AEF">
      <w:pPr>
        <w:pStyle w:val="NoSpacing"/>
      </w:pPr>
      <w:r>
        <w:rPr>
          <w:b/>
        </w:rPr>
        <w:t>PC Scores:</w:t>
      </w:r>
      <w:r>
        <w:t xml:space="preserve"> Also called component scores in PCA, these scores are the scores of each case(row) on each factor(column). To compute the factor score for a given case for a given factor, one takes the case’s standardized score on each variable, multiplies by the corresponding factor loading of the variable for the given factor, and sum these products.</w:t>
      </w:r>
    </w:p>
    <w:p w:rsidR="00113BAF" w:rsidRDefault="00113BAF" w:rsidP="00AE4AEF">
      <w:pPr>
        <w:pStyle w:val="NoSpacing"/>
      </w:pPr>
    </w:p>
    <w:p w:rsidR="00113BAF" w:rsidRPr="00646DAB" w:rsidRDefault="00113BAF" w:rsidP="00AE4AEF">
      <w:pPr>
        <w:pStyle w:val="NoSpacing"/>
        <w:rPr>
          <w:b/>
          <w:u w:val="single"/>
        </w:rPr>
      </w:pPr>
      <w:r>
        <w:t>We computed the principal com</w:t>
      </w:r>
      <w:r w:rsidR="0049682F">
        <w:t xml:space="preserve">ponents, and found the loadings for the </w:t>
      </w:r>
      <w:r w:rsidR="0049682F" w:rsidRPr="00646DAB">
        <w:rPr>
          <w:b/>
          <w:u w:val="single"/>
        </w:rPr>
        <w:t>untransformed original variables.</w:t>
      </w:r>
    </w:p>
    <w:p w:rsidR="00AE4AEF" w:rsidRPr="00AE4AEF" w:rsidRDefault="00222091" w:rsidP="00AE4AEF">
      <w:pPr>
        <w:pStyle w:val="NoSpacing"/>
      </w:pPr>
      <w:r>
        <w:rPr>
          <w:noProof/>
        </w:rPr>
        <w:drawing>
          <wp:anchor distT="0" distB="0" distL="114300" distR="114300" simplePos="0" relativeHeight="251657728" behindDoc="0" locked="0" layoutInCell="1" allowOverlap="1">
            <wp:simplePos x="0" y="0"/>
            <wp:positionH relativeFrom="column">
              <wp:posOffset>3009900</wp:posOffset>
            </wp:positionH>
            <wp:positionV relativeFrom="paragraph">
              <wp:posOffset>13335</wp:posOffset>
            </wp:positionV>
            <wp:extent cx="3714750" cy="28924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14750" cy="2892425"/>
                    </a:xfrm>
                    <a:prstGeom prst="rect">
                      <a:avLst/>
                    </a:prstGeom>
                  </pic:spPr>
                </pic:pic>
              </a:graphicData>
            </a:graphic>
            <wp14:sizeRelH relativeFrom="page">
              <wp14:pctWidth>0</wp14:pctWidth>
            </wp14:sizeRelH>
            <wp14:sizeRelV relativeFrom="page">
              <wp14:pctHeight>0</wp14:pctHeight>
            </wp14:sizeRelV>
          </wp:anchor>
        </w:drawing>
      </w:r>
    </w:p>
    <w:p w:rsidR="00AE4AEF" w:rsidRPr="003E0DD6" w:rsidRDefault="003E0DD6" w:rsidP="00AE4AEF">
      <w:pPr>
        <w:pStyle w:val="NoSpacing"/>
        <w:rPr>
          <w:b/>
          <w:sz w:val="24"/>
        </w:rPr>
      </w:pPr>
      <w:r w:rsidRPr="003E0DD6">
        <w:rPr>
          <w:b/>
          <w:sz w:val="24"/>
        </w:rPr>
        <w:t>Observation:</w:t>
      </w:r>
    </w:p>
    <w:p w:rsidR="00AE4AEF" w:rsidRDefault="003E0DD6" w:rsidP="00AE4AEF">
      <w:pPr>
        <w:pStyle w:val="NoSpacing"/>
      </w:pPr>
      <w:r>
        <w:t>In the statistical analysis that we did with USArrests Data, we obtained the following results.</w:t>
      </w:r>
      <w:r w:rsidR="00222091" w:rsidRPr="00222091">
        <w:rPr>
          <w:noProof/>
        </w:rPr>
        <w:t xml:space="preserve"> </w:t>
      </w:r>
    </w:p>
    <w:tbl>
      <w:tblPr>
        <w:tblStyle w:val="TableGrid"/>
        <w:tblpPr w:leftFromText="180" w:rightFromText="180" w:vertAnchor="text" w:horzAnchor="margin" w:tblpY="724"/>
        <w:tblW w:w="0" w:type="auto"/>
        <w:tblLayout w:type="fixed"/>
        <w:tblLook w:val="04A0" w:firstRow="1" w:lastRow="0" w:firstColumn="1" w:lastColumn="0" w:noHBand="0" w:noVBand="1"/>
      </w:tblPr>
      <w:tblGrid>
        <w:gridCol w:w="1098"/>
        <w:gridCol w:w="855"/>
        <w:gridCol w:w="846"/>
        <w:gridCol w:w="846"/>
        <w:gridCol w:w="846"/>
      </w:tblGrid>
      <w:tr w:rsidR="00222091" w:rsidTr="00646DAB">
        <w:trPr>
          <w:trHeight w:val="541"/>
        </w:trPr>
        <w:tc>
          <w:tcPr>
            <w:tcW w:w="1098" w:type="dxa"/>
          </w:tcPr>
          <w:p w:rsidR="00222091" w:rsidRDefault="00222091" w:rsidP="00646DAB">
            <w:pPr>
              <w:tabs>
                <w:tab w:val="left" w:pos="1641"/>
              </w:tabs>
            </w:pPr>
          </w:p>
        </w:tc>
        <w:tc>
          <w:tcPr>
            <w:tcW w:w="855" w:type="dxa"/>
          </w:tcPr>
          <w:p w:rsidR="00222091" w:rsidRDefault="00222091" w:rsidP="00646DAB">
            <w:pPr>
              <w:tabs>
                <w:tab w:val="left" w:pos="1641"/>
              </w:tabs>
            </w:pPr>
            <w:r>
              <w:t>Comp1</w:t>
            </w:r>
          </w:p>
        </w:tc>
        <w:tc>
          <w:tcPr>
            <w:tcW w:w="846" w:type="dxa"/>
          </w:tcPr>
          <w:p w:rsidR="00222091" w:rsidRDefault="00222091" w:rsidP="00646DAB">
            <w:pPr>
              <w:tabs>
                <w:tab w:val="left" w:pos="1641"/>
              </w:tabs>
            </w:pPr>
            <w:r>
              <w:t>Comp2</w:t>
            </w:r>
          </w:p>
        </w:tc>
        <w:tc>
          <w:tcPr>
            <w:tcW w:w="846" w:type="dxa"/>
          </w:tcPr>
          <w:p w:rsidR="00222091" w:rsidRDefault="00222091" w:rsidP="00646DAB">
            <w:pPr>
              <w:tabs>
                <w:tab w:val="left" w:pos="1641"/>
              </w:tabs>
            </w:pPr>
            <w:r>
              <w:t>Comp3</w:t>
            </w:r>
          </w:p>
        </w:tc>
        <w:tc>
          <w:tcPr>
            <w:tcW w:w="846" w:type="dxa"/>
          </w:tcPr>
          <w:p w:rsidR="00222091" w:rsidRDefault="00222091" w:rsidP="00646DAB">
            <w:pPr>
              <w:tabs>
                <w:tab w:val="left" w:pos="1641"/>
              </w:tabs>
            </w:pPr>
            <w:r>
              <w:t>Comp4</w:t>
            </w:r>
          </w:p>
        </w:tc>
      </w:tr>
      <w:tr w:rsidR="00222091" w:rsidTr="00646DAB">
        <w:trPr>
          <w:trHeight w:val="278"/>
        </w:trPr>
        <w:tc>
          <w:tcPr>
            <w:tcW w:w="1098" w:type="dxa"/>
          </w:tcPr>
          <w:p w:rsidR="00222091" w:rsidRDefault="00222091" w:rsidP="00646DAB">
            <w:pPr>
              <w:tabs>
                <w:tab w:val="left" w:pos="1641"/>
              </w:tabs>
            </w:pPr>
            <w:r>
              <w:t>Murder</w:t>
            </w:r>
          </w:p>
        </w:tc>
        <w:tc>
          <w:tcPr>
            <w:tcW w:w="855" w:type="dxa"/>
          </w:tcPr>
          <w:p w:rsidR="00222091" w:rsidRDefault="00222091" w:rsidP="00646DAB">
            <w:pPr>
              <w:tabs>
                <w:tab w:val="left" w:pos="1641"/>
              </w:tabs>
            </w:pPr>
            <w:r>
              <w:t>-0.542</w:t>
            </w:r>
          </w:p>
        </w:tc>
        <w:tc>
          <w:tcPr>
            <w:tcW w:w="846" w:type="dxa"/>
          </w:tcPr>
          <w:p w:rsidR="00222091" w:rsidRDefault="00222091" w:rsidP="00646DAB">
            <w:pPr>
              <w:tabs>
                <w:tab w:val="left" w:pos="1641"/>
              </w:tabs>
            </w:pPr>
            <w:r>
              <w:t>.396</w:t>
            </w:r>
          </w:p>
        </w:tc>
        <w:tc>
          <w:tcPr>
            <w:tcW w:w="846" w:type="dxa"/>
          </w:tcPr>
          <w:p w:rsidR="00222091" w:rsidRDefault="00222091" w:rsidP="00646DAB">
            <w:pPr>
              <w:tabs>
                <w:tab w:val="left" w:pos="1641"/>
              </w:tabs>
            </w:pPr>
            <w:r>
              <w:t>-.34</w:t>
            </w:r>
          </w:p>
        </w:tc>
        <w:tc>
          <w:tcPr>
            <w:tcW w:w="846" w:type="dxa"/>
          </w:tcPr>
          <w:p w:rsidR="00222091" w:rsidRDefault="00222091" w:rsidP="00646DAB">
            <w:pPr>
              <w:tabs>
                <w:tab w:val="left" w:pos="1641"/>
              </w:tabs>
            </w:pPr>
            <w:r>
              <w:t>.658</w:t>
            </w:r>
          </w:p>
        </w:tc>
      </w:tr>
      <w:tr w:rsidR="00222091" w:rsidTr="00646DAB">
        <w:trPr>
          <w:trHeight w:val="278"/>
        </w:trPr>
        <w:tc>
          <w:tcPr>
            <w:tcW w:w="1098" w:type="dxa"/>
          </w:tcPr>
          <w:p w:rsidR="00222091" w:rsidRDefault="00222091" w:rsidP="00646DAB">
            <w:pPr>
              <w:tabs>
                <w:tab w:val="left" w:pos="1641"/>
              </w:tabs>
            </w:pPr>
            <w:r>
              <w:t>Assault</w:t>
            </w:r>
          </w:p>
        </w:tc>
        <w:tc>
          <w:tcPr>
            <w:tcW w:w="855" w:type="dxa"/>
          </w:tcPr>
          <w:p w:rsidR="00222091" w:rsidRDefault="00222091" w:rsidP="00646DAB">
            <w:pPr>
              <w:tabs>
                <w:tab w:val="left" w:pos="1641"/>
              </w:tabs>
            </w:pPr>
            <w:r>
              <w:t>-0.58</w:t>
            </w:r>
          </w:p>
        </w:tc>
        <w:tc>
          <w:tcPr>
            <w:tcW w:w="846" w:type="dxa"/>
          </w:tcPr>
          <w:p w:rsidR="00222091" w:rsidRDefault="00222091" w:rsidP="00646DAB">
            <w:pPr>
              <w:tabs>
                <w:tab w:val="left" w:pos="1641"/>
              </w:tabs>
            </w:pPr>
            <w:r>
              <w:t>.2</w:t>
            </w:r>
          </w:p>
        </w:tc>
        <w:tc>
          <w:tcPr>
            <w:tcW w:w="846" w:type="dxa"/>
          </w:tcPr>
          <w:p w:rsidR="00222091" w:rsidRDefault="00222091" w:rsidP="00646DAB">
            <w:pPr>
              <w:tabs>
                <w:tab w:val="left" w:pos="1641"/>
              </w:tabs>
            </w:pPr>
            <w:r>
              <w:t>-.276</w:t>
            </w:r>
          </w:p>
        </w:tc>
        <w:tc>
          <w:tcPr>
            <w:tcW w:w="846" w:type="dxa"/>
          </w:tcPr>
          <w:p w:rsidR="00222091" w:rsidRDefault="00222091" w:rsidP="00646DAB">
            <w:pPr>
              <w:tabs>
                <w:tab w:val="left" w:pos="1641"/>
              </w:tabs>
            </w:pPr>
            <w:r>
              <w:t>-.74</w:t>
            </w:r>
          </w:p>
        </w:tc>
      </w:tr>
      <w:tr w:rsidR="00222091" w:rsidTr="00646DAB">
        <w:trPr>
          <w:trHeight w:val="541"/>
        </w:trPr>
        <w:tc>
          <w:tcPr>
            <w:tcW w:w="1098" w:type="dxa"/>
          </w:tcPr>
          <w:p w:rsidR="00222091" w:rsidRDefault="00222091" w:rsidP="00646DAB">
            <w:pPr>
              <w:tabs>
                <w:tab w:val="left" w:pos="1641"/>
              </w:tabs>
            </w:pPr>
            <w:r>
              <w:t>UrbanPop</w:t>
            </w:r>
          </w:p>
        </w:tc>
        <w:tc>
          <w:tcPr>
            <w:tcW w:w="855" w:type="dxa"/>
          </w:tcPr>
          <w:p w:rsidR="00222091" w:rsidRDefault="00222091" w:rsidP="00646DAB">
            <w:pPr>
              <w:tabs>
                <w:tab w:val="left" w:pos="1641"/>
              </w:tabs>
            </w:pPr>
            <w:r>
              <w:t>-0.295</w:t>
            </w:r>
          </w:p>
        </w:tc>
        <w:tc>
          <w:tcPr>
            <w:tcW w:w="846" w:type="dxa"/>
          </w:tcPr>
          <w:p w:rsidR="00222091" w:rsidRDefault="00222091" w:rsidP="00646DAB">
            <w:pPr>
              <w:tabs>
                <w:tab w:val="left" w:pos="1641"/>
              </w:tabs>
            </w:pPr>
            <w:r>
              <w:t>-.887</w:t>
            </w:r>
          </w:p>
        </w:tc>
        <w:tc>
          <w:tcPr>
            <w:tcW w:w="846" w:type="dxa"/>
          </w:tcPr>
          <w:p w:rsidR="00222091" w:rsidRDefault="00222091" w:rsidP="00646DAB">
            <w:pPr>
              <w:tabs>
                <w:tab w:val="left" w:pos="1641"/>
              </w:tabs>
            </w:pPr>
            <w:r>
              <w:t>-.337</w:t>
            </w:r>
          </w:p>
        </w:tc>
        <w:tc>
          <w:tcPr>
            <w:tcW w:w="846" w:type="dxa"/>
          </w:tcPr>
          <w:p w:rsidR="00222091" w:rsidRDefault="00222091" w:rsidP="00646DAB">
            <w:pPr>
              <w:tabs>
                <w:tab w:val="left" w:pos="1641"/>
              </w:tabs>
            </w:pPr>
            <w:r>
              <w:t>.117</w:t>
            </w:r>
          </w:p>
        </w:tc>
      </w:tr>
      <w:tr w:rsidR="00222091" w:rsidTr="00646DAB">
        <w:trPr>
          <w:trHeight w:val="262"/>
        </w:trPr>
        <w:tc>
          <w:tcPr>
            <w:tcW w:w="1098" w:type="dxa"/>
          </w:tcPr>
          <w:p w:rsidR="00222091" w:rsidRDefault="00222091" w:rsidP="00646DAB">
            <w:pPr>
              <w:tabs>
                <w:tab w:val="left" w:pos="1641"/>
              </w:tabs>
            </w:pPr>
            <w:r>
              <w:t>Rape</w:t>
            </w:r>
          </w:p>
        </w:tc>
        <w:tc>
          <w:tcPr>
            <w:tcW w:w="855" w:type="dxa"/>
          </w:tcPr>
          <w:p w:rsidR="00222091" w:rsidRDefault="00222091" w:rsidP="00646DAB">
            <w:pPr>
              <w:tabs>
                <w:tab w:val="left" w:pos="1641"/>
              </w:tabs>
            </w:pPr>
            <w:r>
              <w:t>-.533</w:t>
            </w:r>
          </w:p>
        </w:tc>
        <w:tc>
          <w:tcPr>
            <w:tcW w:w="846" w:type="dxa"/>
          </w:tcPr>
          <w:p w:rsidR="00222091" w:rsidRDefault="00222091" w:rsidP="00646DAB">
            <w:pPr>
              <w:tabs>
                <w:tab w:val="left" w:pos="1641"/>
              </w:tabs>
            </w:pPr>
            <w:r>
              <w:t>-.13</w:t>
            </w:r>
          </w:p>
        </w:tc>
        <w:tc>
          <w:tcPr>
            <w:tcW w:w="846" w:type="dxa"/>
          </w:tcPr>
          <w:p w:rsidR="00222091" w:rsidRDefault="00222091" w:rsidP="00646DAB">
            <w:pPr>
              <w:tabs>
                <w:tab w:val="left" w:pos="1641"/>
              </w:tabs>
            </w:pPr>
            <w:r>
              <w:t>.833</w:t>
            </w:r>
          </w:p>
        </w:tc>
        <w:tc>
          <w:tcPr>
            <w:tcW w:w="846" w:type="dxa"/>
          </w:tcPr>
          <w:p w:rsidR="00222091" w:rsidRDefault="00222091" w:rsidP="00646DAB">
            <w:pPr>
              <w:tabs>
                <w:tab w:val="left" w:pos="1641"/>
              </w:tabs>
            </w:pPr>
          </w:p>
        </w:tc>
      </w:tr>
    </w:tbl>
    <w:p w:rsidR="003E0DD6" w:rsidRDefault="003E0DD6" w:rsidP="00AE4AEF">
      <w:pPr>
        <w:pStyle w:val="NoSpacing"/>
      </w:pPr>
    </w:p>
    <w:p w:rsidR="00646DAB" w:rsidRDefault="00646DAB" w:rsidP="00AE4AEF">
      <w:pPr>
        <w:pStyle w:val="NoSpacing"/>
      </w:pPr>
    </w:p>
    <w:p w:rsidR="00646DAB" w:rsidRDefault="00646DAB" w:rsidP="00AE4AEF">
      <w:pPr>
        <w:pStyle w:val="NoSpacing"/>
      </w:pPr>
    </w:p>
    <w:p w:rsidR="00646DAB" w:rsidRDefault="00646DAB" w:rsidP="00AE4AEF">
      <w:pPr>
        <w:pStyle w:val="NoSpacing"/>
      </w:pPr>
      <w:r>
        <w:t xml:space="preserve">Fig Loadings </w:t>
      </w:r>
    </w:p>
    <w:p w:rsidR="00646DAB" w:rsidRDefault="00646DAB" w:rsidP="00AE4AEF">
      <w:pPr>
        <w:pStyle w:val="NoSpacing"/>
      </w:pPr>
      <w:r>
        <w:rPr>
          <w:noProof/>
        </w:rPr>
        <w:pict>
          <v:shape id="Text Box 2" o:spid="_x0000_s1038" type="#_x0000_t202" style="position:absolute;margin-left:281.4pt;margin-top:9.75pt;width:185.3pt;height:33.4pt;z-index:251670016;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w:p w:rsidR="00646DAB" w:rsidRDefault="00646DAB">
                  <w:r>
                    <w:t>Fig. Variance/ Component Diagram</w:t>
                  </w:r>
                </w:p>
              </w:txbxContent>
            </v:textbox>
            <w10:wrap type="square"/>
          </v:shape>
        </w:pict>
      </w:r>
    </w:p>
    <w:p w:rsidR="00646DAB" w:rsidRDefault="00646DAB" w:rsidP="00AE4AEF">
      <w:pPr>
        <w:pStyle w:val="NoSpacing"/>
      </w:pPr>
    </w:p>
    <w:p w:rsidR="00646DAB" w:rsidRDefault="00646DAB" w:rsidP="00AE4AEF">
      <w:pPr>
        <w:pStyle w:val="NoSpacing"/>
      </w:pPr>
    </w:p>
    <w:p w:rsidR="003E0DD6" w:rsidRDefault="003E0DD6" w:rsidP="00AE4AEF">
      <w:pPr>
        <w:pStyle w:val="NoSpacing"/>
      </w:pPr>
      <w:r>
        <w:t>Component 1 account</w:t>
      </w:r>
      <w:r w:rsidR="00222091">
        <w:t>s for the maximum variability(62.96</w:t>
      </w:r>
      <w:r>
        <w:t xml:space="preserve">%) in the dataset, and is the principal </w:t>
      </w:r>
      <w:r w:rsidR="00B50A9A">
        <w:t xml:space="preserve">component, and </w:t>
      </w:r>
      <w:r w:rsidR="00222091">
        <w:t>component 2 is 23.3%, comp 3 is 9.6% of the variance.</w:t>
      </w:r>
      <w:r>
        <w:t xml:space="preserve"> Therefore, we can say that </w:t>
      </w:r>
      <w:r w:rsidR="00222091">
        <w:t xml:space="preserve">top 3 component </w:t>
      </w:r>
      <w:r>
        <w:t>represent the original data without losing much of the information.</w:t>
      </w:r>
    </w:p>
    <w:p w:rsidR="00A02AA4" w:rsidRDefault="00A02AA4" w:rsidP="00AE4AEF">
      <w:pPr>
        <w:pStyle w:val="NoSpacing"/>
      </w:pPr>
    </w:p>
    <w:p w:rsidR="00AE4AEF" w:rsidRDefault="00A02AA4" w:rsidP="00AE4AEF">
      <w:pPr>
        <w:pStyle w:val="NoSpacing"/>
        <w:rPr>
          <w:b/>
        </w:rPr>
      </w:pPr>
      <w:r>
        <w:rPr>
          <w:b/>
        </w:rPr>
        <w:t>First Principal Component Analysis:</w:t>
      </w:r>
    </w:p>
    <w:p w:rsidR="00A02AA4" w:rsidRDefault="00A02AA4" w:rsidP="00AE4AEF">
      <w:pPr>
        <w:pStyle w:val="NoSpacing"/>
      </w:pPr>
      <w:r>
        <w:t xml:space="preserve">The first Principal component </w:t>
      </w:r>
      <w:r w:rsidR="00B50A9A">
        <w:t>related with all variables</w:t>
      </w:r>
      <w:r>
        <w:t xml:space="preserve"> negatively, i.e. decreasing assault would increase this component</w:t>
      </w:r>
      <w:r w:rsidR="00B50A9A">
        <w:t xml:space="preserve"> and likewise</w:t>
      </w:r>
      <w:r>
        <w:t xml:space="preserve">. It would follow that places </w:t>
      </w:r>
      <w:r w:rsidR="00B50A9A">
        <w:t>with low assault would have low</w:t>
      </w:r>
      <w:r>
        <w:t xml:space="preserve"> principal com</w:t>
      </w:r>
      <w:r w:rsidR="00B50A9A">
        <w:t>ponent, places with high value for Assault, Murder and Rape</w:t>
      </w:r>
      <w:r>
        <w:t xml:space="preserve"> would have low value of this principal component.</w:t>
      </w:r>
    </w:p>
    <w:p w:rsidR="00A02AA4" w:rsidRDefault="00A02AA4" w:rsidP="00AE4AEF">
      <w:pPr>
        <w:pStyle w:val="NoSpacing"/>
      </w:pPr>
    </w:p>
    <w:p w:rsidR="00A02AA4" w:rsidRPr="00A02AA4" w:rsidRDefault="00A02AA4" w:rsidP="00AE4AEF">
      <w:pPr>
        <w:pStyle w:val="NoSpacing"/>
        <w:rPr>
          <w:b/>
        </w:rPr>
      </w:pPr>
      <w:r w:rsidRPr="00A02AA4">
        <w:rPr>
          <w:b/>
        </w:rPr>
        <w:t>Second Principal Component Analysis:</w:t>
      </w:r>
    </w:p>
    <w:p w:rsidR="00AE4AEF" w:rsidRDefault="00A02AA4" w:rsidP="00AE4AEF">
      <w:pPr>
        <w:pStyle w:val="NoSpacing"/>
      </w:pPr>
      <w:r>
        <w:t>Second PC is related highly</w:t>
      </w:r>
      <w:r w:rsidR="00B50A9A">
        <w:t xml:space="preserve"> (in a negative way)</w:t>
      </w:r>
      <w:r>
        <w:t xml:space="preserve"> with Urban Population, and </w:t>
      </w:r>
      <w:r w:rsidR="00B50A9A">
        <w:t>somewhat related to other variables as well</w:t>
      </w:r>
      <w:r>
        <w:t xml:space="preserve">. We can derive that places with low urban population would have high second principal component.   </w:t>
      </w:r>
    </w:p>
    <w:p w:rsidR="00A02AA4" w:rsidRDefault="00A02AA4" w:rsidP="00AE4AEF">
      <w:pPr>
        <w:pStyle w:val="NoSpacing"/>
      </w:pPr>
    </w:p>
    <w:p w:rsidR="00A02AA4" w:rsidRDefault="00A02AA4" w:rsidP="00AE4AEF">
      <w:pPr>
        <w:pStyle w:val="NoSpacing"/>
      </w:pPr>
      <w:r>
        <w:t>Similar observations can be made on third and fourth component.</w:t>
      </w:r>
    </w:p>
    <w:p w:rsidR="0049682F" w:rsidRDefault="0049682F" w:rsidP="00AE4AEF">
      <w:pPr>
        <w:pStyle w:val="NoSpacing"/>
      </w:pPr>
    </w:p>
    <w:p w:rsidR="0049682F" w:rsidRDefault="0049682F" w:rsidP="00AE4AEF">
      <w:pPr>
        <w:pStyle w:val="NoSpacing"/>
      </w:pPr>
      <w:r>
        <w:t xml:space="preserve">Again, we found the loadings for the </w:t>
      </w:r>
      <w:r w:rsidRPr="00646DAB">
        <w:rPr>
          <w:b/>
          <w:u w:val="single"/>
        </w:rPr>
        <w:t>transformed variables</w:t>
      </w:r>
      <w:r w:rsidRPr="00646DAB">
        <w:rPr>
          <w:u w:val="single"/>
        </w:rPr>
        <w:t>.</w:t>
      </w:r>
      <w:r w:rsidRPr="0049682F">
        <w:rPr>
          <w:noProof/>
        </w:rPr>
        <w:t xml:space="preserve"> </w:t>
      </w:r>
    </w:p>
    <w:p w:rsidR="00A02AA4" w:rsidRPr="00A02AA4" w:rsidRDefault="00A02AA4" w:rsidP="00AE4AEF">
      <w:pPr>
        <w:pStyle w:val="NoSpacing"/>
      </w:pPr>
    </w:p>
    <w:p w:rsidR="00AE4AEF" w:rsidRDefault="00AE4AEF" w:rsidP="00AE4AEF">
      <w:pPr>
        <w:pStyle w:val="NoSpacing"/>
      </w:pPr>
    </w:p>
    <w:p w:rsidR="00AE4AEF" w:rsidRDefault="00222091" w:rsidP="00222091">
      <w:pPr>
        <w:pStyle w:val="NoSpacing"/>
        <w:ind w:left="720" w:hanging="720"/>
      </w:pPr>
      <w:r>
        <w:rPr>
          <w:noProof/>
        </w:rPr>
        <w:drawing>
          <wp:anchor distT="0" distB="0" distL="114300" distR="114300" simplePos="0" relativeHeight="251655680" behindDoc="0" locked="0" layoutInCell="1" allowOverlap="1">
            <wp:simplePos x="0" y="0"/>
            <wp:positionH relativeFrom="column">
              <wp:posOffset>2828925</wp:posOffset>
            </wp:positionH>
            <wp:positionV relativeFrom="paragraph">
              <wp:posOffset>8255</wp:posOffset>
            </wp:positionV>
            <wp:extent cx="4025900" cy="32575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25900" cy="3257550"/>
                    </a:xfrm>
                    <a:prstGeom prst="rect">
                      <a:avLst/>
                    </a:prstGeom>
                  </pic:spPr>
                </pic:pic>
              </a:graphicData>
            </a:graphic>
            <wp14:sizeRelH relativeFrom="page">
              <wp14:pctWidth>0</wp14:pctWidth>
            </wp14:sizeRelH>
            <wp14:sizeRelV relativeFrom="page">
              <wp14:pctHeight>0</wp14:pctHeight>
            </wp14:sizeRelV>
          </wp:anchor>
        </w:drawing>
      </w:r>
    </w:p>
    <w:p w:rsidR="00AE4AEF" w:rsidRDefault="00AE4AEF" w:rsidP="00AE4AEF">
      <w:pPr>
        <w:pStyle w:val="NoSpacing"/>
      </w:pPr>
    </w:p>
    <w:p w:rsidR="00AE4AEF" w:rsidRDefault="00AE4AEF" w:rsidP="00AE4AEF">
      <w:pPr>
        <w:pStyle w:val="NoSpacing"/>
      </w:pPr>
    </w:p>
    <w:tbl>
      <w:tblPr>
        <w:tblStyle w:val="TableGrid"/>
        <w:tblpPr w:leftFromText="180" w:rightFromText="180" w:vertAnchor="text" w:horzAnchor="margin" w:tblpY="917"/>
        <w:tblW w:w="0" w:type="auto"/>
        <w:tblLayout w:type="fixed"/>
        <w:tblLook w:val="04A0" w:firstRow="1" w:lastRow="0" w:firstColumn="1" w:lastColumn="0" w:noHBand="0" w:noVBand="1"/>
      </w:tblPr>
      <w:tblGrid>
        <w:gridCol w:w="1098"/>
        <w:gridCol w:w="855"/>
        <w:gridCol w:w="846"/>
        <w:gridCol w:w="846"/>
        <w:gridCol w:w="846"/>
      </w:tblGrid>
      <w:tr w:rsidR="00222091" w:rsidTr="00646DAB">
        <w:trPr>
          <w:trHeight w:val="541"/>
        </w:trPr>
        <w:tc>
          <w:tcPr>
            <w:tcW w:w="1098" w:type="dxa"/>
          </w:tcPr>
          <w:p w:rsidR="00222091" w:rsidRDefault="00222091" w:rsidP="00646DAB">
            <w:pPr>
              <w:tabs>
                <w:tab w:val="left" w:pos="1641"/>
              </w:tabs>
            </w:pPr>
          </w:p>
        </w:tc>
        <w:tc>
          <w:tcPr>
            <w:tcW w:w="855" w:type="dxa"/>
          </w:tcPr>
          <w:p w:rsidR="00222091" w:rsidRDefault="00222091" w:rsidP="00646DAB">
            <w:pPr>
              <w:tabs>
                <w:tab w:val="left" w:pos="1641"/>
              </w:tabs>
            </w:pPr>
            <w:r>
              <w:t>Comp1</w:t>
            </w:r>
          </w:p>
        </w:tc>
        <w:tc>
          <w:tcPr>
            <w:tcW w:w="846" w:type="dxa"/>
          </w:tcPr>
          <w:p w:rsidR="00222091" w:rsidRDefault="00222091" w:rsidP="00646DAB">
            <w:pPr>
              <w:tabs>
                <w:tab w:val="left" w:pos="1641"/>
              </w:tabs>
            </w:pPr>
            <w:r>
              <w:t>Comp2</w:t>
            </w:r>
          </w:p>
        </w:tc>
        <w:tc>
          <w:tcPr>
            <w:tcW w:w="846" w:type="dxa"/>
          </w:tcPr>
          <w:p w:rsidR="00222091" w:rsidRDefault="00222091" w:rsidP="00646DAB">
            <w:pPr>
              <w:tabs>
                <w:tab w:val="left" w:pos="1641"/>
              </w:tabs>
            </w:pPr>
            <w:r>
              <w:t>Comp3</w:t>
            </w:r>
          </w:p>
        </w:tc>
        <w:tc>
          <w:tcPr>
            <w:tcW w:w="846" w:type="dxa"/>
          </w:tcPr>
          <w:p w:rsidR="00222091" w:rsidRDefault="00222091" w:rsidP="00646DAB">
            <w:pPr>
              <w:tabs>
                <w:tab w:val="left" w:pos="1641"/>
              </w:tabs>
            </w:pPr>
            <w:r>
              <w:t>Comp4</w:t>
            </w:r>
          </w:p>
        </w:tc>
      </w:tr>
      <w:tr w:rsidR="00222091" w:rsidTr="00646DAB">
        <w:trPr>
          <w:trHeight w:val="278"/>
        </w:trPr>
        <w:tc>
          <w:tcPr>
            <w:tcW w:w="1098" w:type="dxa"/>
          </w:tcPr>
          <w:p w:rsidR="00222091" w:rsidRDefault="00222091" w:rsidP="00646DAB">
            <w:pPr>
              <w:tabs>
                <w:tab w:val="left" w:pos="1641"/>
              </w:tabs>
            </w:pPr>
            <w:r>
              <w:t>Murder</w:t>
            </w:r>
          </w:p>
        </w:tc>
        <w:tc>
          <w:tcPr>
            <w:tcW w:w="855" w:type="dxa"/>
          </w:tcPr>
          <w:p w:rsidR="00222091" w:rsidRDefault="00222091" w:rsidP="00646DAB">
            <w:pPr>
              <w:tabs>
                <w:tab w:val="left" w:pos="1641"/>
              </w:tabs>
            </w:pPr>
            <w:r>
              <w:t>-0.536</w:t>
            </w:r>
          </w:p>
        </w:tc>
        <w:tc>
          <w:tcPr>
            <w:tcW w:w="846" w:type="dxa"/>
          </w:tcPr>
          <w:p w:rsidR="00222091" w:rsidRDefault="00222091" w:rsidP="00646DAB">
            <w:pPr>
              <w:tabs>
                <w:tab w:val="left" w:pos="1641"/>
              </w:tabs>
            </w:pPr>
            <w:r>
              <w:t>.418</w:t>
            </w:r>
          </w:p>
        </w:tc>
        <w:tc>
          <w:tcPr>
            <w:tcW w:w="846" w:type="dxa"/>
          </w:tcPr>
          <w:p w:rsidR="00222091" w:rsidRDefault="00222091" w:rsidP="00646DAB">
            <w:pPr>
              <w:tabs>
                <w:tab w:val="left" w:pos="1641"/>
              </w:tabs>
            </w:pPr>
            <w:r>
              <w:t>-.341</w:t>
            </w:r>
          </w:p>
        </w:tc>
        <w:tc>
          <w:tcPr>
            <w:tcW w:w="846" w:type="dxa"/>
          </w:tcPr>
          <w:p w:rsidR="00222091" w:rsidRDefault="00222091" w:rsidP="00646DAB">
            <w:pPr>
              <w:tabs>
                <w:tab w:val="left" w:pos="1641"/>
              </w:tabs>
            </w:pPr>
            <w:r>
              <w:t>.649</w:t>
            </w:r>
          </w:p>
        </w:tc>
      </w:tr>
      <w:tr w:rsidR="00222091" w:rsidTr="00646DAB">
        <w:trPr>
          <w:trHeight w:val="278"/>
        </w:trPr>
        <w:tc>
          <w:tcPr>
            <w:tcW w:w="1098" w:type="dxa"/>
          </w:tcPr>
          <w:p w:rsidR="00222091" w:rsidRDefault="00222091" w:rsidP="00646DAB">
            <w:pPr>
              <w:tabs>
                <w:tab w:val="left" w:pos="1641"/>
              </w:tabs>
            </w:pPr>
            <w:r>
              <w:t>Assault</w:t>
            </w:r>
          </w:p>
        </w:tc>
        <w:tc>
          <w:tcPr>
            <w:tcW w:w="855" w:type="dxa"/>
          </w:tcPr>
          <w:p w:rsidR="00222091" w:rsidRDefault="00222091" w:rsidP="00646DAB">
            <w:pPr>
              <w:tabs>
                <w:tab w:val="left" w:pos="1641"/>
              </w:tabs>
            </w:pPr>
            <w:r>
              <w:t>-0.583</w:t>
            </w:r>
          </w:p>
        </w:tc>
        <w:tc>
          <w:tcPr>
            <w:tcW w:w="846" w:type="dxa"/>
          </w:tcPr>
          <w:p w:rsidR="00222091" w:rsidRDefault="00222091" w:rsidP="00646DAB">
            <w:pPr>
              <w:tabs>
                <w:tab w:val="left" w:pos="1641"/>
              </w:tabs>
            </w:pPr>
            <w:r>
              <w:t>.188</w:t>
            </w:r>
          </w:p>
        </w:tc>
        <w:tc>
          <w:tcPr>
            <w:tcW w:w="846" w:type="dxa"/>
          </w:tcPr>
          <w:p w:rsidR="00222091" w:rsidRDefault="00222091" w:rsidP="00646DAB">
            <w:pPr>
              <w:tabs>
                <w:tab w:val="left" w:pos="1641"/>
              </w:tabs>
            </w:pPr>
            <w:r>
              <w:t>-.268</w:t>
            </w:r>
          </w:p>
        </w:tc>
        <w:tc>
          <w:tcPr>
            <w:tcW w:w="846" w:type="dxa"/>
          </w:tcPr>
          <w:p w:rsidR="00222091" w:rsidRDefault="00222091" w:rsidP="00646DAB">
            <w:pPr>
              <w:tabs>
                <w:tab w:val="left" w:pos="1641"/>
              </w:tabs>
            </w:pPr>
            <w:r>
              <w:t>-.743</w:t>
            </w:r>
          </w:p>
        </w:tc>
      </w:tr>
      <w:tr w:rsidR="00222091" w:rsidTr="00646DAB">
        <w:trPr>
          <w:trHeight w:val="541"/>
        </w:trPr>
        <w:tc>
          <w:tcPr>
            <w:tcW w:w="1098" w:type="dxa"/>
          </w:tcPr>
          <w:p w:rsidR="00222091" w:rsidRDefault="00222091" w:rsidP="00646DAB">
            <w:pPr>
              <w:tabs>
                <w:tab w:val="left" w:pos="1641"/>
              </w:tabs>
            </w:pPr>
            <w:r>
              <w:t>UrbanPop</w:t>
            </w:r>
          </w:p>
        </w:tc>
        <w:tc>
          <w:tcPr>
            <w:tcW w:w="855" w:type="dxa"/>
          </w:tcPr>
          <w:p w:rsidR="00222091" w:rsidRDefault="00222091" w:rsidP="00646DAB">
            <w:pPr>
              <w:tabs>
                <w:tab w:val="left" w:pos="1641"/>
              </w:tabs>
            </w:pPr>
            <w:r>
              <w:t>-0.278</w:t>
            </w:r>
          </w:p>
        </w:tc>
        <w:tc>
          <w:tcPr>
            <w:tcW w:w="846" w:type="dxa"/>
          </w:tcPr>
          <w:p w:rsidR="00222091" w:rsidRDefault="00222091" w:rsidP="00646DAB">
            <w:pPr>
              <w:tabs>
                <w:tab w:val="left" w:pos="1641"/>
              </w:tabs>
            </w:pPr>
            <w:r>
              <w:t>-.873</w:t>
            </w:r>
          </w:p>
        </w:tc>
        <w:tc>
          <w:tcPr>
            <w:tcW w:w="846" w:type="dxa"/>
          </w:tcPr>
          <w:p w:rsidR="00222091" w:rsidRDefault="00222091" w:rsidP="00646DAB">
            <w:pPr>
              <w:tabs>
                <w:tab w:val="left" w:pos="1641"/>
              </w:tabs>
            </w:pPr>
            <w:r>
              <w:t>-.378</w:t>
            </w:r>
          </w:p>
        </w:tc>
        <w:tc>
          <w:tcPr>
            <w:tcW w:w="846" w:type="dxa"/>
          </w:tcPr>
          <w:p w:rsidR="00222091" w:rsidRDefault="00222091" w:rsidP="00646DAB">
            <w:pPr>
              <w:tabs>
                <w:tab w:val="left" w:pos="1641"/>
              </w:tabs>
            </w:pPr>
            <w:r>
              <w:t>.134</w:t>
            </w:r>
          </w:p>
        </w:tc>
      </w:tr>
      <w:tr w:rsidR="00222091" w:rsidTr="00646DAB">
        <w:trPr>
          <w:trHeight w:val="262"/>
        </w:trPr>
        <w:tc>
          <w:tcPr>
            <w:tcW w:w="1098" w:type="dxa"/>
          </w:tcPr>
          <w:p w:rsidR="00222091" w:rsidRDefault="00222091" w:rsidP="00646DAB">
            <w:pPr>
              <w:tabs>
                <w:tab w:val="left" w:pos="1641"/>
              </w:tabs>
            </w:pPr>
            <w:r>
              <w:t>Rape</w:t>
            </w:r>
          </w:p>
        </w:tc>
        <w:tc>
          <w:tcPr>
            <w:tcW w:w="855" w:type="dxa"/>
          </w:tcPr>
          <w:p w:rsidR="00222091" w:rsidRDefault="00222091" w:rsidP="00646DAB">
            <w:pPr>
              <w:tabs>
                <w:tab w:val="left" w:pos="1641"/>
              </w:tabs>
            </w:pPr>
            <w:r>
              <w:t>-.543</w:t>
            </w:r>
          </w:p>
        </w:tc>
        <w:tc>
          <w:tcPr>
            <w:tcW w:w="846" w:type="dxa"/>
          </w:tcPr>
          <w:p w:rsidR="00222091" w:rsidRDefault="00222091" w:rsidP="00646DAB">
            <w:pPr>
              <w:tabs>
                <w:tab w:val="left" w:pos="1641"/>
              </w:tabs>
            </w:pPr>
            <w:r>
              <w:t>-.167</w:t>
            </w:r>
          </w:p>
        </w:tc>
        <w:tc>
          <w:tcPr>
            <w:tcW w:w="846" w:type="dxa"/>
          </w:tcPr>
          <w:p w:rsidR="00222091" w:rsidRDefault="00222091" w:rsidP="00646DAB">
            <w:pPr>
              <w:tabs>
                <w:tab w:val="left" w:pos="1641"/>
              </w:tabs>
            </w:pPr>
            <w:r>
              <w:t>.818</w:t>
            </w:r>
          </w:p>
        </w:tc>
        <w:tc>
          <w:tcPr>
            <w:tcW w:w="846" w:type="dxa"/>
          </w:tcPr>
          <w:p w:rsidR="00222091" w:rsidRDefault="00222091" w:rsidP="00646DAB">
            <w:pPr>
              <w:tabs>
                <w:tab w:val="left" w:pos="1641"/>
              </w:tabs>
            </w:pPr>
          </w:p>
        </w:tc>
      </w:tr>
    </w:tbl>
    <w:p w:rsidR="00AE4AEF" w:rsidRDefault="00AE4AEF" w:rsidP="00AE4AEF">
      <w:pPr>
        <w:pStyle w:val="NoSpacing"/>
      </w:pPr>
    </w:p>
    <w:p w:rsidR="00AE4AEF" w:rsidRDefault="00AE4AEF" w:rsidP="00AE4AEF">
      <w:pPr>
        <w:pStyle w:val="NoSpacing"/>
      </w:pPr>
    </w:p>
    <w:p w:rsidR="009A2CDB" w:rsidRDefault="009A2CDB" w:rsidP="00791ED5">
      <w:pPr>
        <w:tabs>
          <w:tab w:val="left" w:pos="1641"/>
        </w:tabs>
      </w:pPr>
    </w:p>
    <w:p w:rsidR="009A2CDB" w:rsidRDefault="009A2CDB" w:rsidP="00791ED5">
      <w:pPr>
        <w:tabs>
          <w:tab w:val="left" w:pos="1641"/>
        </w:tabs>
      </w:pPr>
    </w:p>
    <w:p w:rsidR="00646DAB" w:rsidRDefault="00646DAB" w:rsidP="00646DAB">
      <w:pPr>
        <w:pStyle w:val="NoSpacing"/>
      </w:pPr>
      <w:r>
        <w:t xml:space="preserve">                        </w:t>
      </w:r>
      <w:r>
        <w:t xml:space="preserve">Fig Loadings </w:t>
      </w:r>
    </w:p>
    <w:p w:rsidR="009A2CDB" w:rsidRDefault="009A2CDB" w:rsidP="00791ED5">
      <w:pPr>
        <w:tabs>
          <w:tab w:val="left" w:pos="1641"/>
        </w:tabs>
      </w:pPr>
    </w:p>
    <w:p w:rsidR="009A2CDB" w:rsidRDefault="00646DAB" w:rsidP="00791ED5">
      <w:pPr>
        <w:tabs>
          <w:tab w:val="left" w:pos="1641"/>
        </w:tabs>
      </w:pPr>
      <w:r>
        <w:rPr>
          <w:noProof/>
        </w:rPr>
        <w:pict>
          <v:shape id="_x0000_s1039" type="#_x0000_t202" style="position:absolute;margin-left:270.9pt;margin-top:.7pt;width:185.3pt;height:33.4pt;z-index:251671040;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w:p w:rsidR="00646DAB" w:rsidRDefault="00646DAB" w:rsidP="00646DAB">
                  <w:r>
                    <w:t>Fig. Variance/ Component Diagram</w:t>
                  </w:r>
                </w:p>
              </w:txbxContent>
            </v:textbox>
            <w10:wrap type="square"/>
          </v:shape>
        </w:pict>
      </w:r>
    </w:p>
    <w:p w:rsidR="00B50A9A" w:rsidRDefault="0049682F" w:rsidP="00791ED5">
      <w:pPr>
        <w:tabs>
          <w:tab w:val="left" w:pos="1641"/>
        </w:tabs>
      </w:pPr>
      <w:r>
        <w:t>It is seen that after the variables are transformed, the first pri</w:t>
      </w:r>
      <w:r w:rsidR="00222091">
        <w:t>ncipal component accounts for 62.96</w:t>
      </w:r>
      <w:r>
        <w:t>% of t</w:t>
      </w:r>
      <w:r w:rsidR="00222091">
        <w:t>he total variance, second for 23.38%, third for 9.68% and fourth is 3.9%</w:t>
      </w:r>
      <w:r>
        <w:t>.</w:t>
      </w:r>
    </w:p>
    <w:p w:rsidR="0049682F" w:rsidRDefault="0049682F" w:rsidP="00791ED5">
      <w:pPr>
        <w:tabs>
          <w:tab w:val="left" w:pos="1641"/>
        </w:tabs>
      </w:pPr>
      <w:r>
        <w:t>The first principal component is negatively related with</w:t>
      </w:r>
      <w:r w:rsidR="00222091">
        <w:t xml:space="preserve"> every component ; highest with assault, murder and rape and then population.</w:t>
      </w:r>
    </w:p>
    <w:p w:rsidR="00B50A9A" w:rsidRDefault="00B50A9A" w:rsidP="00791ED5">
      <w:pPr>
        <w:tabs>
          <w:tab w:val="left" w:pos="1641"/>
        </w:tabs>
      </w:pPr>
      <w:r>
        <w:t xml:space="preserve">Similarly, second principal component is most negatively related with urban population. </w:t>
      </w:r>
    </w:p>
    <w:p w:rsidR="00B50A9A" w:rsidRDefault="00B50A9A" w:rsidP="00791ED5">
      <w:pPr>
        <w:tabs>
          <w:tab w:val="left" w:pos="1641"/>
        </w:tabs>
      </w:pPr>
      <w:r>
        <w:lastRenderedPageBreak/>
        <w:t>Similar observations can be made about other variables.</w:t>
      </w:r>
    </w:p>
    <w:p w:rsidR="00B50A9A" w:rsidRDefault="00B50A9A" w:rsidP="00791ED5">
      <w:pPr>
        <w:tabs>
          <w:tab w:val="left" w:pos="1641"/>
        </w:tabs>
      </w:pPr>
    </w:p>
    <w:p w:rsidR="00B50A9A" w:rsidRPr="00B50A9A" w:rsidRDefault="00B50A9A" w:rsidP="00791ED5">
      <w:pPr>
        <w:tabs>
          <w:tab w:val="left" w:pos="1641"/>
        </w:tabs>
        <w:rPr>
          <w:b/>
        </w:rPr>
      </w:pPr>
      <w:r w:rsidRPr="00B50A9A">
        <w:rPr>
          <w:b/>
        </w:rPr>
        <w:t>Observation in principal components before and after transformation:</w:t>
      </w:r>
    </w:p>
    <w:p w:rsidR="00B50A9A" w:rsidRDefault="00B50A9A" w:rsidP="00791ED5">
      <w:pPr>
        <w:tabs>
          <w:tab w:val="left" w:pos="1641"/>
        </w:tabs>
      </w:pPr>
      <w:r>
        <w:t xml:space="preserve">It can be seen that after transformation for normality, there has not been much change in the original value of loadings, which is also obvious as we saw in the QQ plots of corresponding variables that they were almost same. </w:t>
      </w:r>
    </w:p>
    <w:p w:rsidR="0078117D" w:rsidRDefault="00076E5D" w:rsidP="0078117D">
      <w:pPr>
        <w:jc w:val="both"/>
      </w:pPr>
      <w:r>
        <w:t>Corelation:</w:t>
      </w:r>
    </w:p>
    <w:p w:rsidR="0078117D" w:rsidRDefault="0078117D" w:rsidP="0078117D">
      <w:pPr>
        <w:jc w:val="both"/>
      </w:pPr>
      <w:r>
        <w:t>With transformed variables</w:t>
      </w:r>
    </w:p>
    <w:tbl>
      <w:tblPr>
        <w:tblStyle w:val="TableGrid"/>
        <w:tblW w:w="0" w:type="auto"/>
        <w:jc w:val="center"/>
        <w:tblLook w:val="04A0" w:firstRow="1" w:lastRow="0" w:firstColumn="1" w:lastColumn="0" w:noHBand="0" w:noVBand="1"/>
      </w:tblPr>
      <w:tblGrid>
        <w:gridCol w:w="2568"/>
        <w:gridCol w:w="2568"/>
      </w:tblGrid>
      <w:tr w:rsidR="0078117D" w:rsidTr="0078117D">
        <w:trPr>
          <w:trHeight w:val="457"/>
          <w:jc w:val="center"/>
        </w:trPr>
        <w:tc>
          <w:tcPr>
            <w:tcW w:w="2568" w:type="dxa"/>
            <w:tcBorders>
              <w:top w:val="single" w:sz="4" w:space="0" w:color="auto"/>
              <w:left w:val="single" w:sz="4" w:space="0" w:color="auto"/>
              <w:bottom w:val="single" w:sz="4" w:space="0" w:color="auto"/>
              <w:right w:val="single" w:sz="4" w:space="0" w:color="auto"/>
            </w:tcBorders>
            <w:hideMark/>
          </w:tcPr>
          <w:p w:rsidR="0078117D" w:rsidRDefault="0078117D">
            <w:pPr>
              <w:jc w:val="both"/>
              <w:rPr>
                <w:b/>
              </w:rPr>
            </w:pPr>
          </w:p>
          <w:p w:rsidR="0078117D" w:rsidRDefault="0078117D">
            <w:pPr>
              <w:jc w:val="both"/>
              <w:rPr>
                <w:b/>
              </w:rPr>
            </w:pPr>
            <w:r>
              <w:rPr>
                <w:b/>
              </w:rPr>
              <w:t>Variables</w:t>
            </w:r>
          </w:p>
        </w:tc>
        <w:tc>
          <w:tcPr>
            <w:tcW w:w="2568" w:type="dxa"/>
            <w:tcBorders>
              <w:top w:val="single" w:sz="4" w:space="0" w:color="auto"/>
              <w:left w:val="single" w:sz="4" w:space="0" w:color="auto"/>
              <w:bottom w:val="single" w:sz="4" w:space="0" w:color="auto"/>
              <w:right w:val="single" w:sz="4" w:space="0" w:color="auto"/>
            </w:tcBorders>
            <w:hideMark/>
          </w:tcPr>
          <w:p w:rsidR="0078117D" w:rsidRDefault="0078117D">
            <w:pPr>
              <w:jc w:val="both"/>
              <w:rPr>
                <w:b/>
              </w:rPr>
            </w:pPr>
            <w:r>
              <w:rPr>
                <w:b/>
              </w:rPr>
              <w:t>PC 1</w:t>
            </w:r>
          </w:p>
        </w:tc>
      </w:tr>
      <w:tr w:rsidR="0078117D" w:rsidTr="0078117D">
        <w:trPr>
          <w:trHeight w:val="428"/>
          <w:jc w:val="center"/>
        </w:trPr>
        <w:tc>
          <w:tcPr>
            <w:tcW w:w="2568" w:type="dxa"/>
            <w:tcBorders>
              <w:top w:val="single" w:sz="4" w:space="0" w:color="auto"/>
              <w:left w:val="single" w:sz="4" w:space="0" w:color="auto"/>
              <w:bottom w:val="single" w:sz="4" w:space="0" w:color="auto"/>
              <w:right w:val="single" w:sz="4" w:space="0" w:color="auto"/>
            </w:tcBorders>
            <w:hideMark/>
          </w:tcPr>
          <w:p w:rsidR="0078117D" w:rsidRDefault="0078117D">
            <w:pPr>
              <w:jc w:val="both"/>
            </w:pPr>
            <w:r>
              <w:t>Murder</w:t>
            </w:r>
          </w:p>
        </w:tc>
        <w:tc>
          <w:tcPr>
            <w:tcW w:w="2568" w:type="dxa"/>
            <w:tcBorders>
              <w:top w:val="single" w:sz="4" w:space="0" w:color="auto"/>
              <w:left w:val="single" w:sz="4" w:space="0" w:color="auto"/>
              <w:bottom w:val="single" w:sz="4" w:space="0" w:color="auto"/>
              <w:right w:val="single" w:sz="4" w:space="0" w:color="auto"/>
            </w:tcBorders>
            <w:hideMark/>
          </w:tcPr>
          <w:p w:rsidR="0078117D" w:rsidRDefault="0078117D">
            <w:pPr>
              <w:jc w:val="both"/>
            </w:pPr>
            <w:r>
              <w:t>-0.522</w:t>
            </w:r>
          </w:p>
        </w:tc>
      </w:tr>
      <w:tr w:rsidR="0078117D" w:rsidTr="0078117D">
        <w:trPr>
          <w:trHeight w:val="527"/>
          <w:jc w:val="center"/>
        </w:trPr>
        <w:tc>
          <w:tcPr>
            <w:tcW w:w="2568" w:type="dxa"/>
            <w:tcBorders>
              <w:top w:val="single" w:sz="4" w:space="0" w:color="auto"/>
              <w:left w:val="single" w:sz="4" w:space="0" w:color="auto"/>
              <w:bottom w:val="single" w:sz="4" w:space="0" w:color="auto"/>
              <w:right w:val="single" w:sz="4" w:space="0" w:color="auto"/>
            </w:tcBorders>
            <w:hideMark/>
          </w:tcPr>
          <w:p w:rsidR="0078117D" w:rsidRDefault="0078117D">
            <w:pPr>
              <w:jc w:val="both"/>
            </w:pPr>
            <w:r>
              <w:t>Assault</w:t>
            </w:r>
          </w:p>
        </w:tc>
        <w:tc>
          <w:tcPr>
            <w:tcW w:w="2568" w:type="dxa"/>
            <w:tcBorders>
              <w:top w:val="single" w:sz="4" w:space="0" w:color="auto"/>
              <w:left w:val="single" w:sz="4" w:space="0" w:color="auto"/>
              <w:bottom w:val="single" w:sz="4" w:space="0" w:color="auto"/>
              <w:right w:val="single" w:sz="4" w:space="0" w:color="auto"/>
            </w:tcBorders>
            <w:hideMark/>
          </w:tcPr>
          <w:p w:rsidR="0078117D" w:rsidRDefault="0078117D">
            <w:pPr>
              <w:jc w:val="both"/>
            </w:pPr>
            <w:r>
              <w:t>-0.67</w:t>
            </w:r>
          </w:p>
        </w:tc>
      </w:tr>
      <w:tr w:rsidR="0078117D" w:rsidTr="0078117D">
        <w:trPr>
          <w:trHeight w:val="457"/>
          <w:jc w:val="center"/>
        </w:trPr>
        <w:tc>
          <w:tcPr>
            <w:tcW w:w="2568" w:type="dxa"/>
            <w:tcBorders>
              <w:top w:val="single" w:sz="4" w:space="0" w:color="auto"/>
              <w:left w:val="single" w:sz="4" w:space="0" w:color="auto"/>
              <w:bottom w:val="single" w:sz="4" w:space="0" w:color="auto"/>
              <w:right w:val="single" w:sz="4" w:space="0" w:color="auto"/>
            </w:tcBorders>
            <w:hideMark/>
          </w:tcPr>
          <w:p w:rsidR="0078117D" w:rsidRDefault="0078117D">
            <w:pPr>
              <w:jc w:val="both"/>
            </w:pPr>
            <w:r>
              <w:t>UrbanPop</w:t>
            </w:r>
          </w:p>
        </w:tc>
        <w:tc>
          <w:tcPr>
            <w:tcW w:w="2568" w:type="dxa"/>
            <w:tcBorders>
              <w:top w:val="single" w:sz="4" w:space="0" w:color="auto"/>
              <w:left w:val="single" w:sz="4" w:space="0" w:color="auto"/>
              <w:bottom w:val="single" w:sz="4" w:space="0" w:color="auto"/>
              <w:right w:val="single" w:sz="4" w:space="0" w:color="auto"/>
            </w:tcBorders>
            <w:hideMark/>
          </w:tcPr>
          <w:p w:rsidR="0078117D" w:rsidRDefault="0078117D">
            <w:pPr>
              <w:jc w:val="both"/>
            </w:pPr>
            <w:r>
              <w:t>-0.8123</w:t>
            </w:r>
          </w:p>
        </w:tc>
      </w:tr>
      <w:tr w:rsidR="0078117D" w:rsidTr="0078117D">
        <w:trPr>
          <w:trHeight w:val="374"/>
          <w:jc w:val="center"/>
        </w:trPr>
        <w:tc>
          <w:tcPr>
            <w:tcW w:w="2568" w:type="dxa"/>
            <w:tcBorders>
              <w:top w:val="single" w:sz="4" w:space="0" w:color="auto"/>
              <w:left w:val="single" w:sz="4" w:space="0" w:color="auto"/>
              <w:bottom w:val="single" w:sz="4" w:space="0" w:color="auto"/>
              <w:right w:val="single" w:sz="4" w:space="0" w:color="auto"/>
            </w:tcBorders>
            <w:hideMark/>
          </w:tcPr>
          <w:p w:rsidR="0078117D" w:rsidRDefault="0078117D">
            <w:pPr>
              <w:jc w:val="both"/>
            </w:pPr>
            <w:r>
              <w:t>Rape</w:t>
            </w:r>
          </w:p>
        </w:tc>
        <w:tc>
          <w:tcPr>
            <w:tcW w:w="2568" w:type="dxa"/>
            <w:tcBorders>
              <w:top w:val="single" w:sz="4" w:space="0" w:color="auto"/>
              <w:left w:val="single" w:sz="4" w:space="0" w:color="auto"/>
              <w:bottom w:val="single" w:sz="4" w:space="0" w:color="auto"/>
              <w:right w:val="single" w:sz="4" w:space="0" w:color="auto"/>
            </w:tcBorders>
            <w:hideMark/>
          </w:tcPr>
          <w:p w:rsidR="0078117D" w:rsidRDefault="0078117D">
            <w:pPr>
              <w:jc w:val="both"/>
            </w:pPr>
            <w:r>
              <w:t>-0.84</w:t>
            </w:r>
          </w:p>
        </w:tc>
      </w:tr>
    </w:tbl>
    <w:p w:rsidR="00076E5D" w:rsidRDefault="00076E5D" w:rsidP="00791ED5">
      <w:pPr>
        <w:tabs>
          <w:tab w:val="left" w:pos="1641"/>
        </w:tabs>
      </w:pPr>
    </w:p>
    <w:p w:rsidR="009A2CDB" w:rsidRDefault="0078117D" w:rsidP="00791ED5">
      <w:pPr>
        <w:tabs>
          <w:tab w:val="left" w:pos="1641"/>
        </w:tabs>
      </w:pPr>
      <w:r>
        <w:t>First principal component has highest negative correlation with both UrbanPop and Rape which means that these variables are important for PC1.  This component thus corresponds with the level of urbanization of the state. It also has correlation with assault and murder.</w:t>
      </w:r>
      <w:bookmarkStart w:id="0" w:name="_GoBack"/>
      <w:bookmarkEnd w:id="0"/>
    </w:p>
    <w:p w:rsidR="008B39CB" w:rsidRDefault="008B39CB" w:rsidP="00791ED5">
      <w:pPr>
        <w:tabs>
          <w:tab w:val="left" w:pos="1641"/>
        </w:tabs>
      </w:pPr>
    </w:p>
    <w:p w:rsidR="008B39CB" w:rsidRPr="00310AB7" w:rsidRDefault="008B39CB" w:rsidP="00791ED5">
      <w:pPr>
        <w:tabs>
          <w:tab w:val="left" w:pos="1641"/>
        </w:tabs>
        <w:rPr>
          <w:b/>
        </w:rPr>
      </w:pPr>
      <w:r w:rsidRPr="00310AB7">
        <w:rPr>
          <w:b/>
        </w:rPr>
        <w:t>Conclusion:</w:t>
      </w:r>
    </w:p>
    <w:p w:rsidR="008B39CB" w:rsidRDefault="00310AB7" w:rsidP="00791ED5">
      <w:pPr>
        <w:tabs>
          <w:tab w:val="left" w:pos="1641"/>
        </w:tabs>
      </w:pPr>
      <w:r>
        <w:t>In this lab</w:t>
      </w:r>
    </w:p>
    <w:p w:rsidR="00310AB7" w:rsidRDefault="00310AB7" w:rsidP="00310AB7">
      <w:pPr>
        <w:pStyle w:val="ListParagraph"/>
        <w:numPr>
          <w:ilvl w:val="0"/>
          <w:numId w:val="4"/>
        </w:numPr>
        <w:tabs>
          <w:tab w:val="left" w:pos="1641"/>
        </w:tabs>
      </w:pPr>
      <w:r>
        <w:t>We learned about Box-Cox Transformation that is very useful to transform variables into normality (not applicable always)</w:t>
      </w:r>
    </w:p>
    <w:p w:rsidR="00310AB7" w:rsidRDefault="00310AB7" w:rsidP="00310AB7">
      <w:pPr>
        <w:pStyle w:val="ListParagraph"/>
        <w:numPr>
          <w:ilvl w:val="0"/>
          <w:numId w:val="4"/>
        </w:numPr>
        <w:tabs>
          <w:tab w:val="left" w:pos="1641"/>
        </w:tabs>
      </w:pPr>
      <w:r>
        <w:t>We learned about the relationship between loadings, variability of the principal components.</w:t>
      </w:r>
    </w:p>
    <w:p w:rsidR="009A2CDB" w:rsidRDefault="009A2CDB" w:rsidP="00791ED5">
      <w:pPr>
        <w:tabs>
          <w:tab w:val="left" w:pos="1641"/>
        </w:tabs>
      </w:pPr>
    </w:p>
    <w:p w:rsidR="009A2CDB" w:rsidRDefault="009A2CDB" w:rsidP="00791ED5">
      <w:pPr>
        <w:tabs>
          <w:tab w:val="left" w:pos="1641"/>
        </w:tabs>
      </w:pPr>
    </w:p>
    <w:p w:rsidR="009A2CDB" w:rsidRDefault="009A2CDB" w:rsidP="00791ED5">
      <w:pPr>
        <w:tabs>
          <w:tab w:val="left" w:pos="1641"/>
        </w:tabs>
      </w:pPr>
    </w:p>
    <w:p w:rsidR="009A2CDB" w:rsidRDefault="009A2CDB" w:rsidP="00791ED5">
      <w:pPr>
        <w:tabs>
          <w:tab w:val="left" w:pos="1641"/>
        </w:tabs>
      </w:pPr>
    </w:p>
    <w:p w:rsidR="009A2CDB" w:rsidRDefault="009A2CDB" w:rsidP="00791ED5">
      <w:pPr>
        <w:tabs>
          <w:tab w:val="left" w:pos="1641"/>
        </w:tabs>
      </w:pPr>
    </w:p>
    <w:p w:rsidR="00791ED5" w:rsidRDefault="00791ED5" w:rsidP="00791ED5">
      <w:pPr>
        <w:tabs>
          <w:tab w:val="left" w:pos="1641"/>
        </w:tabs>
      </w:pPr>
    </w:p>
    <w:p w:rsidR="00791ED5" w:rsidRDefault="00AA4EBA" w:rsidP="00791ED5">
      <w:pPr>
        <w:tabs>
          <w:tab w:val="left" w:pos="1641"/>
        </w:tabs>
      </w:pPr>
      <w:r>
        <w:t>Reference</w:t>
      </w:r>
    </w:p>
    <w:p w:rsidR="00AA4EBA" w:rsidRDefault="005D2D43" w:rsidP="00264ECC">
      <w:pPr>
        <w:pStyle w:val="ListParagraph"/>
        <w:numPr>
          <w:ilvl w:val="0"/>
          <w:numId w:val="1"/>
        </w:numPr>
        <w:tabs>
          <w:tab w:val="left" w:pos="1641"/>
        </w:tabs>
      </w:pPr>
      <w:hyperlink r:id="rId22" w:history="1">
        <w:r w:rsidR="00264ECC" w:rsidRPr="00804DCF">
          <w:rPr>
            <w:rStyle w:val="Hyperlink"/>
          </w:rPr>
          <w:t>http://www.itl.nist.gov/div898/handbook/eda/section3/eda336.htm</w:t>
        </w:r>
      </w:hyperlink>
    </w:p>
    <w:p w:rsidR="00264ECC" w:rsidRPr="00791ED5" w:rsidRDefault="00264ECC" w:rsidP="00264ECC">
      <w:pPr>
        <w:pStyle w:val="ListParagraph"/>
        <w:numPr>
          <w:ilvl w:val="0"/>
          <w:numId w:val="1"/>
        </w:numPr>
        <w:tabs>
          <w:tab w:val="left" w:pos="1641"/>
        </w:tabs>
      </w:pPr>
      <w:r w:rsidRPr="00264ECC">
        <w:t>ftp://statgen.ncsu.edu/pub/thorne/molevoclass/AtchleyOct19.pdf</w:t>
      </w:r>
    </w:p>
    <w:sectPr w:rsidR="00264ECC" w:rsidRPr="00791ED5" w:rsidSect="000809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2D43" w:rsidRDefault="005D2D43" w:rsidP="00AA4EBA">
      <w:pPr>
        <w:spacing w:after="0" w:line="240" w:lineRule="auto"/>
      </w:pPr>
      <w:r>
        <w:separator/>
      </w:r>
    </w:p>
  </w:endnote>
  <w:endnote w:type="continuationSeparator" w:id="0">
    <w:p w:rsidR="005D2D43" w:rsidRDefault="005D2D43" w:rsidP="00AA4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2D43" w:rsidRDefault="005D2D43" w:rsidP="00AA4EBA">
      <w:pPr>
        <w:spacing w:after="0" w:line="240" w:lineRule="auto"/>
      </w:pPr>
      <w:r>
        <w:separator/>
      </w:r>
    </w:p>
  </w:footnote>
  <w:footnote w:type="continuationSeparator" w:id="0">
    <w:p w:rsidR="005D2D43" w:rsidRDefault="005D2D43" w:rsidP="00AA4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3931D7"/>
    <w:multiLevelType w:val="hybridMultilevel"/>
    <w:tmpl w:val="50E86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7558CF"/>
    <w:multiLevelType w:val="hybridMultilevel"/>
    <w:tmpl w:val="85660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4252F"/>
    <w:multiLevelType w:val="hybridMultilevel"/>
    <w:tmpl w:val="C7D26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3B6902"/>
    <w:multiLevelType w:val="hybridMultilevel"/>
    <w:tmpl w:val="6E0EA2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91ED5"/>
    <w:rsid w:val="00067BFD"/>
    <w:rsid w:val="00072A90"/>
    <w:rsid w:val="00076E5D"/>
    <w:rsid w:val="0008092B"/>
    <w:rsid w:val="000F26E2"/>
    <w:rsid w:val="00113BAF"/>
    <w:rsid w:val="00175B86"/>
    <w:rsid w:val="001E378A"/>
    <w:rsid w:val="001F14E5"/>
    <w:rsid w:val="00222091"/>
    <w:rsid w:val="002622EC"/>
    <w:rsid w:val="00264ECC"/>
    <w:rsid w:val="002B5028"/>
    <w:rsid w:val="00310AB7"/>
    <w:rsid w:val="003E0DD6"/>
    <w:rsid w:val="003F1AE8"/>
    <w:rsid w:val="00425E5A"/>
    <w:rsid w:val="00433234"/>
    <w:rsid w:val="00474658"/>
    <w:rsid w:val="0049682F"/>
    <w:rsid w:val="005D2854"/>
    <w:rsid w:val="005D2D43"/>
    <w:rsid w:val="00646DAB"/>
    <w:rsid w:val="00647643"/>
    <w:rsid w:val="00690848"/>
    <w:rsid w:val="00773B5C"/>
    <w:rsid w:val="0078117D"/>
    <w:rsid w:val="00791ED5"/>
    <w:rsid w:val="007E1A86"/>
    <w:rsid w:val="008341E8"/>
    <w:rsid w:val="008713A5"/>
    <w:rsid w:val="008B39CB"/>
    <w:rsid w:val="00960686"/>
    <w:rsid w:val="009944A6"/>
    <w:rsid w:val="009A2CDB"/>
    <w:rsid w:val="009A6800"/>
    <w:rsid w:val="00A02AA4"/>
    <w:rsid w:val="00A36456"/>
    <w:rsid w:val="00A54B30"/>
    <w:rsid w:val="00AA4EBA"/>
    <w:rsid w:val="00AB3391"/>
    <w:rsid w:val="00AE4AEF"/>
    <w:rsid w:val="00B43F04"/>
    <w:rsid w:val="00B50A9A"/>
    <w:rsid w:val="00C065E7"/>
    <w:rsid w:val="00C446A6"/>
    <w:rsid w:val="00D52319"/>
    <w:rsid w:val="00D63678"/>
    <w:rsid w:val="00E008FE"/>
    <w:rsid w:val="00E1765C"/>
    <w:rsid w:val="00E92310"/>
    <w:rsid w:val="00EB0D8A"/>
    <w:rsid w:val="00EE0083"/>
    <w:rsid w:val="00F74B03"/>
    <w:rsid w:val="00F90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1AB543DF"/>
  <w15:docId w15:val="{7B809690-5207-45AC-8713-995FDC0B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9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1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ED5"/>
    <w:rPr>
      <w:rFonts w:ascii="Tahoma" w:hAnsi="Tahoma" w:cs="Tahoma"/>
      <w:sz w:val="16"/>
      <w:szCs w:val="16"/>
    </w:rPr>
  </w:style>
  <w:style w:type="paragraph" w:styleId="Header">
    <w:name w:val="header"/>
    <w:basedOn w:val="Normal"/>
    <w:link w:val="HeaderChar"/>
    <w:uiPriority w:val="99"/>
    <w:semiHidden/>
    <w:unhideWhenUsed/>
    <w:rsid w:val="00AA4E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4EBA"/>
  </w:style>
  <w:style w:type="paragraph" w:styleId="Footer">
    <w:name w:val="footer"/>
    <w:basedOn w:val="Normal"/>
    <w:link w:val="FooterChar"/>
    <w:uiPriority w:val="99"/>
    <w:semiHidden/>
    <w:unhideWhenUsed/>
    <w:rsid w:val="00AA4E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A4EBA"/>
  </w:style>
  <w:style w:type="character" w:customStyle="1" w:styleId="apple-converted-space">
    <w:name w:val="apple-converted-space"/>
    <w:basedOn w:val="DefaultParagraphFont"/>
    <w:rsid w:val="009944A6"/>
  </w:style>
  <w:style w:type="character" w:styleId="Hyperlink">
    <w:name w:val="Hyperlink"/>
    <w:basedOn w:val="DefaultParagraphFont"/>
    <w:uiPriority w:val="99"/>
    <w:unhideWhenUsed/>
    <w:rsid w:val="009944A6"/>
    <w:rPr>
      <w:color w:val="0000FF"/>
      <w:u w:val="single"/>
    </w:rPr>
  </w:style>
  <w:style w:type="character" w:styleId="PlaceholderText">
    <w:name w:val="Placeholder Text"/>
    <w:basedOn w:val="DefaultParagraphFont"/>
    <w:uiPriority w:val="99"/>
    <w:semiHidden/>
    <w:rsid w:val="009A2CDB"/>
    <w:rPr>
      <w:color w:val="808080"/>
    </w:rPr>
  </w:style>
  <w:style w:type="paragraph" w:styleId="NoSpacing">
    <w:name w:val="No Spacing"/>
    <w:uiPriority w:val="1"/>
    <w:qFormat/>
    <w:rsid w:val="00D63678"/>
    <w:pPr>
      <w:spacing w:after="0" w:line="240" w:lineRule="auto"/>
    </w:pPr>
  </w:style>
  <w:style w:type="paragraph" w:styleId="ListParagraph">
    <w:name w:val="List Paragraph"/>
    <w:basedOn w:val="Normal"/>
    <w:uiPriority w:val="34"/>
    <w:qFormat/>
    <w:rsid w:val="00264ECC"/>
    <w:pPr>
      <w:ind w:left="720"/>
      <w:contextualSpacing/>
    </w:pPr>
  </w:style>
  <w:style w:type="table" w:styleId="TableGrid">
    <w:name w:val="Table Grid"/>
    <w:basedOn w:val="TableNormal"/>
    <w:uiPriority w:val="39"/>
    <w:rsid w:val="00496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60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itl.nist.gov/div898/handbook/eda/section3/eda33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10</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titan</dc:creator>
  <cp:lastModifiedBy>Biplav Timalsina</cp:lastModifiedBy>
  <cp:revision>34</cp:revision>
  <cp:lastPrinted>2017-04-06T19:45:00Z</cp:lastPrinted>
  <dcterms:created xsi:type="dcterms:W3CDTF">2017-04-03T16:42:00Z</dcterms:created>
  <dcterms:modified xsi:type="dcterms:W3CDTF">2017-04-06T20:00:00Z</dcterms:modified>
</cp:coreProperties>
</file>