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79A3E"/>
          <w:sz w:val="19"/>
          <w:szCs w:val="19"/>
        </w:rPr>
        <w:t xml:space="preserve">THESIS SUPPORT NOTES  ·  CHAPTER V (DISCUSSION)</w:t>
      </w:r>
    </w:p>
    <w:p>
      <w:pPr>
        <w:spacing w:after="80"/>
      </w:pPr>
      <w:r>
        <w:rPr>
          <w:rFonts w:ascii="Cambria" w:cs="Cambria" w:eastAsia="Cambria" w:hAnsi="Cambria"/>
          <w:b/>
          <w:bCs/>
          <w:color w:val="5C1A2E"/>
          <w:sz w:val="44"/>
          <w:szCs w:val="44"/>
        </w:rPr>
        <w:t xml:space="preserve">Supporting Evidence for França et al. (2025)</w:t>
      </w:r>
    </w:p>
    <w:p>
      <w:pPr>
        <w:spacing w:after="120" w:line="290"/>
      </w:pPr>
      <w:r>
        <w:rPr>
          <w:rFonts w:ascii="Calibri" w:cs="Calibri" w:eastAsia="Calibri" w:hAnsi="Calibri"/>
          <w:color w:val="6B625A"/>
          <w:sz w:val="20"/>
          <w:szCs w:val="20"/>
        </w:rPr>
        <w:t xml:space="preserve">Prepared by Nisha  ·  October 2026</w:t>
      </w:r>
    </w:p>
    <w:p>
      <w:pPr>
        <w:pStyle w:val="Heading1"/>
        <w:pBdr>
          <w:bottom w:val="single" w:color="C79A3E" w:sz="8" w:space="4"/>
        </w:pBdr>
        <w:spacing w:after="120" w:before="280"/>
      </w:pPr>
      <w:r>
        <w:rPr>
          <w:rFonts w:ascii="Cambria" w:cs="Cambria" w:eastAsia="Cambria" w:hAnsi="Cambria"/>
          <w:b/>
          <w:bCs/>
          <w:color w:val="5C1A2E"/>
          <w:sz w:val="30"/>
          <w:szCs w:val="30"/>
        </w:rPr>
        <w:t xml:space="preserve">1. What França et al. (2025) found, as discussed in the thesis</w:t>
      </w:r>
    </w:p>
    <w:p>
      <w:pPr>
        <w:pStyle w:val="ListParagraph"/>
        <w:numPr>
          <w:ilvl w:val="0"/>
          <w:numId w:val="2"/>
        </w:numPr>
        <w:spacing w:after="70" w:line="280"/>
      </w:pPr>
      <w:r>
        <w:rPr>
          <w:rFonts w:ascii="Calibri" w:cs="Calibri" w:eastAsia="Calibri" w:hAnsi="Calibri"/>
          <w:i/>
          <w:iCs/>
          <w:color w:val="22201D"/>
          <w:sz w:val="21"/>
          <w:szCs w:val="21"/>
        </w:rPr>
        <w:t xml:space="preserve">Lasiodiplodia theobromae</w:t>
      </w:r>
      <w:r>
        <w:rPr>
          <w:rFonts w:ascii="Calibri" w:cs="Calibri" w:eastAsia="Calibri" w:hAnsi="Calibri"/>
          <w:color w:val="22201D"/>
          <w:sz w:val="21"/>
          <w:szCs w:val="21"/>
        </w:rPr>
        <w:t xml:space="preserve"> caused leaf spot and fruit rot on achachairu (</w:t>
      </w:r>
      <w:r>
        <w:rPr>
          <w:rFonts w:ascii="Calibri" w:cs="Calibri" w:eastAsia="Calibri" w:hAnsi="Calibri"/>
          <w:i/>
          <w:iCs/>
          <w:color w:val="22201D"/>
          <w:sz w:val="21"/>
          <w:szCs w:val="21"/>
        </w:rPr>
        <w:t xml:space="preserve">Garcinia humilis</w:t>
      </w:r>
      <w:r>
        <w:rPr>
          <w:rFonts w:ascii="Calibri" w:cs="Calibri" w:eastAsia="Calibri" w:hAnsi="Calibri"/>
          <w:color w:val="22201D"/>
          <w:sz w:val="21"/>
          <w:szCs w:val="21"/>
        </w:rPr>
        <w:t xml:space="preserve">), two diseases not previously reported on that host.</w:t>
      </w:r>
    </w:p>
    <w:p>
      <w:pPr>
        <w:pStyle w:val="ListParagraph"/>
        <w:numPr>
          <w:ilvl w:val="0"/>
          <w:numId w:val="2"/>
        </w:numPr>
        <w:spacing w:after="70" w:line="280"/>
      </w:pPr>
      <w:r>
        <w:rPr>
          <w:rFonts w:ascii="Calibri" w:cs="Calibri" w:eastAsia="Calibri" w:hAnsi="Calibri"/>
          <w:color w:val="22201D"/>
          <w:sz w:val="21"/>
          <w:szCs w:val="21"/>
        </w:rPr>
        <w:t xml:space="preserve">Wounded detached leaves and fruits were inoculated with 5-mm mycelial discs. Necrotic lesions appeared within 2 days and kept enlarging up to 7 days.</w:t>
      </w:r>
    </w:p>
    <w:p>
      <w:pPr>
        <w:pStyle w:val="ListParagraph"/>
        <w:numPr>
          <w:ilvl w:val="0"/>
          <w:numId w:val="2"/>
        </w:numPr>
        <w:spacing w:after="70" w:line="280"/>
      </w:pPr>
      <w:r>
        <w:rPr>
          <w:rFonts w:ascii="Calibri" w:cs="Calibri" w:eastAsia="Calibri" w:hAnsi="Calibri"/>
          <w:color w:val="22201D"/>
          <w:sz w:val="21"/>
          <w:szCs w:val="21"/>
        </w:rPr>
        <w:t xml:space="preserve">The pathogen was re-isolated from the lesions while the controls stayed symptomless, which fulfilled Koch’s postulates.</w:t>
      </w:r>
    </w:p>
    <w:p>
      <w:pPr>
        <w:spacing w:after="120" w:line="290"/>
      </w:pPr>
      <w:r>
        <w:rPr>
          <w:rFonts w:ascii="Calibri" w:cs="Calibri" w:eastAsia="Calibri" w:hAnsi="Calibri"/>
          <w:i/>
          <w:iCs/>
          <w:color w:val="6B625A"/>
          <w:sz w:val="19"/>
          <w:szCs w:val="19"/>
        </w:rPr>
        <w:t xml:space="preserve">Note on location: in the thesis Word file (where Chapter I is page 1), França et al. (2025) appears in the Discussion on page 81 (symptoms paragraph) and page 83 (pathogenicity paragraph). Your formatted copy shows it on page 86, which is most likely because the front matter is counted there. The evidence below supports both paragraphs.</w:t>
      </w:r>
    </w:p>
    <w:p>
      <w:pPr>
        <w:pStyle w:val="Heading1"/>
        <w:pBdr>
          <w:bottom w:val="single" w:color="C79A3E" w:sz="8" w:space="4"/>
        </w:pBdr>
        <w:spacing w:after="120" w:before="280"/>
      </w:pPr>
      <w:r>
        <w:rPr>
          <w:rFonts w:ascii="Cambria" w:cs="Cambria" w:eastAsia="Cambria" w:hAnsi="Cambria"/>
          <w:b/>
          <w:bCs/>
          <w:color w:val="5C1A2E"/>
          <w:sz w:val="30"/>
          <w:szCs w:val="30"/>
        </w:rPr>
        <w:t xml:space="preserve">2. One piece of supporting evidence from each paper</w:t>
      </w:r>
    </w:p>
    <w:p>
      <w:pPr>
        <w:spacing w:after="120" w:line="290"/>
      </w:pPr>
      <w:r>
        <w:rPr>
          <w:rFonts w:ascii="Calibri" w:cs="Calibri" w:eastAsia="Calibri" w:hAnsi="Calibri"/>
          <w:i/>
          <w:iCs/>
          <w:color w:val="6B625A"/>
          <w:sz w:val="19"/>
          <w:szCs w:val="19"/>
        </w:rPr>
        <w:t xml:space="preserve">Seven unique papers are in the two merged PDFs. Khuong et al. (2023) appears in both files, and Atallah et al. (2024) appears twice in Tri_5. Page numbers are the journal page numbers; “pdf pp.” gives the position inside the merged file.</w:t>
      </w:r>
    </w:p>
    <w:tbl>
      <w:tblPr>
        <w:tblW w:type="dxa" w:w="13680"/>
        <w:tblBorders>
          <w:top w:val="single" w:color="E3D6C2" w:sz="4"/>
          <w:left w:val="single" w:color="E3D6C2" w:sz="4"/>
          <w:bottom w:val="single" w:color="E3D6C2" w:sz="4"/>
          <w:right w:val="single" w:color="E3D6C2" w:sz="4"/>
          <w:insideH w:val="single" w:color="E3D6C2" w:sz="4"/>
          <w:insideV w:val="single" w:color="E3D6C2" w:sz="4"/>
        </w:tblBorders>
      </w:tblPr>
      <w:tblGrid>
        <w:gridCol w:w="500"/>
        <w:gridCol w:w="2350"/>
        <w:gridCol w:w="5730"/>
        <w:gridCol w:w="3300"/>
        <w:gridCol w:w="1800"/>
      </w:tblGrid>
      <w:tr>
        <w:trPr>
          <w:tblHeader/>
        </w:trPr>
        <w:tc>
          <w:tcPr>
            <w:tcW w:type="dxa" w:w="500"/>
            <w:shd w:fill="5C1A2E" w:color="auto" w:val="clear"/>
            <w:tcMar>
              <w:top w:type="dxa" w:w="90"/>
              <w:left w:type="dxa" w:w="110"/>
              <w:bottom w:type="dxa" w:w="90"/>
              <w:right w:type="dxa" w:w="110"/>
            </w:tcMar>
          </w:tcPr>
          <w:p>
            <w:pPr>
              <w:spacing w:after="40" w:line="260"/>
            </w:pPr>
            <w:r>
              <w:rPr>
                <w:rFonts w:ascii="Calibri" w:cs="Calibri" w:eastAsia="Calibri" w:hAnsi="Calibri"/>
                <w:b/>
                <w:bCs/>
                <w:color w:val="FFFFFF"/>
                <w:sz w:val="20"/>
                <w:szCs w:val="20"/>
              </w:rPr>
              <w:t xml:space="preserve">#</w:t>
            </w:r>
          </w:p>
        </w:tc>
        <w:tc>
          <w:tcPr>
            <w:tcW w:type="dxa" w:w="2350"/>
            <w:shd w:fill="5C1A2E" w:color="auto" w:val="clear"/>
            <w:tcMar>
              <w:top w:type="dxa" w:w="90"/>
              <w:left w:type="dxa" w:w="110"/>
              <w:bottom w:type="dxa" w:w="90"/>
              <w:right w:type="dxa" w:w="110"/>
            </w:tcMar>
          </w:tcPr>
          <w:p>
            <w:pPr>
              <w:spacing w:after="40" w:line="260"/>
            </w:pPr>
            <w:r>
              <w:rPr>
                <w:rFonts w:ascii="Calibri" w:cs="Calibri" w:eastAsia="Calibri" w:hAnsi="Calibri"/>
                <w:b/>
                <w:bCs/>
                <w:color w:val="FFFFFF"/>
                <w:sz w:val="20"/>
                <w:szCs w:val="20"/>
              </w:rPr>
              <w:t xml:space="preserve">Paper</w:t>
            </w:r>
          </w:p>
        </w:tc>
        <w:tc>
          <w:tcPr>
            <w:tcW w:type="dxa" w:w="5730"/>
            <w:shd w:fill="5C1A2E" w:color="auto" w:val="clear"/>
            <w:tcMar>
              <w:top w:type="dxa" w:w="90"/>
              <w:left w:type="dxa" w:w="110"/>
              <w:bottom w:type="dxa" w:w="90"/>
              <w:right w:type="dxa" w:w="110"/>
            </w:tcMar>
          </w:tcPr>
          <w:p>
            <w:pPr>
              <w:spacing w:after="40" w:line="260"/>
            </w:pPr>
            <w:r>
              <w:rPr>
                <w:rFonts w:ascii="Calibri" w:cs="Calibri" w:eastAsia="Calibri" w:hAnsi="Calibri"/>
                <w:b/>
                <w:bCs/>
                <w:color w:val="FFFFFF"/>
                <w:sz w:val="20"/>
                <w:szCs w:val="20"/>
              </w:rPr>
              <w:t xml:space="preserve">Supporting evidence (with page numbers)</w:t>
            </w:r>
          </w:p>
        </w:tc>
        <w:tc>
          <w:tcPr>
            <w:tcW w:type="dxa" w:w="3300"/>
            <w:shd w:fill="5C1A2E" w:color="auto" w:val="clear"/>
            <w:tcMar>
              <w:top w:type="dxa" w:w="90"/>
              <w:left w:type="dxa" w:w="110"/>
              <w:bottom w:type="dxa" w:w="90"/>
              <w:right w:type="dxa" w:w="110"/>
            </w:tcMar>
          </w:tcPr>
          <w:p>
            <w:pPr>
              <w:spacing w:after="40" w:line="260"/>
            </w:pPr>
            <w:r>
              <w:rPr>
                <w:rFonts w:ascii="Calibri" w:cs="Calibri" w:eastAsia="Calibri" w:hAnsi="Calibri"/>
                <w:b/>
                <w:bCs/>
                <w:color w:val="FFFFFF"/>
                <w:sz w:val="20"/>
                <w:szCs w:val="20"/>
              </w:rPr>
              <w:t xml:space="preserve">Which França et al. (2025) finding it supports</w:t>
            </w:r>
          </w:p>
        </w:tc>
        <w:tc>
          <w:tcPr>
            <w:tcW w:type="dxa" w:w="1800"/>
            <w:shd w:fill="5C1A2E" w:color="auto" w:val="clear"/>
            <w:tcMar>
              <w:top w:type="dxa" w:w="90"/>
              <w:left w:type="dxa" w:w="110"/>
              <w:bottom w:type="dxa" w:w="90"/>
              <w:right w:type="dxa" w:w="110"/>
            </w:tcMar>
          </w:tcPr>
          <w:p>
            <w:pPr>
              <w:spacing w:after="40" w:line="260"/>
            </w:pPr>
            <w:r>
              <w:rPr>
                <w:rFonts w:ascii="Calibri" w:cs="Calibri" w:eastAsia="Calibri" w:hAnsi="Calibri"/>
                <w:b/>
                <w:bCs/>
                <w:color w:val="FFFFFF"/>
                <w:sz w:val="20"/>
                <w:szCs w:val="20"/>
              </w:rPr>
              <w:t xml:space="preserve">Strength</w:t>
            </w:r>
          </w:p>
        </w:tc>
      </w:tr>
      <w:tr>
        <w:trPr>
          <w:cantSplit/>
        </w:trPr>
        <w:tc>
          <w:tcPr>
            <w:tcW w:type="dxa" w:w="500"/>
            <w:shd w:fill="FBF3E7"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1</w:t>
            </w:r>
          </w:p>
        </w:tc>
        <w:tc>
          <w:tcPr>
            <w:tcW w:type="dxa" w:w="2350"/>
            <w:shd w:fill="FBF3E7" w:color="auto" w:val="clear"/>
            <w:tcMar>
              <w:top w:type="dxa" w:w="90"/>
              <w:left w:type="dxa" w:w="110"/>
              <w:bottom w:type="dxa" w:w="90"/>
              <w:right w:type="dxa" w:w="110"/>
            </w:tcMar>
          </w:tcPr>
          <w:p>
            <w:pPr>
              <w:spacing w:after="40" w:line="260"/>
            </w:pPr>
            <w:r>
              <w:rPr>
                <w:rFonts w:ascii="Calibri" w:cs="Calibri" w:eastAsia="Calibri" w:hAnsi="Calibri"/>
                <w:b/>
                <w:bCs/>
                <w:color w:val="5C1A2E"/>
                <w:sz w:val="19"/>
                <w:szCs w:val="19"/>
              </w:rPr>
              <w:t xml:space="preserve">Li et al. (2022)</w:t>
            </w:r>
          </w:p>
          <w:p>
            <w:pPr>
              <w:spacing w:after="40" w:line="260"/>
            </w:pPr>
            <w:r>
              <w:rPr>
                <w:rFonts w:ascii="Calibri" w:cs="Calibri" w:eastAsia="Calibri" w:hAnsi="Calibri"/>
                <w:color w:val="6B625A"/>
                <w:sz w:val="16"/>
                <w:szCs w:val="16"/>
              </w:rPr>
              <w:t xml:space="preserve">Front. Microbiol. 13: 994422 (Tri_5, pdf pp. 16–24)</w:t>
            </w:r>
          </w:p>
        </w:tc>
        <w:tc>
          <w:tcPr>
            <w:tcW w:type="dxa" w:w="5730"/>
            <w:shd w:fill="FDFAF4"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Fully expanded detached macadamia leaves were wounded with sterile needles and a 5-mm mycelial disc of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was placed on each wound; distinct lesions had formed by 4 days after inoculation, and the authors concluded that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can also cause lesions on macadamia leaves” (pp. 3, 5, 7; Fig. 4). On wounded stems of potted trees the pathogen-only control reached a disease severity index of 85.1% (p. 7).</w:t>
            </w:r>
          </w:p>
        </w:tc>
        <w:tc>
          <w:tcPr>
            <w:tcW w:type="dxa" w:w="3300"/>
            <w:shd w:fill="FDFAF4"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Same method as França et al. (2025): a 5-mm mycelial disc on wounded detached leaves gives necrotic lesions within a few days.</w:t>
            </w:r>
          </w:p>
        </w:tc>
        <w:tc>
          <w:tcPr>
            <w:tcW w:type="dxa" w:w="1800"/>
            <w:shd w:fill="FDFAF4" w:color="auto" w:val="clear"/>
            <w:tcMar>
              <w:top w:type="dxa" w:w="90"/>
              <w:left w:type="dxa" w:w="110"/>
              <w:bottom w:type="dxa" w:w="90"/>
              <w:right w:type="dxa" w:w="110"/>
            </w:tcMar>
          </w:tcPr>
          <w:p>
            <w:pPr>
              <w:spacing w:after="40" w:line="260"/>
            </w:pPr>
            <w:r>
              <w:rPr>
                <w:rFonts w:ascii="Calibri" w:cs="Calibri" w:eastAsia="Calibri" w:hAnsi="Calibri"/>
                <w:b/>
                <w:bCs/>
                <w:color w:val="2F5D46"/>
                <w:sz w:val="18"/>
                <w:szCs w:val="18"/>
              </w:rPr>
              <w:t xml:space="preserve">Direct, experimental (closest match)</w:t>
            </w:r>
          </w:p>
        </w:tc>
      </w:tr>
      <w:tr>
        <w:trPr>
          <w:cantSplit/>
        </w:trPr>
        <w:tc>
          <w:tcPr>
            <w:tcW w:type="dxa" w:w="500"/>
            <w:shd w:fill="FBF3E7"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2</w:t>
            </w:r>
          </w:p>
        </w:tc>
        <w:tc>
          <w:tcPr>
            <w:tcW w:type="dxa" w:w="2350"/>
            <w:shd w:fill="FBF3E7" w:color="auto" w:val="clear"/>
            <w:tcMar>
              <w:top w:type="dxa" w:w="90"/>
              <w:left w:type="dxa" w:w="110"/>
              <w:bottom w:type="dxa" w:w="90"/>
              <w:right w:type="dxa" w:w="110"/>
            </w:tcMar>
          </w:tcPr>
          <w:p>
            <w:pPr>
              <w:spacing w:after="40" w:line="260"/>
            </w:pPr>
            <w:r>
              <w:rPr>
                <w:rFonts w:ascii="Calibri" w:cs="Calibri" w:eastAsia="Calibri" w:hAnsi="Calibri"/>
                <w:b/>
                <w:bCs/>
                <w:color w:val="5C1A2E"/>
                <w:sz w:val="19"/>
                <w:szCs w:val="19"/>
              </w:rPr>
              <w:t xml:space="preserve">Atallah et al. (2024)</w:t>
            </w:r>
          </w:p>
          <w:p>
            <w:pPr>
              <w:spacing w:after="40" w:line="260"/>
            </w:pPr>
            <w:r>
              <w:rPr>
                <w:rFonts w:ascii="Calibri" w:cs="Calibri" w:eastAsia="Calibri" w:hAnsi="Calibri"/>
                <w:color w:val="6B625A"/>
                <w:sz w:val="16"/>
                <w:szCs w:val="16"/>
              </w:rPr>
              <w:t xml:space="preserve">Plant Disease 108: 3243–3257 (Tri_5, pdf pp. 1–15)</w:t>
            </w:r>
          </w:p>
        </w:tc>
        <w:tc>
          <w:tcPr>
            <w:tcW w:type="dxa" w:w="5730"/>
            <w:shd w:fill="FFFFFF"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Detached date-palm leaflets and rachis were lightly wounded and inoculated with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spores. All seven isolates caused disease symptoms significantly greater than the mock control (lesions up to 11 cm with Las1 and Las2). Leaflets developed brown, diamond-shaped lesions that expanded outward and were later covered with pycnidia, and the fungus was re-isolated and compared with the original cultures to fulfil Koch’s postulates (pp. 3246–3248).</w:t>
            </w:r>
          </w:p>
        </w:tc>
        <w:tc>
          <w:tcPr>
            <w:tcW w:type="dxa" w:w="3300"/>
            <w:shd w:fill="FFFFFF"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Wound-inoculated detached tissue gives expanding necrotic lesions, and re-isolation fulfils Koch’s postulates.</w:t>
            </w:r>
          </w:p>
        </w:tc>
        <w:tc>
          <w:tcPr>
            <w:tcW w:type="dxa" w:w="1800"/>
            <w:shd w:fill="FFFFFF" w:color="auto" w:val="clear"/>
            <w:tcMar>
              <w:top w:type="dxa" w:w="90"/>
              <w:left w:type="dxa" w:w="110"/>
              <w:bottom w:type="dxa" w:w="90"/>
              <w:right w:type="dxa" w:w="110"/>
            </w:tcMar>
          </w:tcPr>
          <w:p>
            <w:pPr>
              <w:spacing w:after="40" w:line="260"/>
            </w:pPr>
            <w:r>
              <w:rPr>
                <w:rFonts w:ascii="Calibri" w:cs="Calibri" w:eastAsia="Calibri" w:hAnsi="Calibri"/>
                <w:b/>
                <w:bCs/>
                <w:color w:val="2F5D46"/>
                <w:sz w:val="18"/>
                <w:szCs w:val="18"/>
              </w:rPr>
              <w:t xml:space="preserve">Direct, experimental</w:t>
            </w:r>
          </w:p>
        </w:tc>
      </w:tr>
      <w:tr>
        <w:trPr>
          <w:cantSplit/>
        </w:trPr>
        <w:tc>
          <w:tcPr>
            <w:tcW w:type="dxa" w:w="500"/>
            <w:shd w:fill="FBF3E7"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3</w:t>
            </w:r>
          </w:p>
        </w:tc>
        <w:tc>
          <w:tcPr>
            <w:tcW w:type="dxa" w:w="2350"/>
            <w:shd w:fill="FBF3E7" w:color="auto" w:val="clear"/>
            <w:tcMar>
              <w:top w:type="dxa" w:w="90"/>
              <w:left w:type="dxa" w:w="110"/>
              <w:bottom w:type="dxa" w:w="90"/>
              <w:right w:type="dxa" w:w="110"/>
            </w:tcMar>
          </w:tcPr>
          <w:p>
            <w:pPr>
              <w:spacing w:after="40" w:line="260"/>
            </w:pPr>
            <w:r>
              <w:rPr>
                <w:rFonts w:ascii="Calibri" w:cs="Calibri" w:eastAsia="Calibri" w:hAnsi="Calibri"/>
                <w:b/>
                <w:bCs/>
                <w:color w:val="5C1A2E"/>
                <w:sz w:val="19"/>
                <w:szCs w:val="19"/>
              </w:rPr>
              <w:t xml:space="preserve">Khuong et al. (2023)</w:t>
            </w:r>
          </w:p>
          <w:p>
            <w:pPr>
              <w:spacing w:after="40" w:line="260"/>
            </w:pPr>
            <w:r>
              <w:rPr>
                <w:rFonts w:ascii="Calibri" w:cs="Calibri" w:eastAsia="Calibri" w:hAnsi="Calibri"/>
                <w:color w:val="6B625A"/>
                <w:sz w:val="16"/>
                <w:szCs w:val="16"/>
              </w:rPr>
              <w:t xml:space="preserve">J. Fungi 9: 981 (Tri_5, pdf pp. 31–45; also Tri_8, pdf pp. 20–34)</w:t>
            </w:r>
          </w:p>
        </w:tc>
        <w:tc>
          <w:tcPr>
            <w:tcW w:type="dxa" w:w="5730"/>
            <w:shd w:fill="FDFAF4"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Healthy pomelo fruits were inoculated through an artificial peel wound. Both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strains (S-P06 and S-P07) caused stem-end rot 6–7 days after inoculation, which progressed to whole-fruit rot by 12–15 days, while the water-inoculated controls showed no rot. The rotted peel was used for re-isolation under Koch’s postulates, and ITS sequencing confirmed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(OR225686, OR225687) (pp. 3, 5–6; Table 3).</w:t>
            </w:r>
          </w:p>
        </w:tc>
        <w:tc>
          <w:tcPr>
            <w:tcW w:type="dxa" w:w="3300"/>
            <w:shd w:fill="FDFAF4"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Supports the fruit-rot finding: wounded fruit develops rot, the controls stay healthy, and Koch’s postulates are confirmed.</w:t>
            </w:r>
          </w:p>
        </w:tc>
        <w:tc>
          <w:tcPr>
            <w:tcW w:type="dxa" w:w="1800"/>
            <w:shd w:fill="FDFAF4" w:color="auto" w:val="clear"/>
            <w:tcMar>
              <w:top w:type="dxa" w:w="90"/>
              <w:left w:type="dxa" w:w="110"/>
              <w:bottom w:type="dxa" w:w="90"/>
              <w:right w:type="dxa" w:w="110"/>
            </w:tcMar>
          </w:tcPr>
          <w:p>
            <w:pPr>
              <w:spacing w:after="40" w:line="260"/>
            </w:pPr>
            <w:r>
              <w:rPr>
                <w:rFonts w:ascii="Calibri" w:cs="Calibri" w:eastAsia="Calibri" w:hAnsi="Calibri"/>
                <w:b/>
                <w:bCs/>
                <w:color w:val="2F5D46"/>
                <w:sz w:val="18"/>
                <w:szCs w:val="18"/>
              </w:rPr>
              <w:t xml:space="preserve">Direct, experimental</w:t>
            </w:r>
          </w:p>
        </w:tc>
      </w:tr>
      <w:tr>
        <w:trPr>
          <w:cantSplit/>
        </w:trPr>
        <w:tc>
          <w:tcPr>
            <w:tcW w:type="dxa" w:w="500"/>
            <w:shd w:fill="FBF3E7"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4</w:t>
            </w:r>
          </w:p>
        </w:tc>
        <w:tc>
          <w:tcPr>
            <w:tcW w:type="dxa" w:w="2350"/>
            <w:shd w:fill="FBF3E7" w:color="auto" w:val="clear"/>
            <w:tcMar>
              <w:top w:type="dxa" w:w="90"/>
              <w:left w:type="dxa" w:w="110"/>
              <w:bottom w:type="dxa" w:w="90"/>
              <w:right w:type="dxa" w:w="110"/>
            </w:tcMar>
          </w:tcPr>
          <w:p>
            <w:pPr>
              <w:spacing w:after="40" w:line="260"/>
            </w:pPr>
            <w:r>
              <w:rPr>
                <w:rFonts w:ascii="Calibri" w:cs="Calibri" w:eastAsia="Calibri" w:hAnsi="Calibri"/>
                <w:b/>
                <w:bCs/>
                <w:color w:val="5C1A2E"/>
                <w:sz w:val="19"/>
                <w:szCs w:val="19"/>
              </w:rPr>
              <w:t xml:space="preserve">Kamil et al. (2018)</w:t>
            </w:r>
          </w:p>
          <w:p>
            <w:pPr>
              <w:spacing w:after="40" w:line="260"/>
            </w:pPr>
            <w:r>
              <w:rPr>
                <w:rFonts w:ascii="Calibri" w:cs="Calibri" w:eastAsia="Calibri" w:hAnsi="Calibri"/>
                <w:color w:val="6B625A"/>
                <w:sz w:val="16"/>
                <w:szCs w:val="16"/>
              </w:rPr>
              <w:t xml:space="preserve">Front. Microbiol. 9: 829 (Tri_8, pdf pp. 1–19)</w:t>
            </w:r>
          </w:p>
        </w:tc>
        <w:tc>
          <w:tcPr>
            <w:tcW w:type="dxa" w:w="5730"/>
            <w:shd w:fill="FFFFFF"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In the mango fruit bioassay (28 °C, 4 days),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alone produced “relatively large, brownish, round to elliptical, water-soaked and depressed” lesions with clear margins, and the diseased fruit tissues were re-plated on PDA to fulfil Koch’s postulates (pp. 3–4, 6). Wounded mango seedlings inoculated with 5-mm PDA plugs showed typical symptoms by 3 weeks after inoculation, while the non-inoculated controls stayed symptomless (pp. 5, 9).</w:t>
            </w:r>
          </w:p>
        </w:tc>
        <w:tc>
          <w:tcPr>
            <w:tcW w:type="dxa" w:w="3300"/>
            <w:shd w:fill="FFFFFF"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Rapid necrotic fruit lesions, symptomless controls and Koch’s postulates, using the same 5-mm plug inoculum on wounded tissue.</w:t>
            </w:r>
          </w:p>
        </w:tc>
        <w:tc>
          <w:tcPr>
            <w:tcW w:type="dxa" w:w="1800"/>
            <w:shd w:fill="FFFFFF" w:color="auto" w:val="clear"/>
            <w:tcMar>
              <w:top w:type="dxa" w:w="90"/>
              <w:left w:type="dxa" w:w="110"/>
              <w:bottom w:type="dxa" w:w="90"/>
              <w:right w:type="dxa" w:w="110"/>
            </w:tcMar>
          </w:tcPr>
          <w:p>
            <w:pPr>
              <w:spacing w:after="40" w:line="260"/>
            </w:pPr>
            <w:r>
              <w:rPr>
                <w:rFonts w:ascii="Calibri" w:cs="Calibri" w:eastAsia="Calibri" w:hAnsi="Calibri"/>
                <w:b/>
                <w:bCs/>
                <w:color w:val="2F5D46"/>
                <w:sz w:val="18"/>
                <w:szCs w:val="18"/>
              </w:rPr>
              <w:t xml:space="preserve">Direct, experimental</w:t>
            </w:r>
          </w:p>
        </w:tc>
      </w:tr>
      <w:tr>
        <w:trPr>
          <w:cantSplit/>
        </w:trPr>
        <w:tc>
          <w:tcPr>
            <w:tcW w:type="dxa" w:w="500"/>
            <w:shd w:fill="FBF3E7"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5</w:t>
            </w:r>
          </w:p>
        </w:tc>
        <w:tc>
          <w:tcPr>
            <w:tcW w:type="dxa" w:w="2350"/>
            <w:shd w:fill="FBF3E7" w:color="auto" w:val="clear"/>
            <w:tcMar>
              <w:top w:type="dxa" w:w="90"/>
              <w:left w:type="dxa" w:w="110"/>
              <w:bottom w:type="dxa" w:w="90"/>
              <w:right w:type="dxa" w:w="110"/>
            </w:tcMar>
          </w:tcPr>
          <w:p>
            <w:pPr>
              <w:spacing w:after="40" w:line="260"/>
            </w:pPr>
            <w:r>
              <w:rPr>
                <w:rFonts w:ascii="Calibri" w:cs="Calibri" w:eastAsia="Calibri" w:hAnsi="Calibri"/>
                <w:b/>
                <w:bCs/>
                <w:color w:val="5C1A2E"/>
                <w:sz w:val="19"/>
                <w:szCs w:val="19"/>
              </w:rPr>
              <w:t xml:space="preserve">Bhadra et al. (2014)</w:t>
            </w:r>
          </w:p>
          <w:p>
            <w:pPr>
              <w:spacing w:after="40" w:line="260"/>
            </w:pPr>
            <w:r>
              <w:rPr>
                <w:rFonts w:ascii="Calibri" w:cs="Calibri" w:eastAsia="Calibri" w:hAnsi="Calibri"/>
                <w:color w:val="6B625A"/>
                <w:sz w:val="16"/>
                <w:szCs w:val="16"/>
              </w:rPr>
              <w:t xml:space="preserve">Bangladesh J. Sci. Ind. Res. 49: 125–130 (Tri_5, pdf pp. 25–30)</w:t>
            </w:r>
          </w:p>
        </w:tc>
        <w:tc>
          <w:tcPr>
            <w:tcW w:type="dxa" w:w="5730"/>
            <w:shd w:fill="FDFAF4" w:color="auto" w:val="clear"/>
            <w:tcMar>
              <w:top w:type="dxa" w:w="90"/>
              <w:left w:type="dxa" w:w="110"/>
              <w:bottom w:type="dxa" w:w="90"/>
              <w:right w:type="dxa" w:w="110"/>
            </w:tcMar>
          </w:tcPr>
          <w:p>
            <w:pPr>
              <w:spacing w:after="40" w:line="260"/>
            </w:pP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w:t>
            </w:r>
            <w:r>
              <w:rPr>
                <w:rFonts w:ascii="Calibri" w:cs="Calibri" w:eastAsia="Calibri" w:hAnsi="Calibri"/>
                <w:i/>
                <w:iCs/>
                <w:color w:val="22201D"/>
                <w:sz w:val="19"/>
                <w:szCs w:val="19"/>
              </w:rPr>
              <w:t xml:space="preserve">Botryosphaeriaceae</w:t>
            </w:r>
            <w:r>
              <w:rPr>
                <w:rFonts w:ascii="Calibri" w:cs="Calibri" w:eastAsia="Calibri" w:hAnsi="Calibri"/>
                <w:color w:val="22201D"/>
                <w:sz w:val="19"/>
                <w:szCs w:val="19"/>
              </w:rPr>
              <w:t xml:space="preserve">) is associated with shoot blights, stem cankers, fruit rots, die-back and gummosis. Members of the </w:t>
            </w:r>
            <w:r>
              <w:rPr>
                <w:rFonts w:ascii="Calibri" w:cs="Calibri" w:eastAsia="Calibri" w:hAnsi="Calibri"/>
                <w:i/>
                <w:iCs/>
                <w:color w:val="22201D"/>
                <w:sz w:val="19"/>
                <w:szCs w:val="19"/>
              </w:rPr>
              <w:t xml:space="preserve">Botryosphaeriaceae</w:t>
            </w:r>
            <w:r>
              <w:rPr>
                <w:rFonts w:ascii="Calibri" w:cs="Calibri" w:eastAsia="Calibri" w:hAnsi="Calibri"/>
                <w:color w:val="22201D"/>
                <w:sz w:val="19"/>
                <w:szCs w:val="19"/>
              </w:rPr>
              <w:t xml:space="preserve"> are “generally regarded as weak pathogens that invade stressed or wounded plants” (citing Ciesla et al., 1996) (p. 125).</w:t>
            </w:r>
          </w:p>
        </w:tc>
        <w:tc>
          <w:tcPr>
            <w:tcW w:type="dxa" w:w="3300"/>
            <w:shd w:fill="FDFAF4"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Agrees with the fruit-rot finding and with França et al.’s use of wounding to get rapid infection.</w:t>
            </w:r>
          </w:p>
        </w:tc>
        <w:tc>
          <w:tcPr>
            <w:tcW w:type="dxa" w:w="1800"/>
            <w:shd w:fill="FDFAF4" w:color="auto" w:val="clear"/>
            <w:tcMar>
              <w:top w:type="dxa" w:w="90"/>
              <w:left w:type="dxa" w:w="110"/>
              <w:bottom w:type="dxa" w:w="90"/>
              <w:right w:type="dxa" w:w="110"/>
            </w:tcMar>
          </w:tcPr>
          <w:p>
            <w:pPr>
              <w:spacing w:after="40" w:line="260"/>
            </w:pPr>
            <w:r>
              <w:rPr>
                <w:rFonts w:ascii="Calibri" w:cs="Calibri" w:eastAsia="Calibri" w:hAnsi="Calibri"/>
                <w:b/>
                <w:bCs/>
                <w:color w:val="6B625A"/>
                <w:sz w:val="18"/>
                <w:szCs w:val="18"/>
              </w:rPr>
              <w:t xml:space="preserve">Indirect, literature-based (no pathogenicity test in this paper)</w:t>
            </w:r>
          </w:p>
        </w:tc>
      </w:tr>
      <w:tr>
        <w:trPr>
          <w:cantSplit/>
        </w:trPr>
        <w:tc>
          <w:tcPr>
            <w:tcW w:type="dxa" w:w="500"/>
            <w:shd w:fill="FBF3E7"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6</w:t>
            </w:r>
          </w:p>
        </w:tc>
        <w:tc>
          <w:tcPr>
            <w:tcW w:type="dxa" w:w="2350"/>
            <w:shd w:fill="FBF3E7" w:color="auto" w:val="clear"/>
            <w:tcMar>
              <w:top w:type="dxa" w:w="90"/>
              <w:left w:type="dxa" w:w="110"/>
              <w:bottom w:type="dxa" w:w="90"/>
              <w:right w:type="dxa" w:w="110"/>
            </w:tcMar>
          </w:tcPr>
          <w:p>
            <w:pPr>
              <w:spacing w:after="40" w:line="260"/>
            </w:pPr>
            <w:r>
              <w:rPr>
                <w:rFonts w:ascii="Calibri" w:cs="Calibri" w:eastAsia="Calibri" w:hAnsi="Calibri"/>
                <w:b/>
                <w:bCs/>
                <w:color w:val="5C1A2E"/>
                <w:sz w:val="19"/>
                <w:szCs w:val="19"/>
              </w:rPr>
              <w:t xml:space="preserve">Rabuske et al. (2023)</w:t>
            </w:r>
          </w:p>
          <w:p>
            <w:pPr>
              <w:spacing w:after="40" w:line="260"/>
            </w:pPr>
            <w:r>
              <w:rPr>
                <w:rFonts w:ascii="Calibri" w:cs="Calibri" w:eastAsia="Calibri" w:hAnsi="Calibri"/>
                <w:color w:val="6B625A"/>
                <w:sz w:val="16"/>
                <w:szCs w:val="16"/>
              </w:rPr>
              <w:t xml:space="preserve">J. Plant Prot. Res. 63: 488–498 (Tri_5, pdf pp. 46–56)</w:t>
            </w:r>
          </w:p>
        </w:tc>
        <w:tc>
          <w:tcPr>
            <w:tcW w:type="dxa" w:w="5730"/>
            <w:shd w:fill="FFFFFF" w:color="auto" w:val="clear"/>
            <w:tcMar>
              <w:top w:type="dxa" w:w="90"/>
              <w:left w:type="dxa" w:w="110"/>
              <w:bottom w:type="dxa" w:w="90"/>
              <w:right w:type="dxa" w:w="110"/>
            </w:tcMar>
          </w:tcPr>
          <w:p>
            <w:pPr>
              <w:spacing w:after="40" w:line="260"/>
            </w:pP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(isolate S6) was used as a stem-canker pathogen of pecan. The disease begins as fissures or small elliptical lesions in the bark that progress into cankers up to 60 cm long, with black streaks near the vascular tissue and eventual plant death (p. 489).</w:t>
            </w:r>
          </w:p>
        </w:tc>
        <w:tc>
          <w:tcPr>
            <w:tcW w:type="dxa" w:w="3300"/>
            <w:shd w:fill="FFFFFF"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Shows that lesions caused by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enlarge progressively over time, as França et al. observed.</w:t>
            </w:r>
          </w:p>
        </w:tc>
        <w:tc>
          <w:tcPr>
            <w:tcW w:type="dxa" w:w="1800"/>
            <w:shd w:fill="FFFFFF" w:color="auto" w:val="clear"/>
            <w:tcMar>
              <w:top w:type="dxa" w:w="90"/>
              <w:left w:type="dxa" w:w="110"/>
              <w:bottom w:type="dxa" w:w="90"/>
              <w:right w:type="dxa" w:w="110"/>
            </w:tcMar>
          </w:tcPr>
          <w:p>
            <w:pPr>
              <w:spacing w:after="40" w:line="260"/>
            </w:pPr>
            <w:r>
              <w:rPr>
                <w:rFonts w:ascii="Calibri" w:cs="Calibri" w:eastAsia="Calibri" w:hAnsi="Calibri"/>
                <w:b/>
                <w:bCs/>
                <w:color w:val="6B625A"/>
                <w:sz w:val="18"/>
                <w:szCs w:val="18"/>
              </w:rPr>
              <w:t xml:space="preserve">Indirect, literature-based (no pathogenicity test in this paper)</w:t>
            </w:r>
          </w:p>
        </w:tc>
      </w:tr>
      <w:tr>
        <w:trPr>
          <w:cantSplit/>
        </w:trPr>
        <w:tc>
          <w:tcPr>
            <w:tcW w:type="dxa" w:w="500"/>
            <w:shd w:fill="FBF3E7"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7</w:t>
            </w:r>
          </w:p>
        </w:tc>
        <w:tc>
          <w:tcPr>
            <w:tcW w:type="dxa" w:w="2350"/>
            <w:shd w:fill="FBF3E7" w:color="auto" w:val="clear"/>
            <w:tcMar>
              <w:top w:type="dxa" w:w="90"/>
              <w:left w:type="dxa" w:w="110"/>
              <w:bottom w:type="dxa" w:w="90"/>
              <w:right w:type="dxa" w:w="110"/>
            </w:tcMar>
          </w:tcPr>
          <w:p>
            <w:pPr>
              <w:spacing w:after="40" w:line="260"/>
            </w:pPr>
            <w:r>
              <w:rPr>
                <w:rFonts w:ascii="Calibri" w:cs="Calibri" w:eastAsia="Calibri" w:hAnsi="Calibri"/>
                <w:b/>
                <w:bCs/>
                <w:color w:val="5C1A2E"/>
                <w:sz w:val="19"/>
                <w:szCs w:val="19"/>
              </w:rPr>
              <w:t xml:space="preserve">Lalduhzuali et al. (2019)</w:t>
            </w:r>
          </w:p>
          <w:p>
            <w:pPr>
              <w:spacing w:after="40" w:line="260"/>
            </w:pPr>
            <w:r>
              <w:rPr>
                <w:rFonts w:ascii="Calibri" w:cs="Calibri" w:eastAsia="Calibri" w:hAnsi="Calibri"/>
                <w:color w:val="6B625A"/>
                <w:sz w:val="16"/>
                <w:szCs w:val="16"/>
              </w:rPr>
              <w:t xml:space="preserve">Int. J. Chem. Stud. 7: 2118–2120 (Tri_8, pdf pp. 35–37)</w:t>
            </w:r>
          </w:p>
        </w:tc>
        <w:tc>
          <w:tcPr>
            <w:tcW w:type="dxa" w:w="5730"/>
            <w:shd w:fill="FDFAF4" w:color="auto" w:val="clear"/>
            <w:tcMar>
              <w:top w:type="dxa" w:w="90"/>
              <w:left w:type="dxa" w:w="110"/>
              <w:bottom w:type="dxa" w:w="90"/>
              <w:right w:type="dxa" w:w="110"/>
            </w:tcMar>
          </w:tcPr>
          <w:p>
            <w:pPr>
              <w:spacing w:after="40" w:line="260"/>
            </w:pP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was isolated from the boundary between healthy and diseased wood of symptomatic tree bean (</w:t>
            </w:r>
            <w:r>
              <w:rPr>
                <w:rFonts w:ascii="Calibri" w:cs="Calibri" w:eastAsia="Calibri" w:hAnsi="Calibri"/>
                <w:i/>
                <w:iCs/>
                <w:color w:val="22201D"/>
                <w:sz w:val="19"/>
                <w:szCs w:val="19"/>
              </w:rPr>
              <w:t xml:space="preserve">Parkia roxburghii</w:t>
            </w:r>
            <w:r>
              <w:rPr>
                <w:rFonts w:ascii="Calibri" w:cs="Calibri" w:eastAsia="Calibri" w:hAnsi="Calibri"/>
                <w:color w:val="22201D"/>
                <w:sz w:val="19"/>
                <w:szCs w:val="19"/>
              </w:rPr>
              <w:t xml:space="preserve">) plants affected by decline in Manipur, India. It grew on PDA within 2 days at 28 °C (pp. 2118–2119).</w:t>
            </w:r>
          </w:p>
        </w:tc>
        <w:tc>
          <w:tcPr>
            <w:tcW w:type="dxa" w:w="3300"/>
            <w:shd w:fill="FDFAF4" w:color="auto" w:val="clear"/>
            <w:tcMar>
              <w:top w:type="dxa" w:w="90"/>
              <w:left w:type="dxa" w:w="110"/>
              <w:bottom w:type="dxa" w:w="90"/>
              <w:right w:type="dxa" w:w="110"/>
            </w:tcMar>
          </w:tcPr>
          <w:p>
            <w:pPr>
              <w:spacing w:after="40" w:line="260"/>
            </w:pPr>
            <w:r>
              <w:rPr>
                <w:rFonts w:ascii="Calibri" w:cs="Calibri" w:eastAsia="Calibri" w:hAnsi="Calibri"/>
                <w:color w:val="22201D"/>
                <w:sz w:val="19"/>
                <w:szCs w:val="19"/>
              </w:rPr>
              <w:t xml:space="preserve">Links </w:t>
            </w:r>
            <w:r>
              <w:rPr>
                <w:rFonts w:ascii="Calibri" w:cs="Calibri" w:eastAsia="Calibri" w:hAnsi="Calibri"/>
                <w:i/>
                <w:iCs/>
                <w:color w:val="22201D"/>
                <w:sz w:val="19"/>
                <w:szCs w:val="19"/>
              </w:rPr>
              <w:t xml:space="preserve">L. theobromae</w:t>
            </w:r>
            <w:r>
              <w:rPr>
                <w:rFonts w:ascii="Calibri" w:cs="Calibri" w:eastAsia="Calibri" w:hAnsi="Calibri"/>
                <w:color w:val="22201D"/>
                <w:sz w:val="19"/>
                <w:szCs w:val="19"/>
              </w:rPr>
              <w:t xml:space="preserve"> to disease on yet another new host, consistent with França et al. reporting it as the cause of novel diseases on achachairu.</w:t>
            </w:r>
          </w:p>
        </w:tc>
        <w:tc>
          <w:tcPr>
            <w:tcW w:type="dxa" w:w="1800"/>
            <w:shd w:fill="FDFAF4" w:color="auto" w:val="clear"/>
            <w:tcMar>
              <w:top w:type="dxa" w:w="90"/>
              <w:left w:type="dxa" w:w="110"/>
              <w:bottom w:type="dxa" w:w="90"/>
              <w:right w:type="dxa" w:w="110"/>
            </w:tcMar>
          </w:tcPr>
          <w:p>
            <w:pPr>
              <w:spacing w:after="40" w:line="260"/>
            </w:pPr>
            <w:r>
              <w:rPr>
                <w:rFonts w:ascii="Calibri" w:cs="Calibri" w:eastAsia="Calibri" w:hAnsi="Calibri"/>
                <w:b/>
                <w:bCs/>
                <w:color w:val="6B625A"/>
                <w:sz w:val="18"/>
                <w:szCs w:val="18"/>
              </w:rPr>
              <w:t xml:space="preserve">Indirect, association only (no Koch’s postulates)</w:t>
            </w:r>
          </w:p>
        </w:tc>
      </w:tr>
    </w:tbl>
    <w:p>
      <w:pPr>
        <w:pStyle w:val="Heading1"/>
        <w:pBdr>
          <w:bottom w:val="single" w:color="C79A3E" w:sz="8" w:space="4"/>
        </w:pBdr>
        <w:spacing w:after="120" w:before="280"/>
      </w:pPr>
      <w:r>
        <w:rPr>
          <w:rFonts w:ascii="Cambria" w:cs="Cambria" w:eastAsia="Cambria" w:hAnsi="Cambria"/>
          <w:b/>
          <w:bCs/>
          <w:color w:val="5C1A2E"/>
          <w:sz w:val="30"/>
          <w:szCs w:val="30"/>
        </w:rPr>
        <w:t xml:space="preserve">3. Ready-to-paste paragraph for the Discussion</w:t>
      </w:r>
    </w:p>
    <w:tbl>
      <w:tblPr>
        <w:tblW w:type="dxa" w:w="13680"/>
        <w:tblBorders>
          <w:top w:val="single" w:color="C79A3E" w:sz="6"/>
          <w:left w:val="single" w:color="C79A3E" w:sz="6"/>
          <w:bottom w:val="single" w:color="C79A3E" w:sz="6"/>
          <w:right w:val="single" w:color="C79A3E" w:sz="6"/>
          <w:insideH w:val="none" w:color="FFFFFF" w:sz="0"/>
          <w:insideV w:val="none" w:color="FFFFFF" w:sz="0"/>
        </w:tblBorders>
      </w:tblPr>
      <w:tblGrid>
        <w:gridCol w:w="13680"/>
      </w:tblGrid>
      <w:tr>
        <w:tc>
          <w:tcPr>
            <w:tcW w:type="dxa" w:w="13680"/>
            <w:shd w:fill="FBF3E7" w:color="auto" w:val="clear"/>
            <w:tcMar>
              <w:top w:type="dxa" w:w="160"/>
              <w:left w:type="dxa" w:w="220"/>
              <w:bottom w:type="dxa" w:w="160"/>
              <w:right w:type="dxa" w:w="220"/>
            </w:tcMar>
          </w:tcPr>
          <w:p>
            <w:pPr>
              <w:spacing w:line="300"/>
              <w:jc w:val="both"/>
            </w:pPr>
            <w:r>
              <w:rPr>
                <w:rFonts w:ascii="Calibri" w:cs="Calibri" w:eastAsia="Calibri" w:hAnsi="Calibri"/>
                <w:color w:val="22201D"/>
                <w:sz w:val="21"/>
                <w:szCs w:val="21"/>
              </w:rPr>
              <w:t xml:space="preserve">The findings of França et al. (2025) are consistent with several other reports. Li et al. (2022) inoculated wounded, detached macadamia leaves with 5-mm mycelial discs of </w:t>
            </w:r>
            <w:r>
              <w:rPr>
                <w:rFonts w:ascii="Calibri" w:cs="Calibri" w:eastAsia="Calibri" w:hAnsi="Calibri"/>
                <w:i/>
                <w:iCs/>
                <w:color w:val="22201D"/>
                <w:sz w:val="21"/>
                <w:szCs w:val="21"/>
              </w:rPr>
              <w:t xml:space="preserve">L. theobromae</w:t>
            </w:r>
            <w:r>
              <w:rPr>
                <w:rFonts w:ascii="Calibri" w:cs="Calibri" w:eastAsia="Calibri" w:hAnsi="Calibri"/>
                <w:color w:val="22201D"/>
                <w:sz w:val="21"/>
                <w:szCs w:val="21"/>
              </w:rPr>
              <w:t xml:space="preserve"> and recorded distinct lesions within four days, and Atallah et al. (2024) found that all seven </w:t>
            </w:r>
            <w:r>
              <w:rPr>
                <w:rFonts w:ascii="Calibri" w:cs="Calibri" w:eastAsia="Calibri" w:hAnsi="Calibri"/>
                <w:i/>
                <w:iCs/>
                <w:color w:val="22201D"/>
                <w:sz w:val="21"/>
                <w:szCs w:val="21"/>
              </w:rPr>
              <w:t xml:space="preserve">L. theobromae</w:t>
            </w:r>
            <w:r>
              <w:rPr>
                <w:rFonts w:ascii="Calibri" w:cs="Calibri" w:eastAsia="Calibri" w:hAnsi="Calibri"/>
                <w:color w:val="22201D"/>
                <w:sz w:val="21"/>
                <w:szCs w:val="21"/>
              </w:rPr>
              <w:t xml:space="preserve"> isolates produced expanding necrotic lesions on lightly wounded, detached date palm leaflets and rachis, from which the pathogen was re-isolated to fulfil Koch’s postulates. On fruits, Khuong et al. (2023) observed stem-end rot on wound-inoculated pomelo 6–7 days after inoculation, progressing to whole-fruit rot by 12–15 days, while Kamil et al. (2018) recorded large, water-soaked, depressed lesions on mango fruits within four days; both studies confirmed Koch’s postulates by re-isolation, and the controls remained healthy. Bhadra et al. (2014) likewise noted that </w:t>
            </w:r>
            <w:r>
              <w:rPr>
                <w:rFonts w:ascii="Calibri" w:cs="Calibri" w:eastAsia="Calibri" w:hAnsi="Calibri"/>
                <w:i/>
                <w:iCs/>
                <w:color w:val="22201D"/>
                <w:sz w:val="21"/>
                <w:szCs w:val="21"/>
              </w:rPr>
              <w:t xml:space="preserve">L. theobromae</w:t>
            </w:r>
            <w:r>
              <w:rPr>
                <w:rFonts w:ascii="Calibri" w:cs="Calibri" w:eastAsia="Calibri" w:hAnsi="Calibri"/>
                <w:color w:val="22201D"/>
                <w:sz w:val="21"/>
                <w:szCs w:val="21"/>
              </w:rPr>
              <w:t xml:space="preserve"> causes fruit rots and, like other members of the </w:t>
            </w:r>
            <w:r>
              <w:rPr>
                <w:rFonts w:ascii="Calibri" w:cs="Calibri" w:eastAsia="Calibri" w:hAnsi="Calibri"/>
                <w:i/>
                <w:iCs/>
                <w:color w:val="22201D"/>
                <w:sz w:val="21"/>
                <w:szCs w:val="21"/>
              </w:rPr>
              <w:t xml:space="preserve">Botryosphaeriaceae</w:t>
            </w:r>
            <w:r>
              <w:rPr>
                <w:rFonts w:ascii="Calibri" w:cs="Calibri" w:eastAsia="Calibri" w:hAnsi="Calibri"/>
                <w:color w:val="22201D"/>
                <w:sz w:val="21"/>
                <w:szCs w:val="21"/>
              </w:rPr>
              <w:t xml:space="preserve">, behaves as a weak pathogen that invades wounded or stressed tissue. Rabuske et al. (2023) described small bark lesions on pecan that enlarge into cankers up to 60 cm long, and Lalduhzuali et al. (2019) associated the fungus with the decline of tree bean in Manipur, further illustrating its wide host range.</w:t>
            </w:r>
          </w:p>
        </w:tc>
      </w:tr>
    </w:tbl>
    <w:p>
      <w:pPr>
        <w:spacing w:after="120" w:before="100"/>
      </w:pPr>
      <w:r>
        <w:rPr>
          <w:rFonts w:ascii="Calibri" w:cs="Calibri" w:eastAsia="Calibri" w:hAnsi="Calibri"/>
          <w:i/>
          <w:iCs/>
          <w:color w:val="6B625A"/>
          <w:sz w:val="19"/>
          <w:szCs w:val="19"/>
        </w:rPr>
        <w:t xml:space="preserve">Suggested place: insert it right after the sentence ending “…necrotic lesions appeared within two days in the case of achachairu and rubber tree.” in the pathogenicity paragraph of Chapter V.</w:t>
      </w:r>
    </w:p>
    <w:p>
      <w:pPr>
        <w:pStyle w:val="Heading1"/>
        <w:pBdr>
          <w:bottom w:val="single" w:color="C79A3E" w:sz="8" w:space="4"/>
        </w:pBdr>
        <w:spacing w:after="120" w:before="280"/>
      </w:pPr>
      <w:r>
        <w:rPr>
          <w:rFonts w:ascii="Cambria" w:cs="Cambria" w:eastAsia="Cambria" w:hAnsi="Cambria"/>
          <w:b/>
          <w:bCs/>
          <w:color w:val="5C1A2E"/>
          <w:sz w:val="30"/>
          <w:szCs w:val="30"/>
        </w:rPr>
        <w:t xml:space="preserve">4. Reference-list entries to add (in the thesis style)</w:t>
      </w:r>
    </w:p>
    <w:p>
      <w:pPr>
        <w:spacing w:after="120" w:line="290"/>
      </w:pPr>
      <w:r>
        <w:rPr>
          <w:rFonts w:ascii="Calibri" w:cs="Calibri" w:eastAsia="Calibri" w:hAnsi="Calibri"/>
          <w:color w:val="22201D"/>
          <w:sz w:val="20"/>
          <w:szCs w:val="20"/>
        </w:rPr>
        <w:t xml:space="preserve">Khuong et al. (2023), Rabuske et al. (2023) and Bhadra et al. (2014) are already in the reference list. Add the four entries below. </w:t>
      </w:r>
      <w:r>
        <w:rPr>
          <w:rFonts w:ascii="Calibri" w:cs="Calibri" w:eastAsia="Calibri" w:hAnsi="Calibri"/>
          <w:b/>
          <w:bCs/>
          <w:color w:val="5C1A2E"/>
          <w:sz w:val="20"/>
          <w:szCs w:val="20"/>
        </w:rPr>
        <w:t xml:space="preserve">Atallah et al. (2024) is cited in Chapter II but is missing from the reference list, so it needs adding even if the paragraph above is not used.</w:t>
      </w:r>
    </w:p>
    <w:p>
      <w:pPr>
        <w:spacing w:after="100" w:line="280"/>
        <w:ind w:left="460" w:hanging="460"/>
      </w:pPr>
      <w:r>
        <w:rPr>
          <w:rFonts w:ascii="Calibri" w:cs="Calibri" w:eastAsia="Calibri" w:hAnsi="Calibri"/>
          <w:i w:val="false"/>
          <w:iCs w:val="false"/>
          <w:color w:val="22201D"/>
          <w:sz w:val="20"/>
          <w:szCs w:val="20"/>
        </w:rPr>
        <w:t xml:space="preserve">Atallah OO, Hassanin AA, Yassin SM, Aloufi AS, Almanzalawi EA, Abdelkhalek A, Atia MM, Behiry S, Abdelrhim AS, Nehela Y 2024: Pathological characterization and management of </w:t>
      </w:r>
      <w:r>
        <w:rPr>
          <w:rFonts w:ascii="Calibri" w:cs="Calibri" w:eastAsia="Calibri" w:hAnsi="Calibri"/>
          <w:i/>
          <w:iCs/>
          <w:color w:val="22201D"/>
          <w:sz w:val="20"/>
          <w:szCs w:val="20"/>
        </w:rPr>
        <w:t xml:space="preserve">Lasiodiplodia theobromae</w:t>
      </w:r>
      <w:r>
        <w:rPr>
          <w:rFonts w:ascii="Calibri" w:cs="Calibri" w:eastAsia="Calibri" w:hAnsi="Calibri"/>
          <w:i w:val="false"/>
          <w:iCs w:val="false"/>
          <w:color w:val="22201D"/>
          <w:sz w:val="20"/>
          <w:szCs w:val="20"/>
        </w:rPr>
        <w:t xml:space="preserve">, a hemibiotroph with an interkingdom host range. Plant Disease 108 3243-3257.</w:t>
      </w:r>
    </w:p>
    <w:p>
      <w:pPr>
        <w:spacing w:after="100" w:line="280"/>
        <w:ind w:left="460" w:hanging="460"/>
      </w:pPr>
      <w:r>
        <w:rPr>
          <w:rFonts w:ascii="Calibri" w:cs="Calibri" w:eastAsia="Calibri" w:hAnsi="Calibri"/>
          <w:i w:val="false"/>
          <w:iCs w:val="false"/>
          <w:color w:val="22201D"/>
          <w:sz w:val="20"/>
          <w:szCs w:val="20"/>
        </w:rPr>
        <w:t xml:space="preserve">Kamil FH, Saeed EE, El-Tarabily KA, AbuQamar SF 2018: Biological control of mango dieback disease caused by </w:t>
      </w:r>
      <w:r>
        <w:rPr>
          <w:rFonts w:ascii="Calibri" w:cs="Calibri" w:eastAsia="Calibri" w:hAnsi="Calibri"/>
          <w:i/>
          <w:iCs/>
          <w:color w:val="22201D"/>
          <w:sz w:val="20"/>
          <w:szCs w:val="20"/>
        </w:rPr>
        <w:t xml:space="preserve">Lasiodiplodia theobromae</w:t>
      </w:r>
      <w:r>
        <w:rPr>
          <w:rFonts w:ascii="Calibri" w:cs="Calibri" w:eastAsia="Calibri" w:hAnsi="Calibri"/>
          <w:i w:val="false"/>
          <w:iCs w:val="false"/>
          <w:color w:val="22201D"/>
          <w:sz w:val="20"/>
          <w:szCs w:val="20"/>
        </w:rPr>
        <w:t xml:space="preserve"> using streptomycete and non-streptomycete actinobacteria in the United Arab Emirates. Frontiers in Microbiology 9 829.</w:t>
      </w:r>
    </w:p>
    <w:p>
      <w:pPr>
        <w:spacing w:after="100" w:line="280"/>
        <w:ind w:left="460" w:hanging="460"/>
      </w:pPr>
      <w:r>
        <w:rPr>
          <w:rFonts w:ascii="Calibri" w:cs="Calibri" w:eastAsia="Calibri" w:hAnsi="Calibri"/>
          <w:i w:val="false"/>
          <w:iCs w:val="false"/>
          <w:color w:val="22201D"/>
          <w:sz w:val="20"/>
          <w:szCs w:val="20"/>
        </w:rPr>
        <w:t xml:space="preserve">Lalduhzuali L, Sinha B, Devi S, Bhuvaneswari V, Siram T, Dinesh K 2019: In vitro evaluation of antagonistic potential of native </w:t>
      </w:r>
      <w:r>
        <w:rPr>
          <w:rFonts w:ascii="Calibri" w:cs="Calibri" w:eastAsia="Calibri" w:hAnsi="Calibri"/>
          <w:i/>
          <w:iCs/>
          <w:color w:val="22201D"/>
          <w:sz w:val="20"/>
          <w:szCs w:val="20"/>
        </w:rPr>
        <w:t xml:space="preserve">Trichoderma</w:t>
      </w:r>
      <w:r>
        <w:rPr>
          <w:rFonts w:ascii="Calibri" w:cs="Calibri" w:eastAsia="Calibri" w:hAnsi="Calibri"/>
          <w:i w:val="false"/>
          <w:iCs w:val="false"/>
          <w:color w:val="22201D"/>
          <w:sz w:val="20"/>
          <w:szCs w:val="20"/>
        </w:rPr>
        <w:t xml:space="preserve"> spp. against </w:t>
      </w:r>
      <w:r>
        <w:rPr>
          <w:rFonts w:ascii="Calibri" w:cs="Calibri" w:eastAsia="Calibri" w:hAnsi="Calibri"/>
          <w:i/>
          <w:iCs/>
          <w:color w:val="22201D"/>
          <w:sz w:val="20"/>
          <w:szCs w:val="20"/>
        </w:rPr>
        <w:t xml:space="preserve">Lasiodiplodia theobromae</w:t>
      </w:r>
      <w:r>
        <w:rPr>
          <w:rFonts w:ascii="Calibri" w:cs="Calibri" w:eastAsia="Calibri" w:hAnsi="Calibri"/>
          <w:i w:val="false"/>
          <w:iCs w:val="false"/>
          <w:color w:val="22201D"/>
          <w:sz w:val="20"/>
          <w:szCs w:val="20"/>
        </w:rPr>
        <w:t xml:space="preserve"> causing tree bean decline in Manipur. International Journal of Chemical Studies 7 2118-2120.</w:t>
      </w:r>
    </w:p>
    <w:p>
      <w:pPr>
        <w:spacing w:after="100" w:line="280"/>
        <w:ind w:left="460" w:hanging="460"/>
      </w:pPr>
      <w:r>
        <w:rPr>
          <w:rFonts w:ascii="Calibri" w:cs="Calibri" w:eastAsia="Calibri" w:hAnsi="Calibri"/>
          <w:i w:val="false"/>
          <w:iCs w:val="false"/>
          <w:color w:val="22201D"/>
          <w:sz w:val="20"/>
          <w:szCs w:val="20"/>
        </w:rPr>
        <w:t xml:space="preserve">Li X, Leng J, Yu L, Bai H, Li X, Wisniewski M, Liu J, Sui Y 2022: Efficacy of the biocontrol agent </w:t>
      </w:r>
      <w:r>
        <w:rPr>
          <w:rFonts w:ascii="Calibri" w:cs="Calibri" w:eastAsia="Calibri" w:hAnsi="Calibri"/>
          <w:i/>
          <w:iCs/>
          <w:color w:val="22201D"/>
          <w:sz w:val="20"/>
          <w:szCs w:val="20"/>
        </w:rPr>
        <w:t xml:space="preserve">Trichoderma hamatum</w:t>
      </w:r>
      <w:r>
        <w:rPr>
          <w:rFonts w:ascii="Calibri" w:cs="Calibri" w:eastAsia="Calibri" w:hAnsi="Calibri"/>
          <w:i w:val="false"/>
          <w:iCs w:val="false"/>
          <w:color w:val="22201D"/>
          <w:sz w:val="20"/>
          <w:szCs w:val="20"/>
        </w:rPr>
        <w:t xml:space="preserve"> against </w:t>
      </w:r>
      <w:r>
        <w:rPr>
          <w:rFonts w:ascii="Calibri" w:cs="Calibri" w:eastAsia="Calibri" w:hAnsi="Calibri"/>
          <w:i/>
          <w:iCs/>
          <w:color w:val="22201D"/>
          <w:sz w:val="20"/>
          <w:szCs w:val="20"/>
        </w:rPr>
        <w:t xml:space="preserve">Lasiodiplodia theobromae</w:t>
      </w:r>
      <w:r>
        <w:rPr>
          <w:rFonts w:ascii="Calibri" w:cs="Calibri" w:eastAsia="Calibri" w:hAnsi="Calibri"/>
          <w:i w:val="false"/>
          <w:iCs w:val="false"/>
          <w:color w:val="22201D"/>
          <w:sz w:val="20"/>
          <w:szCs w:val="20"/>
        </w:rPr>
        <w:t xml:space="preserve"> on macadamia. Frontiers in Microbiology 13 994422.</w:t>
      </w:r>
    </w:p>
    <w:sectPr>
      <w:footerReference w:type="default" r:id="rId7"/>
      <w:pgSz w:w="15840" w:h="12240" w:orient="landscape"/>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25A"/>
        <w:sz w:val="16"/>
        <w:szCs w:val="16"/>
      </w:rPr>
      <w:t xml:space="preserve">Supporting evidence for França et al. (2025)  ·  Page </w:t>
    </w:r>
    <w:r>
      <w:rPr>
        <w:rFonts w:ascii="Calibri" w:cs="Calibri" w:eastAsia="Calibri" w:hAnsi="Calibri"/>
        <w:color w:val="6B62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Evidence for França et al. (2025)</dc:title>
  <dc:creator>Nisha</dc:creator>
  <dc:description>Thesis Chapter V (Discussion) support notes</dc:description>
  <cp:lastModifiedBy>Nisha</cp:lastModifiedBy>
  <cp:revision>1</cp:revision>
  <dcterms:created xsi:type="dcterms:W3CDTF">2026-10-12T17:46:47.840Z</dcterms:created>
  <dcterms:modified xsi:type="dcterms:W3CDTF">2026-10-12T17:46:47.851Z</dcterms:modified>
</cp:coreProperties>
</file>

<file path=docProps/custom.xml><?xml version="1.0" encoding="utf-8"?>
<Properties xmlns="http://schemas.openxmlformats.org/officeDocument/2006/custom-properties" xmlns:vt="http://schemas.openxmlformats.org/officeDocument/2006/docPropsVTypes"/>
</file>