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NexusOS Enterprise HRMS</w:t>
      </w:r>
    </w:p>
    <w:p>
      <w:pPr>
        <w:jc w:val="center"/>
      </w:pPr>
      <w:r>
        <w:rPr>
          <w:color w:val="646464"/>
          <w:sz w:val="28"/>
        </w:rPr>
        <w:t>Unified SaaS Infrastructure &amp; Core Protocol Manual</w:t>
      </w:r>
    </w:p>
    <w:p>
      <w:r>
        <w:br/>
        <w:br/>
        <w:br/>
        <w:br/>
      </w:r>
    </w:p>
    <w:p>
      <w:pPr>
        <w:jc w:val="center"/>
      </w:pPr>
      <w:r>
        <w:rPr>
          <w:sz w:val="22"/>
        </w:rPr>
        <w:t>Technical Governance Framework</w:t>
        <w:br/>
        <w:t>Version 2.5.0-PREMIUM</w:t>
        <w:br/>
        <w:t>Internal Release: April 2026</w:t>
      </w:r>
    </w:p>
    <w:p>
      <w:r>
        <w:br w:type="page"/>
      </w:r>
    </w:p>
    <w:p>
      <w:pPr>
        <w:pStyle w:val="Heading1"/>
      </w:pPr>
      <w:r>
        <w:t>Chapter 1: Initial Provisioning &amp; Identity</w:t>
      </w:r>
    </w:p>
    <w:p>
      <w:pPr>
        <w:pStyle w:val="Heading2"/>
      </w:pPr>
      <w:r>
        <w:t>Secure Authentication Gate</w:t>
      </w:r>
    </w:p>
    <w:p>
      <w:pPr>
        <w:jc w:val="both"/>
      </w:pPr>
      <w:r>
        <w:t>The NexusOS entry point facilitates multi-tenant orchestration, supporting both traditional corporate credentialing and unified Google OAuth integration for enterprise-grade accessibility.</w:t>
      </w:r>
    </w:p>
    <w:p>
      <w:pPr>
        <w:ind w:left="432"/>
      </w:pPr>
      <w:r>
        <w:rPr>
          <w:i/>
          <w:color w:val="505050"/>
        </w:rPr>
        <w:t>Functional Note: New companies must initialize registration first. This can be executed manually or via Google Auth. If a matching organization domain is not detected, the system prompts for new company creation, designating the primary registrant as the 'Superadmin'.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5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Secure Authentication Gate Protocol Interface</w:t>
      </w:r>
    </w:p>
    <w:p>
      <w:r>
        <w:br/>
      </w:r>
    </w:p>
    <w:p>
      <w:pPr>
        <w:pStyle w:val="Heading2"/>
      </w:pPr>
      <w:r>
        <w:t>Security Hardening Protocol</w:t>
      </w:r>
    </w:p>
    <w:p>
      <w:pPr>
        <w:jc w:val="both"/>
      </w:pPr>
      <w:r>
        <w:t>Upon initial entry via third-party providers, the system enforces a strict security hardening cycle to ensure credential redundancy and maximum data integrity.</w:t>
      </w:r>
    </w:p>
    <w:p>
      <w:pPr>
        <w:ind w:left="432"/>
      </w:pPr>
      <w:r>
        <w:rPr>
          <w:i/>
          <w:color w:val="505050"/>
        </w:rPr>
        <w:t>Functional Note: If a backup password has not been established, the user is mandated to set one before proceeding to the core workspace.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5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Security Hardening Protocol Protocol Interface</w:t>
      </w:r>
    </w:p>
    <w:p>
      <w:r>
        <w:br/>
      </w:r>
    </w:p>
    <w:p>
      <w:pPr>
        <w:pStyle w:val="Heading2"/>
      </w:pPr>
      <w:r>
        <w:t>Tenant Identification &amp; Profiling</w:t>
      </w:r>
    </w:p>
    <w:p>
      <w:pPr>
        <w:jc w:val="both"/>
      </w:pPr>
      <w:r>
        <w:t>The foundational workspace identity is established here, capturing critical metadata including corporate addressing and geographic identifiers used in subsequent reporting cycles.</w:t>
      </w:r>
    </w:p>
    <w:p>
      <w:pPr>
        <w:ind w:left="432"/>
      </w:pPr>
      <w:r>
        <w:rPr>
          <w:i/>
          <w:color w:val="505050"/>
        </w:rPr>
        <w:t>Functional Note: Post-password verification, new users are automatically routed to the Organization Provisioning layer for first-time setup.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6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Tenant Identification &amp; Profiling Protocol Interface</w:t>
      </w:r>
    </w:p>
    <w:p>
      <w:r>
        <w:br/>
      </w:r>
    </w:p>
    <w:p>
      <w:pPr>
        <w:pStyle w:val="Heading2"/>
      </w:pPr>
      <w:r>
        <w:t>Dynamic Identity Engine</w:t>
      </w:r>
    </w:p>
    <w:p>
      <w:pPr>
        <w:jc w:val="both"/>
      </w:pPr>
      <w:r>
        <w:t>Administrators define the visual DNA of their workspace. The engine allows for granular control over CSS variables that define the brand presence throughout the application.</w:t>
      </w:r>
    </w:p>
    <w:p>
      <w:pPr>
        <w:ind w:left="432"/>
      </w:pPr>
      <w:r>
        <w:rPr>
          <w:i/>
          <w:color w:val="505050"/>
        </w:rPr>
        <w:t>Functional Note: The selected theme profile dictates the global UI palette, ensuring that the entire interface reflects the company's established identity.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6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Dynamic Identity Engine Protocol Interface</w:t>
      </w:r>
    </w:p>
    <w:p>
      <w:r>
        <w:br/>
      </w:r>
    </w:p>
    <w:p>
      <w:pPr>
        <w:pStyle w:val="Heading2"/>
      </w:pPr>
      <w:r>
        <w:t>Visual Asset Provisioning</w:t>
      </w:r>
    </w:p>
    <w:p>
      <w:pPr>
        <w:jc w:val="both"/>
      </w:pPr>
      <w:r>
        <w:t>The finalization of the tenant identity involves the injection of corporate visual assets, ensuring high-fidelity brand representation across all system outputs.</w:t>
      </w:r>
    </w:p>
    <w:p>
      <w:pPr>
        <w:ind w:left="432"/>
      </w:pPr>
      <w:r>
        <w:rPr>
          <w:i/>
          <w:color w:val="505050"/>
        </w:rPr>
        <w:t>Functional Note: Corporate logos uploaded here are dynamically distributed across the administrative panel according to functional requirements.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Visual Asset Provisioning Protocol Interface</w:t>
      </w:r>
    </w:p>
    <w:p>
      <w:r>
        <w:br/>
      </w:r>
    </w:p>
    <w:p>
      <w:pPr>
        <w:pStyle w:val="Heading1"/>
      </w:pPr>
      <w:r>
        <w:t>Chapter 2: Communication Infrastructure</w:t>
      </w:r>
    </w:p>
    <w:p>
      <w:pPr>
        <w:pStyle w:val="Heading2"/>
      </w:pPr>
      <w:r>
        <w:t>Infrastructure Readiness Audit</w:t>
      </w:r>
    </w:p>
    <w:p>
      <w:pPr>
        <w:jc w:val="both"/>
      </w:pPr>
      <w:r>
        <w:t>Once identity parameters are established, the system provides a comprehensive summary of the administration setup status, clearing the tenant for functional deployment.</w:t>
      </w:r>
    </w:p>
    <w:p>
      <w:pPr>
        <w:ind w:left="432"/>
      </w:pPr>
      <w:r>
        <w:rPr>
          <w:i/>
          <w:color w:val="505050"/>
        </w:rPr>
        <w:t>Functional Note: Upon successful completion of the setup summary, the administrator is granted full access to the primary Command Dashboard.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Infrastructure Readiness Audit Protocol Interface</w:t>
      </w:r>
    </w:p>
    <w:p>
      <w:r>
        <w:br/>
      </w:r>
    </w:p>
    <w:p>
      <w:pPr>
        <w:pStyle w:val="Heading2"/>
      </w:pPr>
      <w:r>
        <w:t>SMTP Communication Protocol</w:t>
      </w:r>
    </w:p>
    <w:p>
      <w:pPr>
        <w:jc w:val="both"/>
      </w:pPr>
      <w:r>
        <w:t>A prerequisite for organizational scaling. Secure SMTP parameters must be verified to enable automated personnel invitations and system-wide notifications.</w:t>
      </w:r>
    </w:p>
    <w:p>
      <w:pPr>
        <w:ind w:left="432"/>
      </w:pPr>
      <w:r>
        <w:rPr>
          <w:i/>
          <w:color w:val="505050"/>
        </w:rPr>
        <w:t>Functional Note: The 'Invite Personnel' action triggers a pre-flight check. If SMTP is not configured, the system enforces an immediate configuration intercept.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5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SMTP Communication Protocol Protocol Interface</w:t>
      </w:r>
    </w:p>
    <w:p>
      <w:r>
        <w:br/>
      </w:r>
    </w:p>
    <w:p>
      <w:pPr>
        <w:pStyle w:val="Heading1"/>
      </w:pPr>
      <w:r>
        <w:t>Chapter 3: Strategic Command &amp; Governance</w:t>
      </w:r>
    </w:p>
    <w:p>
      <w:pPr>
        <w:pStyle w:val="Heading2"/>
      </w:pPr>
      <w:r>
        <w:t>Corporate Nexus Dashboard</w:t>
      </w:r>
    </w:p>
    <w:p>
      <w:pPr>
        <w:jc w:val="both"/>
      </w:pPr>
      <w:r>
        <w:t>The central Command Dashboard provides the Operational Intelligence Framework. It utilizes high-level data benchmarks to provide instant visibility into organizational health.</w:t>
      </w:r>
    </w:p>
    <w:p>
      <w:pPr>
        <w:ind w:left="432"/>
      </w:pPr>
      <w:r>
        <w:rPr>
          <w:i/>
          <w:color w:val="505050"/>
        </w:rPr>
        <w:t>Functional Note: The entire dashboard interface dynamically adapts to the company's identity engine, maintaining brand consistency across all metrics.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Corporate Nexus Dashboard Protocol Interface</w:t>
      </w:r>
    </w:p>
    <w:p>
      <w:r>
        <w:br/>
      </w:r>
    </w:p>
    <w:p>
      <w:pPr>
        <w:pStyle w:val="Heading2"/>
      </w:pPr>
      <w:r>
        <w:t>Personnel Invitation Lifecycle</w:t>
      </w:r>
    </w:p>
    <w:p>
      <w:pPr>
        <w:jc w:val="both"/>
      </w:pPr>
      <w:r>
        <w:t>This module manages the secure expansion of the organizational workforce, facilitating role assignment and departmental mapping in a unified workflow.</w:t>
      </w:r>
    </w:p>
    <w:p>
      <w:pPr>
        <w:ind w:left="432"/>
      </w:pPr>
      <w:r>
        <w:rPr>
          <w:i/>
          <w:color w:val="505050"/>
        </w:rPr>
        <w:t>Functional Note: Successful SMTP provisioning enables the direct distribution of secure invitation tokens to prospective team members.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10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Personnel Invitation Lifecycle Protocol Interface</w:t>
      </w:r>
    </w:p>
    <w:p>
      <w:r>
        <w:br/>
      </w:r>
    </w:p>
    <w:p>
      <w:pPr>
        <w:pStyle w:val="Heading2"/>
      </w:pPr>
      <w:r>
        <w:t>Secure Token Formulation</w:t>
      </w:r>
    </w:p>
    <w:p>
      <w:pPr>
        <w:jc w:val="both"/>
      </w:pPr>
      <w:r>
        <w:t>Generates unique, time-sensitive access strings that allow recipients to bypass manual registration and integrate directly with the corporate tenant.</w:t>
      </w:r>
    </w:p>
    <w:p>
      <w:pPr>
        <w:ind w:left="432"/>
      </w:pPr>
      <w:r>
        <w:rPr>
          <w:i/>
          <w:color w:val="505050"/>
        </w:rPr>
        <w:t>Functional Note: The system delivers a dynamic email template, themed according to the company's identity engine, providing a premium onboarding experience.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11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Secure Token Formulation Protocol Interface</w:t>
      </w:r>
    </w:p>
    <w:p>
      <w:r>
        <w:br/>
      </w:r>
    </w:p>
    <w:p>
      <w:pPr>
        <w:pStyle w:val="Heading1"/>
      </w:pPr>
      <w:r>
        <w:t>Chapter 4: Structural Hierarchy &amp; Architecture</w:t>
      </w:r>
    </w:p>
    <w:p>
      <w:pPr>
        <w:pStyle w:val="Heading2"/>
      </w:pPr>
      <w:r>
        <w:t>Personnel Matrix Flow (Live Network)</w:t>
      </w:r>
    </w:p>
    <w:p>
      <w:pPr>
        <w:jc w:val="both"/>
      </w:pPr>
      <w:r>
        <w:t>The Live Network module visualizes the organizational tree in real-time. This interactive graph allows for structural governance through direct node manipulation.</w:t>
      </w:r>
    </w:p>
    <w:p>
      <w:pPr>
        <w:ind w:left="432"/>
      </w:pPr>
      <w:r>
        <w:rPr>
          <w:i/>
          <w:color w:val="505050"/>
        </w:rPr>
        <w:t>Functional Note: Admins and Superadmins can architect the hierarchy via the UI, connecting or detaching nodes as organizational needs evolve. Standard employees are restricted to 'View Only' mode.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19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Personnel Matrix Flow (Live Network) Protocol Interface</w:t>
      </w:r>
    </w:p>
    <w:p>
      <w:r>
        <w:br/>
      </w:r>
    </w:p>
    <w:p>
      <w:pPr>
        <w:pStyle w:val="Heading2"/>
      </w:pPr>
      <w:r>
        <w:t>Departmental Node Detail</w:t>
      </w:r>
    </w:p>
    <w:p>
      <w:pPr>
        <w:jc w:val="both"/>
      </w:pPr>
      <w:r>
        <w:t>Provides a deep-dive visualization of specific department-level clusters and their respective reporting structures.</w:t>
      </w:r>
    </w:p>
    <w:p>
      <w:pPr>
        <w:ind w:left="432"/>
      </w:pPr>
      <w:r>
        <w:rPr>
          <w:i/>
          <w:color w:val="505050"/>
        </w:rPr>
        <w:t>Functional Note: This view offers a specialized network perspective tailored to individual departmental governance.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0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Departmental Node Detail Protocol Interface</w:t>
      </w:r>
    </w:p>
    <w:p>
      <w:r>
        <w:br/>
      </w:r>
    </w:p>
    <w:p>
      <w:pPr>
        <w:pStyle w:val="Heading1"/>
      </w:pPr>
      <w:r>
        <w:t>Chapter 5: Operational Governance</w:t>
      </w:r>
    </w:p>
    <w:p>
      <w:pPr>
        <w:pStyle w:val="Heading2"/>
      </w:pPr>
      <w:r>
        <w:t>Attendance Protocol Control</w:t>
      </w:r>
    </w:p>
    <w:p>
      <w:pPr>
        <w:jc w:val="both"/>
      </w:pPr>
      <w:r>
        <w:t>Enforces operational time-tracking through secure Punch In/Out protocols, providing an audit trail for workforce activity.</w:t>
      </w:r>
    </w:p>
    <w:p>
      <w:pPr>
        <w:ind w:left="432"/>
      </w:pPr>
      <w:r>
        <w:rPr>
          <w:i/>
          <w:color w:val="505050"/>
        </w:rPr>
        <w:t>Functional Note: Administrators can utilize this module to manage department definitions, designations, and overarching operational clusters.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1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Attendance Protocol Control Protocol Interface</w:t>
      </w:r>
    </w:p>
    <w:p>
      <w:r>
        <w:br/>
      </w:r>
    </w:p>
    <w:p>
      <w:pPr>
        <w:pStyle w:val="Heading2"/>
      </w:pPr>
      <w:r>
        <w:t>Timesheet Strategic Console</w:t>
      </w:r>
    </w:p>
    <w:p>
      <w:pPr>
        <w:jc w:val="both"/>
      </w:pPr>
      <w:r>
        <w:t>A comprehensive auditing tool for project-based effort tracking. It supports both manual entry and automated bulk uploads via Excel.</w:t>
      </w:r>
    </w:p>
    <w:p>
      <w:pPr>
        <w:ind w:left="432"/>
      </w:pPr>
      <w:r>
        <w:rPr>
          <w:i/>
          <w:color w:val="505050"/>
        </w:rPr>
        <w:t>Functional Note: Users select assigned projects and submit effort logs for approval. The system supports Excel data payload imports with an integrated template download option for efficiency.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55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Timesheet Strategic Console Protocol Interface</w:t>
      </w:r>
    </w:p>
    <w:p>
      <w:r>
        <w:br/>
      </w:r>
    </w:p>
    <w:p>
      <w:pPr>
        <w:pStyle w:val="Heading2"/>
      </w:pPr>
      <w:r>
        <w:t>Governance Queue: Approvals</w:t>
      </w:r>
    </w:p>
    <w:p>
      <w:pPr>
        <w:jc w:val="both"/>
      </w:pPr>
      <w:r>
        <w:t>The approval module allows reporting managers and HR personnel to audit, approve, or reject submitted timesheets based on project milestones.</w:t>
      </w:r>
    </w:p>
    <w:p>
      <w:pPr>
        <w:ind w:left="432"/>
      </w:pPr>
      <w:r>
        <w:rPr>
          <w:i/>
          <w:color w:val="505050"/>
        </w:rPr>
        <w:t>Functional Note: Managers execute governance actions directly from their specialized profile consoles.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3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Governance Queue: Approvals Protocol Interface</w:t>
      </w:r>
    </w:p>
    <w:p>
      <w:r>
        <w:br/>
      </w:r>
    </w:p>
    <w:p>
      <w:pPr>
        <w:pStyle w:val="Heading2"/>
      </w:pPr>
      <w:r>
        <w:t>Audit Visibility &amp; Status</w:t>
      </w:r>
    </w:p>
    <w:p>
      <w:pPr>
        <w:jc w:val="both"/>
      </w:pPr>
      <w:r>
        <w:t>Provides employees with full transparency into the status of their submissions, including approval history and rejection justifications for re-submission.</w:t>
      </w:r>
    </w:p>
    <w:p>
      <w:pPr>
        <w:ind w:left="432"/>
      </w:pPr>
      <w:r>
        <w:rPr>
          <w:i/>
          <w:color w:val="505050"/>
        </w:rPr>
        <w:t>Functional Note: This ensures a closed-loop governance cycle where reasons for rejection can be addressed and remediated for re-approval.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612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Audit Visibility &amp; Status Protocol Interface</w:t>
      </w:r>
    </w:p>
    <w:p>
      <w:r>
        <w:br/>
      </w:r>
    </w:p>
    <w:p>
      <w:pPr>
        <w:pStyle w:val="Heading1"/>
      </w:pPr>
      <w:r>
        <w:t>Chapter 6: Advanced Engineering (Elite Builder)</w:t>
      </w:r>
    </w:p>
    <w:p>
      <w:pPr>
        <w:pStyle w:val="Heading2"/>
      </w:pPr>
      <w:r>
        <w:t>Elite Builder: Architect Mode</w:t>
      </w:r>
    </w:p>
    <w:p>
      <w:pPr>
        <w:jc w:val="both"/>
      </w:pPr>
      <w:r>
        <w:t>The proprietary 'Low-Code' engine for engineering dynamic UI components and complex data orchestration layers.</w:t>
      </w:r>
    </w:p>
    <w:p>
      <w:pPr>
        <w:ind w:left="432"/>
      </w:pPr>
      <w:r>
        <w:rPr>
          <w:i/>
          <w:color w:val="505050"/>
        </w:rPr>
        <w:t>Functional Note: This builder allows administrators to architect custom employee pages (e.g., /employee/newsample) with native-level performance.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82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Elite Builder: Architect Mode Protocol Interface</w:t>
      </w:r>
    </w:p>
    <w:p>
      <w:r>
        <w:br/>
      </w:r>
    </w:p>
    <w:p>
      <w:pPr>
        <w:pStyle w:val="Heading2"/>
      </w:pPr>
      <w:r>
        <w:t>UI Render Engine</w:t>
      </w:r>
    </w:p>
    <w:p>
      <w:pPr>
        <w:jc w:val="both"/>
      </w:pPr>
      <w:r>
        <w:t>The core of the SaaS platform. This engine translates architect-defined metadata into live, high-fidelity user interfaces.</w:t>
      </w:r>
    </w:p>
    <w:p>
      <w:pPr>
        <w:ind w:left="432"/>
      </w:pPr>
      <w:r>
        <w:rPr>
          <w:i/>
          <w:color w:val="505050"/>
        </w:rPr>
        <w:t>Functional Note: Currently in the 'Elite Development' phase, this engine is being optimized to serve as the structural backbone of the entire application ecosystem.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84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UI Render Engine Protocol Interface</w:t>
      </w:r>
    </w:p>
    <w:p>
      <w:r>
        <w:br/>
      </w:r>
    </w:p>
    <w:p>
      <w:pPr>
        <w:pStyle w:val="Heading2"/>
      </w:pPr>
      <w:r>
        <w:t>Administrative Form Analysis</w:t>
      </w:r>
    </w:p>
    <w:p>
      <w:pPr>
        <w:jc w:val="both"/>
      </w:pPr>
      <w:r>
        <w:t>A real-time monitoring engine that analyzes data flow across the protocol layer, providing insights into form interaction and submission metrics.</w:t>
      </w:r>
    </w:p>
    <w:p>
      <w:pPr>
        <w:ind w:left="432"/>
      </w:pPr>
      <w:r>
        <w:rPr>
          <w:i/>
          <w:color w:val="505050"/>
        </w:rPr>
        <w:t>Functional Note: Facilitates a deep-dive audit into how organizational data is captured and refined across different protocol levels.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30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Administrative Form Analysis Protocol Interface</w:t>
      </w:r>
    </w:p>
    <w:p>
      <w:r>
        <w:br/>
      </w:r>
    </w:p>
    <w:p>
      <w:pPr>
        <w:pStyle w:val="Heading1"/>
      </w:pPr>
      <w:r>
        <w:t>Chapter 7: Operational Status</w:t>
      </w:r>
    </w:p>
    <w:p>
      <w:pPr>
        <w:pStyle w:val="Heading2"/>
      </w:pPr>
      <w:r>
        <w:t>Final System Health Summary</w:t>
      </w:r>
    </w:p>
    <w:p>
      <w:pPr>
        <w:jc w:val="both"/>
      </w:pPr>
      <w:r>
        <w:t>A concluding view of the fully provisioned enterprise workspace, showing an active, healthy, and audited ecosystem.</w:t>
      </w:r>
    </w:p>
    <w:p>
      <w:pPr>
        <w:ind w:left="432"/>
      </w:pPr>
      <w:r>
        <w:rPr>
          <w:i/>
          <w:color w:val="505050"/>
        </w:rPr>
        <w:t>Functional Note: This view represents the current employee-level dashboard, showcasing the end-user experience post-provisioning.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6125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Final System Health Summary Protocol Interface</w:t>
      </w:r>
    </w:p>
    <w:p>
      <w:r>
        <w:br/>
      </w:r>
    </w:p>
    <w:p>
      <w:pPr>
        <w:pStyle w:val="Heading1"/>
      </w:pPr>
      <w:r>
        <w:t>Chapter 8: Database Architecture</w:t>
      </w:r>
    </w:p>
    <w:p>
      <w:pPr>
        <w:pStyle w:val="Heading2"/>
      </w:pPr>
      <w:r>
        <w:t>Technical Schema Overview</w:t>
      </w:r>
    </w:p>
    <w:p>
      <w:r>
        <w:t>NexusOS is architected on a high-fidelity relational schema optimized for multi-tenant SaaS operations. The database ensures strict data isolation between tenants while facilitating complex cross-module governance. Key data clusters include the Identity Core, Organizational Matrix, and Operational Logic layers.</w:t>
      </w:r>
    </w:p>
    <w:p>
      <w:pPr>
        <w:pStyle w:val="Heading2"/>
      </w:pPr>
      <w:r>
        <w:t>Core Entity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Cluster</w:t>
            </w:r>
          </w:p>
        </w:tc>
        <w:tc>
          <w:tcPr>
            <w:tcW w:type="dxa" w:w="2880"/>
          </w:tcPr>
          <w:p>
            <w:r>
              <w:t>Primary Entities</w:t>
            </w:r>
          </w:p>
        </w:tc>
        <w:tc>
          <w:tcPr>
            <w:tcW w:type="dxa" w:w="2880"/>
          </w:tcPr>
          <w:p>
            <w:r>
              <w:t>Operational Significance</w:t>
            </w:r>
          </w:p>
        </w:tc>
      </w:tr>
      <w:tr>
        <w:tc>
          <w:tcPr>
            <w:tcW w:type="dxa" w:w="2880"/>
          </w:tcPr>
          <w:p>
            <w:r>
              <w:t>Identity Core</w:t>
            </w:r>
          </w:p>
        </w:tc>
        <w:tc>
          <w:tcPr>
            <w:tcW w:type="dxa" w:w="2880"/>
          </w:tcPr>
          <w:p>
            <w:r>
              <w:t>Company, User, Role</w:t>
            </w:r>
          </w:p>
        </w:tc>
        <w:tc>
          <w:tcPr>
            <w:tcW w:type="dxa" w:w="2880"/>
          </w:tcPr>
          <w:p>
            <w:r>
              <w:t>Governs global authentication, multi-tenancy, and visual branding.</w:t>
            </w:r>
          </w:p>
        </w:tc>
      </w:tr>
      <w:tr>
        <w:tc>
          <w:tcPr>
            <w:tcW w:type="dxa" w:w="2880"/>
          </w:tcPr>
          <w:p>
            <w:r>
              <w:t>Org Matrix</w:t>
            </w:r>
          </w:p>
        </w:tc>
        <w:tc>
          <w:tcPr>
            <w:tcW w:type="dxa" w:w="2880"/>
          </w:tcPr>
          <w:p>
            <w:r>
              <w:t>Department, Designation</w:t>
            </w:r>
          </w:p>
        </w:tc>
        <w:tc>
          <w:tcPr>
            <w:tcW w:type="dxa" w:w="2880"/>
          </w:tcPr>
          <w:p>
            <w:r>
              <w:t>Defines the structural hierarchy and functional workforce clusters.</w:t>
            </w:r>
          </w:p>
        </w:tc>
      </w:tr>
      <w:tr>
        <w:tc>
          <w:tcPr>
            <w:tcW w:type="dxa" w:w="2880"/>
          </w:tcPr>
          <w:p>
            <w:r>
              <w:t>Operation Logic</w:t>
            </w:r>
          </w:p>
        </w:tc>
        <w:tc>
          <w:tcPr>
            <w:tcW w:type="dxa" w:w="2880"/>
          </w:tcPr>
          <w:p>
            <w:r>
              <w:t>Project, Timesheet, Punch</w:t>
            </w:r>
          </w:p>
        </w:tc>
        <w:tc>
          <w:tcPr>
            <w:tcW w:type="dxa" w:w="2880"/>
          </w:tcPr>
          <w:p>
            <w:r>
              <w:t>Tracks resource utilization and effort auditing across mission-critical goals.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ApprovalLog, Manager Link</w:t>
            </w:r>
          </w:p>
        </w:tc>
        <w:tc>
          <w:tcPr>
            <w:tcW w:type="dxa" w:w="2880"/>
          </w:tcPr>
          <w:p>
            <w:r>
              <w:t>Enforces the hierarchical approval cycle and operational transparency.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A36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3449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 Semibold" w:hAnsi="Segoe UI Semibold"/>
      <w:color w:val="1A36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