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9D5C3" w14:textId="7538BBB0" w:rsidR="00341CC3" w:rsidRPr="00DD596B" w:rsidRDefault="00BA4309" w:rsidP="009F4895">
      <w:pPr>
        <w:spacing w:after="0" w:line="360" w:lineRule="auto"/>
        <w:jc w:val="both"/>
        <w:rPr>
          <w:rFonts w:ascii="Arial" w:hAnsi="Arial" w:cs="Arial"/>
          <w:b/>
          <w:bCs/>
          <w:sz w:val="22"/>
          <w:szCs w:val="22"/>
        </w:rPr>
      </w:pPr>
      <w:r w:rsidRPr="00DD596B">
        <w:rPr>
          <w:rFonts w:ascii="Arial" w:hAnsi="Arial" w:cs="Arial"/>
          <w:b/>
          <w:bCs/>
          <w:sz w:val="22"/>
          <w:szCs w:val="22"/>
        </w:rPr>
        <w:t>Background</w:t>
      </w:r>
    </w:p>
    <w:p w14:paraId="6E10F4EE" w14:textId="1372BFB6" w:rsidR="009770B6" w:rsidRPr="00DD596B" w:rsidRDefault="009770B6" w:rsidP="009F4895">
      <w:pPr>
        <w:spacing w:after="0" w:line="360" w:lineRule="auto"/>
        <w:jc w:val="both"/>
        <w:rPr>
          <w:rFonts w:ascii="Arial" w:hAnsi="Arial" w:cs="Arial"/>
          <w:sz w:val="22"/>
          <w:szCs w:val="22"/>
        </w:rPr>
      </w:pPr>
      <w:r w:rsidRPr="00DD596B">
        <w:rPr>
          <w:rFonts w:ascii="Arial" w:hAnsi="Arial" w:cs="Arial"/>
          <w:sz w:val="22"/>
          <w:szCs w:val="22"/>
        </w:rPr>
        <w:t>Overweight</w:t>
      </w:r>
      <w:r w:rsidR="00B76FFB" w:rsidRPr="00DD596B">
        <w:rPr>
          <w:rFonts w:ascii="Arial" w:hAnsi="Arial" w:cs="Arial"/>
          <w:sz w:val="22"/>
          <w:szCs w:val="22"/>
        </w:rPr>
        <w:t>/</w:t>
      </w:r>
      <w:r w:rsidRPr="00DD596B">
        <w:rPr>
          <w:rFonts w:ascii="Arial" w:hAnsi="Arial" w:cs="Arial"/>
          <w:sz w:val="22"/>
          <w:szCs w:val="22"/>
        </w:rPr>
        <w:t xml:space="preserve">obesity, </w:t>
      </w:r>
      <w:r w:rsidR="00B76FFB" w:rsidRPr="00DD596B">
        <w:rPr>
          <w:rFonts w:ascii="Arial" w:hAnsi="Arial" w:cs="Arial"/>
          <w:sz w:val="22"/>
          <w:szCs w:val="22"/>
        </w:rPr>
        <w:t xml:space="preserve">and </w:t>
      </w:r>
      <w:r w:rsidRPr="00DD596B">
        <w:rPr>
          <w:rFonts w:ascii="Arial" w:hAnsi="Arial" w:cs="Arial"/>
          <w:sz w:val="22"/>
          <w:szCs w:val="22"/>
        </w:rPr>
        <w:t xml:space="preserve">hypertension, are </w:t>
      </w:r>
      <w:r w:rsidR="00BA4309" w:rsidRPr="00DD596B">
        <w:rPr>
          <w:rFonts w:ascii="Arial" w:hAnsi="Arial" w:cs="Arial"/>
          <w:sz w:val="22"/>
          <w:szCs w:val="22"/>
        </w:rPr>
        <w:t xml:space="preserve">considered as </w:t>
      </w:r>
      <w:r w:rsidRPr="00DD596B">
        <w:rPr>
          <w:rFonts w:ascii="Arial" w:hAnsi="Arial" w:cs="Arial"/>
          <w:sz w:val="22"/>
          <w:szCs w:val="22"/>
        </w:rPr>
        <w:t xml:space="preserve">major risk factors for various </w:t>
      </w:r>
      <w:r w:rsidR="00AD03CA" w:rsidRPr="00DD596B">
        <w:rPr>
          <w:rFonts w:ascii="Arial" w:hAnsi="Arial" w:cs="Arial"/>
          <w:sz w:val="22"/>
          <w:szCs w:val="22"/>
        </w:rPr>
        <w:t xml:space="preserve">non-communicable </w:t>
      </w:r>
      <w:r w:rsidR="00AD0BB6" w:rsidRPr="00DD596B">
        <w:rPr>
          <w:rFonts w:ascii="Arial" w:hAnsi="Arial" w:cs="Arial"/>
          <w:sz w:val="22"/>
          <w:szCs w:val="22"/>
        </w:rPr>
        <w:t>diseases (</w:t>
      </w:r>
      <w:r w:rsidR="00AD03CA" w:rsidRPr="00DD596B">
        <w:rPr>
          <w:rFonts w:ascii="Arial" w:hAnsi="Arial" w:cs="Arial"/>
          <w:sz w:val="22"/>
          <w:szCs w:val="22"/>
        </w:rPr>
        <w:t>NCDs)</w:t>
      </w:r>
      <w:r w:rsidRPr="00DD596B">
        <w:rPr>
          <w:rFonts w:ascii="Arial" w:hAnsi="Arial" w:cs="Arial"/>
          <w:sz w:val="22"/>
          <w:szCs w:val="22"/>
        </w:rPr>
        <w:t xml:space="preserve">, including cardiovascular </w:t>
      </w:r>
      <w:r w:rsidR="00BA4309" w:rsidRPr="00DD596B">
        <w:rPr>
          <w:rFonts w:ascii="Arial" w:hAnsi="Arial" w:cs="Arial"/>
          <w:sz w:val="22"/>
          <w:szCs w:val="22"/>
        </w:rPr>
        <w:t>diseases (CVD</w:t>
      </w:r>
      <w:r w:rsidR="00066424" w:rsidRPr="00DD596B">
        <w:rPr>
          <w:rFonts w:ascii="Arial" w:hAnsi="Arial" w:cs="Arial"/>
          <w:sz w:val="22"/>
          <w:szCs w:val="22"/>
        </w:rPr>
        <w:t>)</w:t>
      </w:r>
      <w:r w:rsidRPr="00DD596B">
        <w:rPr>
          <w:rFonts w:ascii="Arial" w:hAnsi="Arial" w:cs="Arial"/>
          <w:sz w:val="22"/>
          <w:szCs w:val="22"/>
        </w:rPr>
        <w:t xml:space="preserve"> such as heart disease and stroke, which are the leading causes of death worldwide. In 2019, an estimated 5 million deaths from noncommunicable diseases (NCDs) were attributed to having a higher-than-optimal body mass index (BMI). Additionally, approximately 1.28 billion adults aged 30 to 79 years worldwide have hypertension, which is also considered a significant cause of premature death globally.</w:t>
      </w:r>
      <w:r w:rsidRPr="00DD596B">
        <w:rPr>
          <w:rFonts w:ascii="Arial" w:hAnsi="Arial" w:cs="Arial"/>
          <w:sz w:val="22"/>
          <w:szCs w:val="22"/>
        </w:rPr>
        <w:fldChar w:fldCharType="begin"/>
      </w:r>
      <w:r w:rsidRPr="00DD596B">
        <w:rPr>
          <w:rFonts w:ascii="Arial" w:hAnsi="Arial" w:cs="Arial"/>
          <w:sz w:val="22"/>
          <w:szCs w:val="22"/>
        </w:rPr>
        <w:instrText xml:space="preserve"> ADDIN ZOTERO_ITEM CSL_CITATION {"citationID":"1NgA1LuG","properties":{"formattedCitation":"({\\i{}Hypertension}, n.d.; {\\i{}Obesity}, n.d.)","plainCitation":"(Hypertension, n.d.; Obesity, n.d.)","noteIndex":0},"citationItems":[{"id":1545,"uris":["http://zotero.org/groups/5776311/items/A8VLNB6E"],"itemData":{"id":1545,"type":"webpage","abstract":"Hypertension is called a \"silent killer\". Most people with hypertension are unaware of the problem because it may have no warning signs or symptoms. For this reason, it is essential that blood pressure is measured regularly.","language":"en","title":"Hypertension","URL":"https://www.who.int/news-room/fact-sheets/detail/hypertension","accessed":{"date-parts":[["2024",11,26]]},"citation-key":"Hypertension"}},{"id":1547,"uris":["http://zotero.org/groups/5776311/items/GT8V2QEW"],"itemData":{"id":1547,"type":"webpage","abstract":"Obesity","language":"en","title":"Obesity","URL":"https://www.who.int/health-topics/obesity","accessed":{"date-parts":[["2024",11,26]]},"citation-key":"Obesity"}}],"schema":"https://github.com/citation-style-language/schema/raw/master/csl-citation.json"} </w:instrText>
      </w:r>
      <w:r w:rsidRPr="00DD596B">
        <w:rPr>
          <w:rFonts w:ascii="Arial" w:hAnsi="Arial" w:cs="Arial"/>
          <w:sz w:val="22"/>
          <w:szCs w:val="22"/>
        </w:rPr>
        <w:fldChar w:fldCharType="separate"/>
      </w:r>
      <w:r w:rsidRPr="00DD596B">
        <w:rPr>
          <w:rFonts w:ascii="Arial" w:hAnsi="Arial" w:cs="Arial"/>
          <w:sz w:val="22"/>
          <w:szCs w:val="22"/>
        </w:rPr>
        <w:t>(Hypertension, n.d.; Obesity, n.d.)</w:t>
      </w:r>
      <w:r w:rsidRPr="00DD596B">
        <w:rPr>
          <w:rFonts w:ascii="Arial" w:hAnsi="Arial" w:cs="Arial"/>
          <w:sz w:val="22"/>
          <w:szCs w:val="22"/>
        </w:rPr>
        <w:fldChar w:fldCharType="end"/>
      </w:r>
      <w:r w:rsidR="00B76FFB" w:rsidRPr="00DD596B">
        <w:rPr>
          <w:rFonts w:ascii="Arial" w:hAnsi="Arial" w:cs="Arial"/>
          <w:sz w:val="22"/>
          <w:szCs w:val="22"/>
        </w:rPr>
        <w:t xml:space="preserve">. </w:t>
      </w:r>
    </w:p>
    <w:p w14:paraId="566CA5BE" w14:textId="77777777" w:rsidR="009F4895" w:rsidRPr="00DD596B" w:rsidRDefault="009F4895" w:rsidP="009F4895">
      <w:pPr>
        <w:spacing w:after="0" w:line="360" w:lineRule="auto"/>
        <w:jc w:val="both"/>
        <w:rPr>
          <w:rFonts w:ascii="Arial" w:hAnsi="Arial" w:cs="Arial"/>
          <w:sz w:val="22"/>
          <w:szCs w:val="22"/>
        </w:rPr>
      </w:pPr>
    </w:p>
    <w:p w14:paraId="2C1CD434" w14:textId="406CDF32" w:rsidR="009770B6" w:rsidRPr="00DD596B" w:rsidRDefault="003E7709" w:rsidP="009F4895">
      <w:pPr>
        <w:spacing w:after="0" w:line="360" w:lineRule="auto"/>
        <w:jc w:val="both"/>
        <w:rPr>
          <w:rFonts w:ascii="Arial" w:hAnsi="Arial" w:cs="Arial"/>
          <w:sz w:val="22"/>
          <w:szCs w:val="22"/>
        </w:rPr>
      </w:pPr>
      <w:r w:rsidRPr="00DD596B">
        <w:rPr>
          <w:rFonts w:ascii="Arial" w:hAnsi="Arial" w:cs="Arial"/>
          <w:sz w:val="22"/>
          <w:szCs w:val="22"/>
        </w:rPr>
        <w:t>Compared to 1990, the percentage of hypertensive adults in the WHO European region decreased in 2019</w:t>
      </w:r>
      <w:r w:rsidR="00FE282A" w:rsidRPr="00DD596B">
        <w:rPr>
          <w:rFonts w:ascii="Arial" w:hAnsi="Arial" w:cs="Arial"/>
          <w:sz w:val="22"/>
          <w:szCs w:val="22"/>
        </w:rPr>
        <w:t>, while in a similar time frame, a</w:t>
      </w:r>
      <w:r w:rsidRPr="00DD596B">
        <w:rPr>
          <w:rFonts w:ascii="Arial" w:hAnsi="Arial" w:cs="Arial"/>
          <w:sz w:val="22"/>
          <w:szCs w:val="22"/>
        </w:rPr>
        <w:t xml:space="preserve"> significant increase was noted in Asian regions, particularly in WHO Southeast Asia, where the percentage increased from 29% to 32%. Additionally, in 2022, 1 in 8 people worldwide were living with obesity. Over the past four decades, obesity </w:t>
      </w:r>
      <w:r w:rsidR="00FE282A" w:rsidRPr="00DD596B">
        <w:rPr>
          <w:rFonts w:ascii="Arial" w:hAnsi="Arial" w:cs="Arial"/>
          <w:sz w:val="22"/>
          <w:szCs w:val="22"/>
        </w:rPr>
        <w:t>has</w:t>
      </w:r>
      <w:r w:rsidRPr="00DD596B">
        <w:rPr>
          <w:rFonts w:ascii="Arial" w:hAnsi="Arial" w:cs="Arial"/>
          <w:sz w:val="22"/>
          <w:szCs w:val="22"/>
        </w:rPr>
        <w:t xml:space="preserve"> more than doubled. As of 2019, there were 2,329,503 deaths in </w:t>
      </w:r>
      <w:r w:rsidR="00C86A66" w:rsidRPr="00DD596B">
        <w:rPr>
          <w:rFonts w:ascii="Arial" w:hAnsi="Arial" w:cs="Arial"/>
          <w:sz w:val="22"/>
          <w:szCs w:val="22"/>
        </w:rPr>
        <w:t>Asia,</w:t>
      </w:r>
      <w:r w:rsidRPr="00DD596B">
        <w:rPr>
          <w:rFonts w:ascii="Arial" w:hAnsi="Arial" w:cs="Arial"/>
          <w:sz w:val="22"/>
          <w:szCs w:val="22"/>
        </w:rPr>
        <w:t xml:space="preserve"> attributed to high body mass index (BMI), an increase of 265% from 1990. A 268% increase in disability-adjusted life years (DALYs) has been associated with high BMI in the last 30 years</w:t>
      </w:r>
      <w:r w:rsidR="00FE282A" w:rsidRPr="00DD596B">
        <w:rPr>
          <w:rFonts w:ascii="Arial" w:hAnsi="Arial" w:cs="Arial"/>
          <w:sz w:val="22"/>
          <w:szCs w:val="22"/>
        </w:rPr>
        <w:t xml:space="preserve"> for the Asian region</w:t>
      </w:r>
      <w:r w:rsidRPr="00DD596B">
        <w:rPr>
          <w:rFonts w:ascii="Arial" w:hAnsi="Arial" w:cs="Arial"/>
          <w:sz w:val="22"/>
          <w:szCs w:val="22"/>
        </w:rPr>
        <w:t>.</w:t>
      </w:r>
      <w:r w:rsidRPr="00DD596B">
        <w:rPr>
          <w:rFonts w:ascii="Arial" w:hAnsi="Arial" w:cs="Arial"/>
          <w:sz w:val="22"/>
          <w:szCs w:val="22"/>
        </w:rPr>
        <w:fldChar w:fldCharType="begin"/>
      </w:r>
      <w:r w:rsidR="00FE282A" w:rsidRPr="00DD596B">
        <w:rPr>
          <w:rFonts w:ascii="Arial" w:hAnsi="Arial" w:cs="Arial"/>
          <w:sz w:val="22"/>
          <w:szCs w:val="22"/>
        </w:rPr>
        <w:instrText xml:space="preserve"> ADDIN ZOTERO_ITEM CSL_CITATION {"citationID":"sp6zaKjh","properties":{"formattedCitation":"({\\i{}Global Report on Hypertension}, n.d.; Li et al., 2023)","plainCitation":"(Global Report on Hypertension, n.d.; Li et al., 2023)","noteIndex":0},"citationItems":[{"id":1549,"uris":["http://zotero.org/groups/5776311/items/WXKCXG5J"],"itemData":{"id":1549,"type":"webpage","abstract":"This report compiles data for the first time on the far-reaching consequences of uncontrolled hypertension, including heart attacks, strokes and premature death, along with substantial economic losses for communities and countries. It also contains information on the global, regional and country-level burden of hypertension and progress of control efforts.","language":"en","title":"Global report on hypertension: the race against a silent killer","title-short":"Global report on hypertension","URL":"https://www.who.int/publications/i/item/9789240081062","accessed":{"date-parts":[["2024",11,26]]},"citation-key":"GlobalReportHypertension"}},{"id":1551,"uris":["http://zotero.org/groups/5776311/items/ZEYGTBUE"],"itemData":{"id":1551,"type":"article-journal","abstract":"Objective\nTo analyse the trends of diseases burden attributed to high body mass index (BMI), including overweight and obesity, in Asia from 1990 to 2019.\n\nDesign\nObservational study.\n\nSetting\nThe data of 45 countries and regions in Asia were obtained from the Global Burden of Disease Study 2019 database.\n\nMain outcome measures\nNumbers, age-standardised rate (ASR) of deaths and disability-adjusted life years (DALYs), and the corresponding estimated annual percentage changes (EAPCs), attributable to high BMI in Asia from 1990 to 2019, were analysed by regions, genders and age. We also analysed changes in the causes of deaths and DALYs that are attributable to high BMI over this period.\n\nResults\nIn 2019, all causes deaths attributable to high BMI in Asia were 2 329 503, with increases by 265% compared with 1990. Over three decades, DALYs related to high BMI have increased by 268%. The ASRs of deaths and DALYs in Asia both showed continuous upward trends during this period (EAPC 1.39; 95% certainty interval [95% CI] 1.35 to 1.43 for deaths; EAPC 1.8; 95% CI 1.76 to 1.84 for DALYs), while both were declined in high-income areas (EAPC −2.03 and −1.26). By geographical regions, disease burden in Central Asia and West Asia have been fluctuating at high levels, but high-income Asia Pacific showed decreasing trends of ASR of deaths (EAPC −2.03) and DALYs (EAPC −1.26). Over this period, disease burden in Asia was changing from women to men, and tends to ageing. In addition, diabetes were the diseases most affected by high BMI, and cancer burden was high in middle-aged and elderly people.\n\nConclusions\nThe disease burden attributed to high BMI in Asia has experienced great changes. It is necessary to promote the prevention of obesity and chronic diseases in a comprehensive manner, especially in low-income areas, men and elderly.","container-title":"BMJ Open","DOI":"10.1136/bmjopen-2023-075437","ISSN":"2044-6055","issue":"10","journalAbbreviation":"BMJ Open","note":"PMID: 37865409\nPMCID: PMC10603495","page":"e075437","source":"PubMed Central","title":"Changing trends of the diseases burden attributable to high BMI in Asia from 1990 to 2019: results from the global burden of disease study 2019","title-short":"Changing trends of the diseases burden attributable to high BMI in Asia from 1990 to 2019","volume":"13","author":[{"family":"Li","given":"Xue"},{"family":"Han","given":"Fang"},{"family":"Liu","given":"Na"},{"family":"Feng","given":"Xiaojin"},{"family":"Sun","given":"Xiaodong"},{"family":"Chi","given":"Yuhua"},{"family":"Hou","given":"Ningning"},{"family":"Liu","given":"Yongping"}],"issued":{"date-parts":[["2023",10,20]]},"citation-key":"liChangingTrendsDiseases2023"}}],"schema":"https://github.com/citation-style-language/schema/raw/master/csl-citation.json"} </w:instrText>
      </w:r>
      <w:r w:rsidRPr="00DD596B">
        <w:rPr>
          <w:rFonts w:ascii="Arial" w:hAnsi="Arial" w:cs="Arial"/>
          <w:sz w:val="22"/>
          <w:szCs w:val="22"/>
        </w:rPr>
        <w:fldChar w:fldCharType="separate"/>
      </w:r>
      <w:r w:rsidR="00FE282A" w:rsidRPr="00DD596B">
        <w:rPr>
          <w:rFonts w:ascii="Arial" w:hAnsi="Arial" w:cs="Arial"/>
          <w:sz w:val="22"/>
          <w:szCs w:val="22"/>
        </w:rPr>
        <w:t>(Global Report on Hypertension, n.d.; Li et al., 2023)</w:t>
      </w:r>
      <w:r w:rsidRPr="00DD596B">
        <w:rPr>
          <w:rFonts w:ascii="Arial" w:hAnsi="Arial" w:cs="Arial"/>
          <w:sz w:val="22"/>
          <w:szCs w:val="22"/>
        </w:rPr>
        <w:fldChar w:fldCharType="end"/>
      </w:r>
      <w:r w:rsidR="00FE282A" w:rsidRPr="00DD596B">
        <w:rPr>
          <w:rFonts w:ascii="Arial" w:hAnsi="Arial" w:cs="Arial"/>
          <w:sz w:val="22"/>
          <w:szCs w:val="22"/>
        </w:rPr>
        <w:t>.</w:t>
      </w:r>
    </w:p>
    <w:p w14:paraId="201450CF" w14:textId="77777777" w:rsidR="009F4895" w:rsidRPr="00DD596B" w:rsidRDefault="009F4895" w:rsidP="009F4895">
      <w:pPr>
        <w:spacing w:after="0" w:line="360" w:lineRule="auto"/>
        <w:jc w:val="both"/>
        <w:rPr>
          <w:rFonts w:ascii="Arial" w:hAnsi="Arial" w:cs="Arial"/>
          <w:sz w:val="22"/>
          <w:szCs w:val="22"/>
        </w:rPr>
      </w:pPr>
    </w:p>
    <w:p w14:paraId="5278054D" w14:textId="7D491842" w:rsidR="00207CB7" w:rsidRPr="00DD596B" w:rsidRDefault="00207CB7" w:rsidP="00207CB7">
      <w:pPr>
        <w:spacing w:after="0" w:line="360" w:lineRule="auto"/>
        <w:jc w:val="both"/>
        <w:rPr>
          <w:rFonts w:ascii="Arial" w:hAnsi="Arial" w:cs="Arial"/>
          <w:sz w:val="22"/>
          <w:szCs w:val="22"/>
        </w:rPr>
      </w:pPr>
      <w:r w:rsidRPr="00DD596B">
        <w:rPr>
          <w:rFonts w:ascii="Arial" w:hAnsi="Arial" w:cs="Arial"/>
          <w:sz w:val="22"/>
          <w:szCs w:val="22"/>
        </w:rPr>
        <w:t>Nepal has experienced a notable rise in weight-related health issues over the past two decades. Among women of reproductive age, overweight rates nearly tripled from 8.5% to 22.2% between 2006 and 2016, while obesity rates increased more than fivefold from 0.9% to 5.1%. For men, a 2016 health survey revealed that 17.1% were overweight and 2.5% were obese.</w:t>
      </w:r>
      <w:r w:rsidRPr="00DD596B">
        <w:rPr>
          <w:rFonts w:ascii="Arial" w:hAnsi="Arial" w:cs="Arial"/>
          <w:sz w:val="22"/>
          <w:szCs w:val="22"/>
        </w:rPr>
        <w:t xml:space="preserve"> </w:t>
      </w:r>
      <w:r w:rsidRPr="00DD596B">
        <w:rPr>
          <w:rFonts w:ascii="Arial" w:hAnsi="Arial" w:cs="Arial"/>
          <w:sz w:val="22"/>
          <w:szCs w:val="22"/>
        </w:rPr>
        <w:t xml:space="preserve">These weight trends coincide with significant cardiovascular </w:t>
      </w:r>
      <w:r w:rsidR="006D0036" w:rsidRPr="00DD596B">
        <w:rPr>
          <w:rFonts w:ascii="Arial" w:hAnsi="Arial" w:cs="Arial"/>
          <w:sz w:val="22"/>
          <w:szCs w:val="22"/>
        </w:rPr>
        <w:t xml:space="preserve">as well as NCD-related </w:t>
      </w:r>
      <w:r w:rsidRPr="00DD596B">
        <w:rPr>
          <w:rFonts w:ascii="Arial" w:hAnsi="Arial" w:cs="Arial"/>
          <w:sz w:val="22"/>
          <w:szCs w:val="22"/>
        </w:rPr>
        <w:t>health concerns in the country. Research shows that over a quarter of Nepal's population (27.3%) suffers from hypertension or pre-hypertension. Cardiovascular diseases have become the leading cause of disability-adjusted life years lost in Nepal, with high blood pressure and elevated body mass index identified as the primary risk factors. While Nepal's cardiovascular disease rates exceed the South Asian average, they remain below global levels.</w:t>
      </w:r>
      <w:r w:rsidRPr="00DD596B">
        <w:rPr>
          <w:rFonts w:ascii="Arial" w:hAnsi="Arial" w:cs="Arial"/>
          <w:sz w:val="22"/>
          <w:szCs w:val="22"/>
        </w:rPr>
        <w:fldChar w:fldCharType="begin"/>
      </w:r>
      <w:r w:rsidRPr="00DD596B">
        <w:rPr>
          <w:rFonts w:ascii="Arial" w:hAnsi="Arial" w:cs="Arial"/>
          <w:sz w:val="22"/>
          <w:szCs w:val="22"/>
        </w:rPr>
        <w:instrText xml:space="preserve"> ADDIN ZOTERO_ITEM CSL_CITATION {"citationID":"iPPqnXmL","properties":{"formattedCitation":"(Bhattarai et al., 2020; Huang et al., 2019; Wei et al., 2024)","plainCitation":"(Bhattarai et al., 2020; Huang et al., 2019; Wei et al., 2024)","noteIndex":0},"citationItems":[{"id":1563,"uris":["http://zotero.org/groups/5776311/items/QRQFFDL4"],"itemData":{"id":1563,"type":"article-journal","abstract":"Cardiovascular diseases (CVDs) are the leading cause of disease burden globally, disproportionately affecting low and middle-income countries. The continued scarcity of literature on CVDs burden in Nepal has thwarted efforts to develop population-specific prevention and management strategies. This article reports the burden of CVDs in Nepal including, prevalence, incidence, and disability basis as well as trends over the past two decades by age and gender. We used the Institute of Health Metrics and Evaluation’s Global Burden of Diseases database on cardiovascular disease from Nepal to describe the most recent data available (2017) and trends by age, gender and year from 1990 to 2017. Data are presented as percentages or as rates per 100,000 population. In 2017, CVDs contributed to 26·9% of total deaths and 12·8% of total DALYs in Nepal. Ischemic heart disease was the predominant CVDs, contributing 16·4% to total deaths and 7·5% to total DALYs. Cardiovascular disease incidence and mortality rates have increased from 1990 to 2017, with the burden greater among males and among older age groups. The leading risk factors for CVDs were determined to be high systolic blood pressure, high low density lipoprotein cholesterol, smoking, air pollution, a diet low in whole grains, and a diet low in fruit. CVDs are a major public health problem in Nepal contributing to the high DALYs with unacceptable numbers of premature deaths. There is an urgent need to address the increasing burden of CVDs and their associated risk factors, particularly high blood pressure, body mass index and unhealthy diet.","container-title":"IJC Heart &amp; Vasculature","DOI":"10.1016/j.ijcha.2020.100602","ISSN":"2352-9067","journalAbbreviation":"IJC Heart &amp; Vasculature","page":"100602","source":"ScienceDirect","title":"Cardiovascular disease trends in Nepal – An analysis of global burden of disease data 2017","volume":"30","author":[{"family":"Bhattarai","given":"Sanju"},{"family":"Aryal","given":"Anu"},{"family":"Pyakurel","given":"Manita"},{"family":"Bajracharya","given":"Swornim"},{"family":"Baral","given":"Phanindra"},{"family":"Citrin","given":"David"},{"family":"Cox","given":"Helen"},{"family":"Dhimal","given":"Meghnath"},{"family":"Fitzpatrick","given":"Annette"},{"family":"Jha","given":"Anjani Kumar"},{"family":"Jha","given":"Niharika"},{"family":"Karmacharya","given":"Biraj Man"},{"family":"Koju","given":"Rajendra"},{"family":"Maharjan","given":"Rashmi"},{"family":"Oli","given":"Natalia"},{"family":"Pyakurel","given":"Prajjwal"},{"family":"Sapkota","given":"Bhim Prasad"},{"family":"Shrestha","given":"Rajeev"},{"family":"Shrestha","given":"Soniya"},{"family":"Spiegelman","given":"Donna"},{"family":"Vaidya","given":"Abhinav"},{"family":"Shrestha","given":"Archana"}],"issued":{"date-parts":[["2020",10,1]]},"citation-key":"bhattaraiCardiovascularDiseaseTrends2020a"}},{"id":1566,"uris":["http://zotero.org/groups/5776311/items/YJL3RBGT"],"itemData":{"id":1566,"type":"article-journal","abstract":"Studies regarding blood pressure of Nepal have demonstrated a contrasting prevalence. We aimed at providing a generalized estimate of the prevalence of hypertension and prehypertension in urban, suburban, and rural areas of Nepal.","container-title":"Global Health Research and Policy","DOI":"10.1186/s41256-019-0102-6","ISSN":"2397-0642","issue":"1","journalAbbreviation":"Global Health Research and Policy","page":"11","source":"BioMed Central","title":"Prevalence of hypertension and prehypertension in Nepal: a systematic review and meta-analysis","title-short":"Prevalence of hypertension and prehypertension in Nepal","volume":"4","author":[{"family":"Huang","given":"Yun"},{"family":"Guo","given":"Pi"},{"family":"Karmacharya","given":"Biraj M."},{"family":"Seeruttun","given":"Sharvesh Raj"},{"family":"Xu","given":"Dong Roman"},{"family":"Hao","given":"Yuantao"}],"issued":{"date-parts":[["2019",4,30]]},"citation-key":"huangPrevalenceHypertensionPrehypertension2019a"}},{"id":1560,"uris":["http://zotero.org/groups/5776311/items/7TK95V52"],"itemData":{"id":1560,"type":"article-journal","abstract":"Objective\nOverweight and obesity prevalence has increased in low-income countries. This study systematically reviewed the obesity trend, disparities, and prevention and control efforts in Nepal.\nMethods\nWe searched PubMed and Google Scholar for articles and reports published between January 1, 2004 and December 31, 2022. Additional information on National policies and programs related to obesity prevention was retrieved from governmental websites and consultation with relevant experts. Overweight and obesity were defined using the World Health Organization body mass index cut points. Thirty-two studies and reports were included.\nResults\nOverall, overweight and obesity rates increased in all groups in Nepal although nationally representative data remained limited. The combined overweight and obesity (OW/OB) and obesity rates in women aged 15‒49 years increased from 8.5% to 22.2% and from 0.9% to 5.1% between 2006 and 2016, respectively. OW/OB and obesity rates in men were 17.1% and 2.5% based on data from the 2016 Demographic and Health Survey. OW/OB rate in under-five children increased from 0.6% to 2.8% between 2006 and 2016. Obesity rates for school-age (5‒9 years) boys and girls in 2016 were 2.4% and 2.8%, respectively, and were 1.1% and 1.4% for male and female adolescents aged 10‒19 years, respectively. OW/OB prevalence was much higher among women, residents in urban areas and central provinces, and in higher socioeconomic status groups. Projected prevalence of OW/OB and obesity for 2030 in adults aged 15‒49 was 44.7% and 8.3%, respectively, while it was 2.2% for OW/OB in preschool children. Policies and direct interventions that specifically focused on obesity prevention and control are limited.\nConclusions\nOW/OB prevalence in Nepal has increased during the past 1.8 decades, disproportionately affecting population groups. Existing interventions mostly focused on undernutrition with some indirect implications for obesity prevention. In the future, Nepal needs to develop population-based programs for obesity prevention.","container-title":"Global Health Journal","DOI":"10.1016/j.glohj.2024.05.006","ISSN":"2414-6447","issue":"2","journalAbbreviation":"Global Health Journal","page":"46-57","source":"ScienceDirect","title":"Time trends and disparities of obesity and related national policies and programs in Nepal: a systematic review","title-short":"Time trends and disparities of obesity and related national policies and programs in Nepal","volume":"8","author":[{"family":"Wei","given":"Junxiang"},{"family":"Nie","given":"Peng"},{"family":"Gao","given":"Liwang"},{"family":"Mi","given":"Yang"},{"family":"Wang","given":"Youfa"}],"issued":{"date-parts":[["2024",6,1]]},"citation-key":"weiTimeTrendsDisparities2024"}}],"schema":"https://github.com/citation-style-language/schema/raw/master/csl-citation.json"} </w:instrText>
      </w:r>
      <w:r w:rsidRPr="00DD596B">
        <w:rPr>
          <w:rFonts w:ascii="Arial" w:hAnsi="Arial" w:cs="Arial"/>
          <w:sz w:val="22"/>
          <w:szCs w:val="22"/>
        </w:rPr>
        <w:fldChar w:fldCharType="separate"/>
      </w:r>
      <w:r w:rsidRPr="00DD596B">
        <w:rPr>
          <w:rFonts w:ascii="Arial" w:hAnsi="Arial" w:cs="Arial"/>
          <w:sz w:val="22"/>
          <w:szCs w:val="22"/>
        </w:rPr>
        <w:t>(Bhattarai et al., 2020; Huang et al., 2019; Wei et al., 2024)</w:t>
      </w:r>
      <w:r w:rsidRPr="00DD596B">
        <w:rPr>
          <w:rFonts w:ascii="Arial" w:hAnsi="Arial" w:cs="Arial"/>
          <w:sz w:val="22"/>
          <w:szCs w:val="22"/>
        </w:rPr>
        <w:fldChar w:fldCharType="end"/>
      </w:r>
    </w:p>
    <w:p w14:paraId="04A59C6D" w14:textId="174A0A47" w:rsidR="00FE282A" w:rsidRPr="00DD596B" w:rsidRDefault="00FE282A" w:rsidP="009F4895">
      <w:pPr>
        <w:spacing w:after="0" w:line="360" w:lineRule="auto"/>
        <w:jc w:val="both"/>
        <w:rPr>
          <w:rFonts w:ascii="Arial" w:hAnsi="Arial" w:cs="Arial"/>
          <w:sz w:val="22"/>
          <w:szCs w:val="22"/>
        </w:rPr>
      </w:pPr>
    </w:p>
    <w:p w14:paraId="46AC1095" w14:textId="6F472295" w:rsidR="00BA4309" w:rsidRPr="00DD596B" w:rsidRDefault="00BA4309" w:rsidP="00BA4309">
      <w:pPr>
        <w:spacing w:after="0" w:line="360" w:lineRule="auto"/>
        <w:jc w:val="both"/>
        <w:rPr>
          <w:rFonts w:ascii="Arial" w:hAnsi="Arial" w:cs="Arial"/>
          <w:sz w:val="22"/>
          <w:szCs w:val="22"/>
        </w:rPr>
      </w:pPr>
      <w:r w:rsidRPr="00DD596B">
        <w:rPr>
          <w:rFonts w:ascii="Arial" w:hAnsi="Arial" w:cs="Arial"/>
          <w:sz w:val="22"/>
          <w:szCs w:val="22"/>
        </w:rPr>
        <w:t xml:space="preserve">Although multiple studies have documented the prevalence of overweight and hypertension in Nepal, there is limited research using geospatial analysis to examine the determinants </w:t>
      </w:r>
      <w:r w:rsidRPr="00DD596B">
        <w:rPr>
          <w:rFonts w:ascii="Arial" w:hAnsi="Arial" w:cs="Arial"/>
          <w:sz w:val="22"/>
          <w:szCs w:val="22"/>
        </w:rPr>
        <w:t xml:space="preserve">and distribution </w:t>
      </w:r>
      <w:r w:rsidRPr="00DD596B">
        <w:rPr>
          <w:rFonts w:ascii="Arial" w:hAnsi="Arial" w:cs="Arial"/>
          <w:sz w:val="22"/>
          <w:szCs w:val="22"/>
        </w:rPr>
        <w:t xml:space="preserve">of these chronic disease risk factors. While epidemiological studies have investigated the distribution of cardiovascular disease risk factors, there remains a need for clearer </w:t>
      </w:r>
      <w:r w:rsidRPr="00DD596B">
        <w:rPr>
          <w:rFonts w:ascii="Arial" w:hAnsi="Arial" w:cs="Arial"/>
          <w:sz w:val="22"/>
          <w:szCs w:val="22"/>
        </w:rPr>
        <w:t xml:space="preserve">geospatial </w:t>
      </w:r>
      <w:r w:rsidRPr="00DD596B">
        <w:rPr>
          <w:rFonts w:ascii="Arial" w:hAnsi="Arial" w:cs="Arial"/>
          <w:sz w:val="22"/>
          <w:szCs w:val="22"/>
        </w:rPr>
        <w:lastRenderedPageBreak/>
        <w:t xml:space="preserve">analysis to inform targeted </w:t>
      </w:r>
      <w:r w:rsidRPr="00DD596B">
        <w:rPr>
          <w:rFonts w:ascii="Arial" w:hAnsi="Arial" w:cs="Arial"/>
          <w:sz w:val="22"/>
          <w:szCs w:val="22"/>
        </w:rPr>
        <w:t>policies. To</w:t>
      </w:r>
      <w:r w:rsidRPr="00DD596B">
        <w:rPr>
          <w:rFonts w:ascii="Arial" w:hAnsi="Arial" w:cs="Arial"/>
          <w:sz w:val="22"/>
          <w:szCs w:val="22"/>
        </w:rPr>
        <w:t xml:space="preserve"> address this gap, we aimed to conduct a comprehensive spatial analysis using national survey datasets to understand the geographic distribution of hypertension and overweight/obesity in Nepal and their associated factors.</w:t>
      </w:r>
    </w:p>
    <w:p w14:paraId="1D6A30CA" w14:textId="77777777" w:rsidR="00FE282A" w:rsidRPr="00DD596B" w:rsidRDefault="00FE282A" w:rsidP="00873E93">
      <w:pPr>
        <w:spacing w:after="0" w:line="360" w:lineRule="auto"/>
        <w:jc w:val="both"/>
        <w:rPr>
          <w:rFonts w:ascii="Arial" w:hAnsi="Arial" w:cs="Arial"/>
          <w:sz w:val="22"/>
          <w:szCs w:val="22"/>
        </w:rPr>
      </w:pPr>
    </w:p>
    <w:p w14:paraId="74712855"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Methods</w:t>
      </w:r>
    </w:p>
    <w:p w14:paraId="34252FE1"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Study design </w:t>
      </w:r>
    </w:p>
    <w:p w14:paraId="6BC71E54" w14:textId="77777777" w:rsidR="00873E93" w:rsidRPr="00DD596B" w:rsidRDefault="00873E93" w:rsidP="00873E93">
      <w:pPr>
        <w:spacing w:after="0" w:line="360" w:lineRule="auto"/>
        <w:jc w:val="both"/>
        <w:rPr>
          <w:rFonts w:ascii="Arial" w:hAnsi="Arial" w:cs="Arial"/>
          <w:sz w:val="22"/>
          <w:szCs w:val="22"/>
        </w:rPr>
      </w:pPr>
      <w:r w:rsidRPr="00873E93">
        <w:rPr>
          <w:rFonts w:ascii="Arial" w:hAnsi="Arial" w:cs="Arial"/>
          <w:sz w:val="22"/>
          <w:szCs w:val="22"/>
        </w:rPr>
        <w:t xml:space="preserve">This study analyzed secondary data from </w:t>
      </w:r>
      <w:r w:rsidRPr="00DD596B">
        <w:rPr>
          <w:rFonts w:ascii="Arial" w:hAnsi="Arial" w:cs="Arial"/>
          <w:sz w:val="22"/>
          <w:szCs w:val="22"/>
        </w:rPr>
        <w:t>The Demographic and Health Surveys (DHS) Program</w:t>
      </w:r>
    </w:p>
    <w:p w14:paraId="11AA8CE7" w14:textId="53F17E0A" w:rsidR="00873E93" w:rsidRPr="00873E93" w:rsidRDefault="00873E93" w:rsidP="00873E93">
      <w:pPr>
        <w:spacing w:after="0" w:line="360" w:lineRule="auto"/>
        <w:jc w:val="both"/>
        <w:rPr>
          <w:rFonts w:ascii="Arial" w:hAnsi="Arial" w:cs="Arial"/>
          <w:sz w:val="22"/>
          <w:szCs w:val="22"/>
        </w:rPr>
      </w:pPr>
      <w:r w:rsidRPr="00DD596B">
        <w:rPr>
          <w:rFonts w:ascii="Arial" w:hAnsi="Arial" w:cs="Arial"/>
          <w:sz w:val="22"/>
          <w:szCs w:val="22"/>
        </w:rPr>
        <w:t>Nepal (</w:t>
      </w:r>
      <w:r w:rsidRPr="00873E93">
        <w:rPr>
          <w:rFonts w:ascii="Arial" w:hAnsi="Arial" w:cs="Arial"/>
          <w:sz w:val="22"/>
          <w:szCs w:val="22"/>
        </w:rPr>
        <w:t>NDHS</w:t>
      </w:r>
      <w:r w:rsidRPr="00DD596B">
        <w:rPr>
          <w:rFonts w:ascii="Arial" w:hAnsi="Arial" w:cs="Arial"/>
          <w:sz w:val="22"/>
          <w:szCs w:val="22"/>
        </w:rPr>
        <w:t>)</w:t>
      </w:r>
      <w:r w:rsidRPr="00873E93">
        <w:rPr>
          <w:rFonts w:ascii="Arial" w:hAnsi="Arial" w:cs="Arial"/>
          <w:sz w:val="22"/>
          <w:szCs w:val="22"/>
        </w:rPr>
        <w:t>, nationally representative surveys, conducted in 2022</w:t>
      </w:r>
      <w:r w:rsidRPr="00DD596B">
        <w:rPr>
          <w:rFonts w:ascii="Arial" w:hAnsi="Arial" w:cs="Arial"/>
          <w:sz w:val="22"/>
          <w:szCs w:val="22"/>
        </w:rPr>
        <w:t xml:space="preserve"> </w:t>
      </w:r>
      <w:r w:rsidRPr="00873E93">
        <w:rPr>
          <w:rFonts w:ascii="Arial" w:hAnsi="Arial" w:cs="Arial"/>
          <w:sz w:val="22"/>
          <w:szCs w:val="22"/>
        </w:rPr>
        <w:t>in Nepal.</w:t>
      </w:r>
      <w:r w:rsidRPr="00DD596B">
        <w:rPr>
          <w:rFonts w:ascii="Arial" w:hAnsi="Arial" w:cs="Arial"/>
          <w:sz w:val="22"/>
          <w:szCs w:val="22"/>
        </w:rPr>
        <w:fldChar w:fldCharType="begin"/>
      </w:r>
      <w:r w:rsidRPr="00DD596B">
        <w:rPr>
          <w:rFonts w:ascii="Arial" w:hAnsi="Arial" w:cs="Arial"/>
          <w:sz w:val="22"/>
          <w:szCs w:val="22"/>
        </w:rPr>
        <w:instrText xml:space="preserve"> ADDIN ZOTERO_ITEM CSL_CITATION {"citationID":"njNZNceD","properties":{"formattedCitation":"({\\i{}The DHS Program - Country Main}, n.d.)","plainCitation":"(The DHS Program - Country Main, n.d.)","noteIndex":0},"citationItems":[{"id":1569,"uris":["http://zotero.org/groups/5776311/items/C5H5FJWU"],"itemData":{"id":1569,"type":"webpage","title":"The DHS Program - Country Main","URL":"https://dhsprogram.com/Countries/Country-Main.cfm?ctry_id=13&amp;c=Nepal&amp;Country=Nepal&amp;cn=&amp;r=4","accessed":{"date-parts":[["2024",11,26]]},"citation-key":"DHSProgramCountry"}}],"schema":"https://github.com/citation-style-language/schema/raw/master/csl-citation.json"} </w:instrText>
      </w:r>
      <w:r w:rsidRPr="00DD596B">
        <w:rPr>
          <w:rFonts w:ascii="Arial" w:hAnsi="Arial" w:cs="Arial"/>
          <w:sz w:val="22"/>
          <w:szCs w:val="22"/>
        </w:rPr>
        <w:fldChar w:fldCharType="separate"/>
      </w:r>
      <w:r w:rsidRPr="00DD596B">
        <w:rPr>
          <w:rFonts w:ascii="Arial" w:hAnsi="Arial" w:cs="Arial"/>
          <w:kern w:val="0"/>
          <w:sz w:val="22"/>
          <w:szCs w:val="22"/>
        </w:rPr>
        <w:t>(</w:t>
      </w:r>
      <w:r w:rsidRPr="00DD596B">
        <w:rPr>
          <w:rFonts w:ascii="Arial" w:hAnsi="Arial" w:cs="Arial"/>
          <w:i/>
          <w:iCs/>
          <w:kern w:val="0"/>
          <w:sz w:val="22"/>
          <w:szCs w:val="22"/>
        </w:rPr>
        <w:t>The DHS Program - Country Main</w:t>
      </w:r>
      <w:r w:rsidRPr="00DD596B">
        <w:rPr>
          <w:rFonts w:ascii="Arial" w:hAnsi="Arial" w:cs="Arial"/>
          <w:kern w:val="0"/>
          <w:sz w:val="22"/>
          <w:szCs w:val="22"/>
        </w:rPr>
        <w:t>, n.d.)</w:t>
      </w:r>
      <w:r w:rsidRPr="00DD596B">
        <w:rPr>
          <w:rFonts w:ascii="Arial" w:hAnsi="Arial" w:cs="Arial"/>
          <w:sz w:val="22"/>
          <w:szCs w:val="22"/>
        </w:rPr>
        <w:fldChar w:fldCharType="end"/>
      </w:r>
    </w:p>
    <w:p w14:paraId="56EC3C4E" w14:textId="77777777" w:rsidR="00873E93" w:rsidRPr="00873E93" w:rsidRDefault="00873E93" w:rsidP="00873E93">
      <w:pPr>
        <w:spacing w:after="0" w:line="360" w:lineRule="auto"/>
        <w:jc w:val="both"/>
        <w:rPr>
          <w:rFonts w:ascii="Arial" w:hAnsi="Arial" w:cs="Arial"/>
          <w:sz w:val="22"/>
          <w:szCs w:val="22"/>
        </w:rPr>
      </w:pPr>
    </w:p>
    <w:p w14:paraId="3FD253A1"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Study setting </w:t>
      </w:r>
    </w:p>
    <w:p w14:paraId="1B906B97" w14:textId="38305681" w:rsidR="00873E93" w:rsidRPr="00DD596B" w:rsidRDefault="00E2478F" w:rsidP="00E2478F">
      <w:pPr>
        <w:spacing w:after="0" w:line="360" w:lineRule="auto"/>
        <w:jc w:val="both"/>
        <w:rPr>
          <w:rFonts w:ascii="Arial" w:hAnsi="Arial" w:cs="Arial"/>
          <w:sz w:val="22"/>
          <w:szCs w:val="22"/>
        </w:rPr>
      </w:pPr>
      <w:r w:rsidRPr="00DD596B">
        <w:rPr>
          <w:rFonts w:ascii="Arial" w:hAnsi="Arial" w:cs="Arial"/>
          <w:sz w:val="22"/>
          <w:szCs w:val="22"/>
        </w:rPr>
        <w:t xml:space="preserve">Nepal </w:t>
      </w:r>
      <w:r w:rsidRPr="00DD596B">
        <w:rPr>
          <w:rFonts w:ascii="Arial" w:hAnsi="Arial" w:cs="Arial"/>
          <w:sz w:val="22"/>
          <w:szCs w:val="22"/>
        </w:rPr>
        <w:t xml:space="preserve">is </w:t>
      </w:r>
      <w:r w:rsidRPr="00DD596B">
        <w:rPr>
          <w:rFonts w:ascii="Arial" w:hAnsi="Arial" w:cs="Arial"/>
          <w:sz w:val="22"/>
          <w:szCs w:val="22"/>
        </w:rPr>
        <w:t xml:space="preserve">a landlocked nation situated in South Asia (27°42'N to 30°27'N and 80°04'E to 88°12'E) </w:t>
      </w:r>
      <w:r w:rsidR="00A41200" w:rsidRPr="00DD596B">
        <w:rPr>
          <w:rFonts w:ascii="Arial" w:hAnsi="Arial" w:cs="Arial"/>
          <w:sz w:val="22"/>
          <w:szCs w:val="22"/>
        </w:rPr>
        <w:t xml:space="preserve">and </w:t>
      </w:r>
      <w:r w:rsidRPr="00DD596B">
        <w:rPr>
          <w:rFonts w:ascii="Arial" w:hAnsi="Arial" w:cs="Arial"/>
          <w:sz w:val="22"/>
          <w:szCs w:val="22"/>
        </w:rPr>
        <w:t>encompasses a total area of 147,516 km². Following the 2015 constitutional establishment of the Federal Republic, the country's administrative structure comprises seven provinces subdivided into 77 districts. The urban-rural framework consists of 6 metropolitan cities, 11 sub-metropolitan cities, 276 urban municipalities, and 460 rural municipalities.</w:t>
      </w:r>
      <w:r w:rsidR="00A41200" w:rsidRPr="00DD596B">
        <w:rPr>
          <w:rFonts w:ascii="Arial" w:hAnsi="Arial" w:cs="Arial"/>
          <w:sz w:val="22"/>
          <w:szCs w:val="22"/>
        </w:rPr>
        <w:t xml:space="preserve"> </w:t>
      </w:r>
      <w:r w:rsidRPr="00DD596B">
        <w:rPr>
          <w:rFonts w:ascii="Arial" w:hAnsi="Arial" w:cs="Arial"/>
          <w:sz w:val="22"/>
          <w:szCs w:val="22"/>
        </w:rPr>
        <w:t xml:space="preserve">The country's </w:t>
      </w:r>
      <w:r w:rsidR="00A41200" w:rsidRPr="00DD596B">
        <w:rPr>
          <w:rFonts w:ascii="Arial" w:hAnsi="Arial" w:cs="Arial"/>
          <w:sz w:val="22"/>
          <w:szCs w:val="22"/>
        </w:rPr>
        <w:t>physical geography</w:t>
      </w:r>
      <w:r w:rsidRPr="00DD596B">
        <w:rPr>
          <w:rFonts w:ascii="Arial" w:hAnsi="Arial" w:cs="Arial"/>
          <w:sz w:val="22"/>
          <w:szCs w:val="22"/>
        </w:rPr>
        <w:t xml:space="preserve"> is characterized by three distinct ecological zones</w:t>
      </w:r>
      <w:r w:rsidR="00A41200" w:rsidRPr="00DD596B">
        <w:rPr>
          <w:rFonts w:ascii="Arial" w:hAnsi="Arial" w:cs="Arial"/>
          <w:sz w:val="22"/>
          <w:szCs w:val="22"/>
        </w:rPr>
        <w:t xml:space="preserve">, </w:t>
      </w:r>
      <w:r w:rsidRPr="00DD596B">
        <w:rPr>
          <w:rFonts w:ascii="Arial" w:hAnsi="Arial" w:cs="Arial"/>
          <w:sz w:val="22"/>
          <w:szCs w:val="22"/>
        </w:rPr>
        <w:t>the Mountains (elevation &gt;2,000m), Hills (elevation 700-2,000m), and Terai (elevation &lt;700m). Demographic data from the 2021 Census indicates a population of 29,164,578, with a female majority (51.1%) and a modest annual growth rate of 0.92%.</w:t>
      </w:r>
      <w:r w:rsidRPr="00DD596B">
        <w:rPr>
          <w:rFonts w:ascii="Arial" w:hAnsi="Arial" w:cs="Arial"/>
          <w:sz w:val="22"/>
          <w:szCs w:val="22"/>
        </w:rPr>
        <w:fldChar w:fldCharType="begin"/>
      </w:r>
      <w:r w:rsidRPr="00DD596B">
        <w:rPr>
          <w:rFonts w:ascii="Arial" w:hAnsi="Arial" w:cs="Arial"/>
          <w:sz w:val="22"/>
          <w:szCs w:val="22"/>
        </w:rPr>
        <w:instrText xml:space="preserve"> ADDIN ZOTERO_ITEM CSL_CITATION {"citationID":"VijuOm6M","properties":{"formattedCitation":"(Board, n.d.; {\\i{}Population | National Population and and Housing Census 2021 Results}, n.d.)","plainCitation":"(Board, n.d.; Population | National Population and and Housing Census 2021 Results, n.d.)","noteIndex":0},"citationItems":[{"id":1571,"uris":["http://zotero.org/groups/5776311/items/82GDKZ6Q"],"itemData":{"id":1571,"type":"webpage","abstract":"Being a landlocked country,the geography of Nepal is characterized by a stark contrast in elevation with China in North and India in other three direction.","language":"en-gb","title":"Geography of Nepal | Nepal Tourism Board","URL":"https://ntb.gov.np/plan-your-trip/about-nepal/geography","author":[{"family":"Board","given":"Nepal Tourism"}],"accessed":{"date-parts":[["2024",11,26]]},"citation-key":"boardGeographyNepalNepal"}},{"id":1573,"uris":["http://zotero.org/groups/5776311/items/9WUHHZCP"],"itemData":{"id":1573,"type":"webpage","title":"Population | National Population and and Housing Census 2021 Results","URL":"https://censusnepal.cbs.gov.np/results/population","accessed":{"date-parts":[["2024",11,26]]},"citation-key":"PopulationNationalPopulation"}}],"schema":"https://github.com/citation-style-language/schema/raw/master/csl-citation.json"} </w:instrText>
      </w:r>
      <w:r w:rsidRPr="00DD596B">
        <w:rPr>
          <w:rFonts w:ascii="Arial" w:hAnsi="Arial" w:cs="Arial"/>
          <w:sz w:val="22"/>
          <w:szCs w:val="22"/>
        </w:rPr>
        <w:fldChar w:fldCharType="separate"/>
      </w:r>
      <w:r w:rsidRPr="00DD596B">
        <w:rPr>
          <w:rFonts w:ascii="Arial" w:hAnsi="Arial" w:cs="Arial"/>
          <w:kern w:val="0"/>
          <w:sz w:val="22"/>
          <w:szCs w:val="22"/>
        </w:rPr>
        <w:t xml:space="preserve">(Board, n.d.; </w:t>
      </w:r>
      <w:r w:rsidRPr="00DD596B">
        <w:rPr>
          <w:rFonts w:ascii="Arial" w:hAnsi="Arial" w:cs="Arial"/>
          <w:i/>
          <w:iCs/>
          <w:kern w:val="0"/>
          <w:sz w:val="22"/>
          <w:szCs w:val="22"/>
        </w:rPr>
        <w:t xml:space="preserve">Population | National Population and </w:t>
      </w:r>
      <w:proofErr w:type="spellStart"/>
      <w:r w:rsidRPr="00DD596B">
        <w:rPr>
          <w:rFonts w:ascii="Arial" w:hAnsi="Arial" w:cs="Arial"/>
          <w:i/>
          <w:iCs/>
          <w:kern w:val="0"/>
          <w:sz w:val="22"/>
          <w:szCs w:val="22"/>
        </w:rPr>
        <w:t>and</w:t>
      </w:r>
      <w:proofErr w:type="spellEnd"/>
      <w:r w:rsidRPr="00DD596B">
        <w:rPr>
          <w:rFonts w:ascii="Arial" w:hAnsi="Arial" w:cs="Arial"/>
          <w:i/>
          <w:iCs/>
          <w:kern w:val="0"/>
          <w:sz w:val="22"/>
          <w:szCs w:val="22"/>
        </w:rPr>
        <w:t xml:space="preserve"> Housing Census 2021 Results</w:t>
      </w:r>
      <w:r w:rsidRPr="00DD596B">
        <w:rPr>
          <w:rFonts w:ascii="Arial" w:hAnsi="Arial" w:cs="Arial"/>
          <w:kern w:val="0"/>
          <w:sz w:val="22"/>
          <w:szCs w:val="22"/>
        </w:rPr>
        <w:t>, n.d.)</w:t>
      </w:r>
      <w:r w:rsidRPr="00DD596B">
        <w:rPr>
          <w:rFonts w:ascii="Arial" w:hAnsi="Arial" w:cs="Arial"/>
          <w:sz w:val="22"/>
          <w:szCs w:val="22"/>
        </w:rPr>
        <w:fldChar w:fldCharType="end"/>
      </w:r>
    </w:p>
    <w:p w14:paraId="3A83CB43" w14:textId="77777777" w:rsidR="00E2478F" w:rsidRPr="00DD596B" w:rsidRDefault="00E2478F" w:rsidP="00873E93">
      <w:pPr>
        <w:spacing w:after="0" w:line="360" w:lineRule="auto"/>
        <w:jc w:val="both"/>
        <w:rPr>
          <w:rFonts w:ascii="Arial" w:hAnsi="Arial" w:cs="Arial"/>
          <w:sz w:val="22"/>
          <w:szCs w:val="22"/>
        </w:rPr>
      </w:pPr>
    </w:p>
    <w:p w14:paraId="0E7C40E6" w14:textId="15961A83"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Sample and sampling: </w:t>
      </w:r>
    </w:p>
    <w:p w14:paraId="46B858F6" w14:textId="2D57B84B" w:rsidR="00873E93" w:rsidRPr="00DD596B" w:rsidRDefault="00873E93" w:rsidP="00873E93">
      <w:pPr>
        <w:spacing w:after="0" w:line="360" w:lineRule="auto"/>
        <w:jc w:val="both"/>
        <w:rPr>
          <w:rFonts w:ascii="Arial" w:hAnsi="Arial" w:cs="Arial"/>
          <w:sz w:val="22"/>
          <w:szCs w:val="22"/>
        </w:rPr>
      </w:pPr>
      <w:r w:rsidRPr="00873E93">
        <w:rPr>
          <w:rFonts w:ascii="Arial" w:hAnsi="Arial" w:cs="Arial"/>
          <w:sz w:val="22"/>
          <w:szCs w:val="22"/>
        </w:rPr>
        <w:t xml:space="preserve">The NDHS surveys used </w:t>
      </w:r>
      <w:r w:rsidR="00B945D3" w:rsidRPr="00DD596B">
        <w:rPr>
          <w:rFonts w:ascii="Arial" w:hAnsi="Arial" w:cs="Arial"/>
          <w:sz w:val="22"/>
          <w:szCs w:val="22"/>
        </w:rPr>
        <w:t>two-stage</w:t>
      </w:r>
      <w:r w:rsidRPr="00873E93">
        <w:rPr>
          <w:rFonts w:ascii="Arial" w:hAnsi="Arial" w:cs="Arial"/>
          <w:sz w:val="22"/>
          <w:szCs w:val="22"/>
        </w:rPr>
        <w:t xml:space="preserve"> cluster random sampling. The sampling process of NDHS 2022 </w:t>
      </w:r>
      <w:r w:rsidR="00B945D3" w:rsidRPr="00DD596B">
        <w:rPr>
          <w:rFonts w:ascii="Arial" w:hAnsi="Arial" w:cs="Arial"/>
          <w:sz w:val="22"/>
          <w:szCs w:val="22"/>
        </w:rPr>
        <w:t>is</w:t>
      </w:r>
      <w:r w:rsidRPr="00873E93">
        <w:rPr>
          <w:rFonts w:ascii="Arial" w:hAnsi="Arial" w:cs="Arial"/>
          <w:sz w:val="22"/>
          <w:szCs w:val="22"/>
        </w:rPr>
        <w:t xml:space="preserve"> described in the NDHS reports. In 2022, thirty households were selected from each primary sampling unit (total </w:t>
      </w:r>
      <w:r w:rsidR="00B945D3" w:rsidRPr="00DD596B">
        <w:rPr>
          <w:rFonts w:ascii="Arial" w:hAnsi="Arial" w:cs="Arial"/>
          <w:sz w:val="22"/>
          <w:szCs w:val="22"/>
        </w:rPr>
        <w:t>clusters</w:t>
      </w:r>
      <w:r w:rsidRPr="00873E93">
        <w:rPr>
          <w:rFonts w:ascii="Arial" w:hAnsi="Arial" w:cs="Arial"/>
          <w:sz w:val="22"/>
          <w:szCs w:val="22"/>
        </w:rPr>
        <w:t>: 476: 248 from urban and 228 from rural) in the first stage of sampling, resulting in a total sample size of 14,280 households (7,440 from urban and 6,840 from rural areas). Of the total households selected, interviews were conducted in 13</w:t>
      </w:r>
      <w:r w:rsidR="00B945D3" w:rsidRPr="00DD596B">
        <w:rPr>
          <w:rFonts w:ascii="Arial" w:hAnsi="Arial" w:cs="Arial"/>
          <w:sz w:val="22"/>
          <w:szCs w:val="22"/>
        </w:rPr>
        <w:t>,</w:t>
      </w:r>
      <w:r w:rsidRPr="00873E93">
        <w:rPr>
          <w:rFonts w:ascii="Arial" w:hAnsi="Arial" w:cs="Arial"/>
          <w:sz w:val="22"/>
          <w:szCs w:val="22"/>
        </w:rPr>
        <w:t>786 households.  A total of 1</w:t>
      </w:r>
      <w:r w:rsidR="00B945D3" w:rsidRPr="00DD596B">
        <w:rPr>
          <w:rFonts w:ascii="Arial" w:hAnsi="Arial" w:cs="Arial"/>
          <w:sz w:val="22"/>
          <w:szCs w:val="22"/>
        </w:rPr>
        <w:t>4,845</w:t>
      </w:r>
      <w:r w:rsidRPr="00873E93">
        <w:rPr>
          <w:rFonts w:ascii="Arial" w:hAnsi="Arial" w:cs="Arial"/>
          <w:sz w:val="22"/>
          <w:szCs w:val="22"/>
        </w:rPr>
        <w:t xml:space="preserve"> women</w:t>
      </w:r>
      <w:r w:rsidR="00B945D3" w:rsidRPr="00DD596B">
        <w:rPr>
          <w:rFonts w:ascii="Arial" w:hAnsi="Arial" w:cs="Arial"/>
          <w:sz w:val="22"/>
          <w:szCs w:val="22"/>
        </w:rPr>
        <w:t xml:space="preserve"> and 4,913 men</w:t>
      </w:r>
      <w:r w:rsidRPr="00873E93">
        <w:rPr>
          <w:rFonts w:ascii="Arial" w:hAnsi="Arial" w:cs="Arial"/>
          <w:sz w:val="22"/>
          <w:szCs w:val="22"/>
        </w:rPr>
        <w:t xml:space="preserve"> were successfully interviewed with </w:t>
      </w:r>
      <w:r w:rsidR="00A41200" w:rsidRPr="00DD596B">
        <w:rPr>
          <w:rFonts w:ascii="Arial" w:hAnsi="Arial" w:cs="Arial"/>
          <w:sz w:val="22"/>
          <w:szCs w:val="22"/>
        </w:rPr>
        <w:t>a</w:t>
      </w:r>
      <w:r w:rsidRPr="00873E93">
        <w:rPr>
          <w:rFonts w:ascii="Arial" w:hAnsi="Arial" w:cs="Arial"/>
          <w:sz w:val="22"/>
          <w:szCs w:val="22"/>
        </w:rPr>
        <w:t xml:space="preserve"> response rate of 97% </w:t>
      </w:r>
      <w:r w:rsidR="00B945D3" w:rsidRPr="00DD596B">
        <w:rPr>
          <w:rFonts w:ascii="Arial" w:hAnsi="Arial" w:cs="Arial"/>
          <w:sz w:val="22"/>
          <w:szCs w:val="22"/>
        </w:rPr>
        <w:t xml:space="preserve">response rate among women and </w:t>
      </w:r>
      <w:r w:rsidR="00B945D3" w:rsidRPr="00DD596B">
        <w:rPr>
          <w:rFonts w:ascii="Arial" w:hAnsi="Arial" w:cs="Arial"/>
          <w:sz w:val="22"/>
          <w:szCs w:val="22"/>
        </w:rPr>
        <w:t>95%</w:t>
      </w:r>
      <w:r w:rsidR="00B945D3" w:rsidRPr="00DD596B">
        <w:rPr>
          <w:rFonts w:ascii="Arial" w:hAnsi="Arial" w:cs="Arial"/>
          <w:sz w:val="22"/>
          <w:szCs w:val="22"/>
        </w:rPr>
        <w:t xml:space="preserve"> response rate among men participants.</w:t>
      </w:r>
      <w:r w:rsidR="00AD03CA" w:rsidRPr="00DD596B">
        <w:rPr>
          <w:rFonts w:ascii="Arial" w:hAnsi="Arial" w:cs="Arial"/>
          <w:sz w:val="22"/>
          <w:szCs w:val="22"/>
        </w:rPr>
        <w:fldChar w:fldCharType="begin"/>
      </w:r>
      <w:r w:rsidR="00AD03CA" w:rsidRPr="00DD596B">
        <w:rPr>
          <w:rFonts w:ascii="Arial" w:hAnsi="Arial" w:cs="Arial"/>
          <w:sz w:val="22"/>
          <w:szCs w:val="22"/>
        </w:rPr>
        <w:instrText xml:space="preserve"> ADDIN ZOTERO_ITEM CSL_CITATION {"citationID":"UVL0f8rY","properties":{"formattedCitation":"({\\i{}The DHS Program - Nepal: Standard DHS, 2022 Dataset}, n.d.)","plainCitation":"(The DHS Program - Nepal: Standard DHS, 2022 Dataset, n.d.)","noteIndex":0},"citationItems":[{"id":1577,"uris":["http://zotero.org/groups/5776311/items/LYPRCX4F"],"itemData":{"id":1577,"type":"webpage","title":"The DHS Program - Nepal: Standard DHS, 2022 Dataset","URL":"https://dhsprogram.com/data/dataset/Nepal_Standard-DHS_2022.cfm?flag=1","accessed":{"date-parts":[["2024",11,26]]},"citation-key":"DHSProgramNepal"}}],"schema":"https://github.com/citation-style-language/schema/raw/master/csl-citation.json"} </w:instrText>
      </w:r>
      <w:r w:rsidR="00AD03CA" w:rsidRPr="00DD596B">
        <w:rPr>
          <w:rFonts w:ascii="Arial" w:hAnsi="Arial" w:cs="Arial"/>
          <w:sz w:val="22"/>
          <w:szCs w:val="22"/>
        </w:rPr>
        <w:fldChar w:fldCharType="separate"/>
      </w:r>
      <w:r w:rsidR="00AD03CA" w:rsidRPr="00DD596B">
        <w:rPr>
          <w:rFonts w:ascii="Arial" w:hAnsi="Arial" w:cs="Arial"/>
          <w:kern w:val="0"/>
          <w:sz w:val="22"/>
          <w:szCs w:val="22"/>
        </w:rPr>
        <w:t>(</w:t>
      </w:r>
      <w:r w:rsidR="00AD03CA" w:rsidRPr="00DD596B">
        <w:rPr>
          <w:rFonts w:ascii="Arial" w:hAnsi="Arial" w:cs="Arial"/>
          <w:i/>
          <w:iCs/>
          <w:kern w:val="0"/>
          <w:sz w:val="22"/>
          <w:szCs w:val="22"/>
        </w:rPr>
        <w:t>The DHS Program - Nepal: Standard DHS, 2022 Dataset</w:t>
      </w:r>
      <w:r w:rsidR="00AD03CA" w:rsidRPr="00DD596B">
        <w:rPr>
          <w:rFonts w:ascii="Arial" w:hAnsi="Arial" w:cs="Arial"/>
          <w:kern w:val="0"/>
          <w:sz w:val="22"/>
          <w:szCs w:val="22"/>
        </w:rPr>
        <w:t>, n.d.)</w:t>
      </w:r>
      <w:r w:rsidR="00AD03CA" w:rsidRPr="00DD596B">
        <w:rPr>
          <w:rFonts w:ascii="Arial" w:hAnsi="Arial" w:cs="Arial"/>
          <w:sz w:val="22"/>
          <w:szCs w:val="22"/>
        </w:rPr>
        <w:fldChar w:fldCharType="end"/>
      </w:r>
    </w:p>
    <w:p w14:paraId="5DFA89A4" w14:textId="77777777" w:rsidR="00A41200" w:rsidRPr="00873E93" w:rsidRDefault="00A41200" w:rsidP="00873E93">
      <w:pPr>
        <w:spacing w:after="0" w:line="360" w:lineRule="auto"/>
        <w:jc w:val="both"/>
        <w:rPr>
          <w:rFonts w:ascii="Arial" w:hAnsi="Arial" w:cs="Arial"/>
          <w:sz w:val="22"/>
          <w:szCs w:val="22"/>
        </w:rPr>
      </w:pPr>
    </w:p>
    <w:p w14:paraId="2939AFE2"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Data collection: </w:t>
      </w:r>
    </w:p>
    <w:p w14:paraId="6C7DF780" w14:textId="0850001A" w:rsidR="00873E93" w:rsidRPr="00DD596B" w:rsidRDefault="00873E93" w:rsidP="00873E93">
      <w:pPr>
        <w:spacing w:after="0" w:line="360" w:lineRule="auto"/>
        <w:jc w:val="both"/>
        <w:rPr>
          <w:rFonts w:ascii="Arial" w:hAnsi="Arial" w:cs="Arial"/>
          <w:sz w:val="22"/>
          <w:szCs w:val="22"/>
        </w:rPr>
      </w:pPr>
      <w:r w:rsidRPr="00873E93">
        <w:rPr>
          <w:rFonts w:ascii="Arial" w:hAnsi="Arial" w:cs="Arial"/>
          <w:sz w:val="22"/>
          <w:szCs w:val="22"/>
        </w:rPr>
        <w:lastRenderedPageBreak/>
        <w:t>Data collection for</w:t>
      </w:r>
      <w:r w:rsidR="00A41200" w:rsidRPr="00DD596B">
        <w:rPr>
          <w:rFonts w:ascii="Arial" w:hAnsi="Arial" w:cs="Arial"/>
          <w:sz w:val="22"/>
          <w:szCs w:val="22"/>
        </w:rPr>
        <w:t xml:space="preserve"> </w:t>
      </w:r>
      <w:r w:rsidRPr="00873E93">
        <w:rPr>
          <w:rFonts w:ascii="Arial" w:hAnsi="Arial" w:cs="Arial"/>
          <w:sz w:val="22"/>
          <w:szCs w:val="22"/>
        </w:rPr>
        <w:t>NDHS 2022 took place between January 5 and June 22, 2022</w:t>
      </w:r>
      <w:r w:rsidR="00A41200" w:rsidRPr="00DD596B">
        <w:rPr>
          <w:rFonts w:ascii="Arial" w:hAnsi="Arial" w:cs="Arial"/>
          <w:sz w:val="22"/>
          <w:szCs w:val="22"/>
        </w:rPr>
        <w:t>.</w:t>
      </w:r>
      <w:r w:rsidR="00AD03CA" w:rsidRPr="00DD596B">
        <w:rPr>
          <w:rFonts w:ascii="Arial" w:hAnsi="Arial" w:cs="Arial"/>
          <w:sz w:val="22"/>
          <w:szCs w:val="22"/>
        </w:rPr>
        <w:fldChar w:fldCharType="begin"/>
      </w:r>
      <w:r w:rsidR="00AD03CA" w:rsidRPr="00DD596B">
        <w:rPr>
          <w:rFonts w:ascii="Arial" w:hAnsi="Arial" w:cs="Arial"/>
          <w:sz w:val="22"/>
          <w:szCs w:val="22"/>
        </w:rPr>
        <w:instrText xml:space="preserve"> ADDIN ZOTERO_ITEM CSL_CITATION {"citationID":"40GVlvsH","properties":{"formattedCitation":"({\\i{}The DHS Program - Country Main}, n.d.)","plainCitation":"(The DHS Program - Country Main, n.d.)","noteIndex":0},"citationItems":[{"id":1569,"uris":["http://zotero.org/groups/5776311/items/C5H5FJWU"],"itemData":{"id":1569,"type":"webpage","title":"The DHS Program - Country Main","URL":"https://dhsprogram.com/Countries/Country-Main.cfm?ctry_id=13&amp;c=Nepal&amp;Country=Nepal&amp;cn=&amp;r=4","accessed":{"date-parts":[["2024",11,26]]},"citation-key":"DHSProgramCountry"}}],"schema":"https://github.com/citation-style-language/schema/raw/master/csl-citation.json"} </w:instrText>
      </w:r>
      <w:r w:rsidR="00AD03CA" w:rsidRPr="00DD596B">
        <w:rPr>
          <w:rFonts w:ascii="Arial" w:hAnsi="Arial" w:cs="Arial"/>
          <w:sz w:val="22"/>
          <w:szCs w:val="22"/>
        </w:rPr>
        <w:fldChar w:fldCharType="separate"/>
      </w:r>
      <w:r w:rsidR="00AD03CA" w:rsidRPr="00DD596B">
        <w:rPr>
          <w:rFonts w:ascii="Arial" w:hAnsi="Arial" w:cs="Arial"/>
          <w:kern w:val="0"/>
          <w:sz w:val="22"/>
          <w:szCs w:val="22"/>
        </w:rPr>
        <w:t>(</w:t>
      </w:r>
      <w:r w:rsidR="00AD03CA" w:rsidRPr="00DD596B">
        <w:rPr>
          <w:rFonts w:ascii="Arial" w:hAnsi="Arial" w:cs="Arial"/>
          <w:i/>
          <w:iCs/>
          <w:kern w:val="0"/>
          <w:sz w:val="22"/>
          <w:szCs w:val="22"/>
        </w:rPr>
        <w:t>The DHS Program - Country Main</w:t>
      </w:r>
      <w:r w:rsidR="00AD03CA" w:rsidRPr="00DD596B">
        <w:rPr>
          <w:rFonts w:ascii="Arial" w:hAnsi="Arial" w:cs="Arial"/>
          <w:kern w:val="0"/>
          <w:sz w:val="22"/>
          <w:szCs w:val="22"/>
        </w:rPr>
        <w:t>, n.d.)</w:t>
      </w:r>
      <w:r w:rsidR="00AD03CA" w:rsidRPr="00DD596B">
        <w:rPr>
          <w:rFonts w:ascii="Arial" w:hAnsi="Arial" w:cs="Arial"/>
          <w:sz w:val="22"/>
          <w:szCs w:val="22"/>
        </w:rPr>
        <w:fldChar w:fldCharType="end"/>
      </w:r>
    </w:p>
    <w:p w14:paraId="765309E2" w14:textId="77777777" w:rsidR="00A41200" w:rsidRPr="00873E93" w:rsidRDefault="00A41200" w:rsidP="00873E93">
      <w:pPr>
        <w:spacing w:after="0" w:line="360" w:lineRule="auto"/>
        <w:jc w:val="both"/>
        <w:rPr>
          <w:rFonts w:ascii="Arial" w:hAnsi="Arial" w:cs="Arial"/>
          <w:sz w:val="22"/>
          <w:szCs w:val="22"/>
        </w:rPr>
      </w:pPr>
    </w:p>
    <w:p w14:paraId="378CE176"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Measurement of variables</w:t>
      </w:r>
    </w:p>
    <w:p w14:paraId="32B23E5D"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Outcome variable</w:t>
      </w:r>
    </w:p>
    <w:p w14:paraId="5BCBC11C" w14:textId="146A0CFE" w:rsidR="00AD03CA" w:rsidRPr="00DD596B" w:rsidRDefault="00855F9E" w:rsidP="00AD03CA">
      <w:pPr>
        <w:spacing w:after="0" w:line="360" w:lineRule="auto"/>
        <w:jc w:val="both"/>
        <w:rPr>
          <w:rFonts w:ascii="Arial" w:hAnsi="Arial" w:cs="Arial"/>
          <w:sz w:val="22"/>
          <w:szCs w:val="22"/>
        </w:rPr>
      </w:pPr>
      <w:r w:rsidRPr="00DD596B">
        <w:rPr>
          <w:rFonts w:ascii="Arial" w:hAnsi="Arial" w:cs="Arial"/>
          <w:sz w:val="22"/>
          <w:szCs w:val="22"/>
        </w:rPr>
        <w:t xml:space="preserve">This study analyzed two binary outcome variables derived from anthropometric and clinical measurements. Body Mass Index (BMI), along with other anthropometric factors such as height and weight, were extracted from the dataset. Following </w:t>
      </w:r>
      <w:r w:rsidR="00DD279D" w:rsidRPr="00DD596B">
        <w:rPr>
          <w:rFonts w:ascii="Arial" w:hAnsi="Arial" w:cs="Arial"/>
          <w:sz w:val="22"/>
          <w:szCs w:val="22"/>
        </w:rPr>
        <w:t>the Asia pacific classification</w:t>
      </w:r>
      <w:r w:rsidRPr="00DD596B">
        <w:rPr>
          <w:rFonts w:ascii="Arial" w:hAnsi="Arial" w:cs="Arial"/>
          <w:sz w:val="22"/>
          <w:szCs w:val="22"/>
        </w:rPr>
        <w:t xml:space="preserve">, participants were categorized into two binary groups: those with a BMI of 23 kg/m² or higher were coded as '1' (overweight/obese), while those with a BMI of less than 25 kg/m² were coded as '0' (normal/underweight). </w:t>
      </w:r>
      <w:r w:rsidR="00DD279D" w:rsidRPr="00DD596B">
        <w:rPr>
          <w:rFonts w:ascii="Arial" w:hAnsi="Arial" w:cs="Arial"/>
          <w:sz w:val="22"/>
          <w:szCs w:val="22"/>
        </w:rPr>
        <w:fldChar w:fldCharType="begin"/>
      </w:r>
      <w:r w:rsidR="00DD279D" w:rsidRPr="00DD596B">
        <w:rPr>
          <w:rFonts w:ascii="Arial" w:hAnsi="Arial" w:cs="Arial"/>
          <w:sz w:val="22"/>
          <w:szCs w:val="22"/>
        </w:rPr>
        <w:instrText xml:space="preserve"> ADDIN ZOTERO_ITEM CSL_CITATION {"citationID":"fiAPxdip","properties":{"formattedCitation":"(Weir &amp; Jan, 2024)","plainCitation":"(Weir &amp; Jan, 2024)","noteIndex":0},"citationItems":[{"id":1579,"uris":["http://zotero.org/groups/5776311/items/L4P68PIR"],"itemData":{"id":1579,"type":"chapter","abstract":"Body mass index or BMI is a statistical index using a person's weight and height to provide an estimate of body fat in males and females of any age. It is calculated by taking a person's weight, in kilograms, divided by their height, in meters squared, or BMI = weight (in kg)/ height^2 (in m^2). The number generated from this equation is then the individual's BMI number. The National Institute of Health (NIH) now uses BMI to define a person as underweight, normal weight, overweight, or obese instead of traditional height vs. weight charts. These classifications for BMI are in use by the NIH and the World Health Organization (WHO) for White, Hispanic, and Black individuals. The cutoffs underestimate the obesity risk in the Asian and South Asian populations, so their classification has slight alterations. The BMI number and classifications are listed below. However, individual variations do exist, and BMI is insufficient as the sole means of classifying a person as obese or malnourished. In certain populations, like elite athletes and body-builders, an elevated BMI does not directly correlate to their health status due to their increased muscle mass and weight falsely increasing their BMI. Moreover, in the pediatric population, BMI allows comparison between children of the same sex and age. For children, a BMI that is less than the fifth percentile is underweight and above the 95th percentile is considered obese.","call-number":"NBK541070","container-title":"StatPearls","event-place":"Treasure Island (FL)","language":"eng","license":"Copyright © 2024, StatPearls Publishing LLC.","note":"PMID: 31082114","publisher":"StatPearls Publishing","publisher-place":"Treasure Island (FL)","source":"PubMed","title":"BMI Classification Percentile And Cut Off Points","URL":"http://www.ncbi.nlm.nih.gov/books/NBK541070/","author":[{"family":"Weir","given":"Connor B."},{"family":"Jan","given":"Arif"}],"accessed":{"date-parts":[["2024",11,26]]},"issued":{"date-parts":[["2024"]]},"citation-key":"weirBMIClassificationPercentile2024"}}],"schema":"https://github.com/citation-style-language/schema/raw/master/csl-citation.json"} </w:instrText>
      </w:r>
      <w:r w:rsidR="00DD279D" w:rsidRPr="00DD596B">
        <w:rPr>
          <w:rFonts w:ascii="Arial" w:hAnsi="Arial" w:cs="Arial"/>
          <w:sz w:val="22"/>
          <w:szCs w:val="22"/>
        </w:rPr>
        <w:fldChar w:fldCharType="separate"/>
      </w:r>
      <w:r w:rsidR="00DD279D" w:rsidRPr="00DD596B">
        <w:rPr>
          <w:rFonts w:ascii="Arial" w:hAnsi="Arial" w:cs="Arial"/>
          <w:sz w:val="22"/>
          <w:szCs w:val="22"/>
        </w:rPr>
        <w:t>(Weir &amp; Jan, 2024)</w:t>
      </w:r>
      <w:r w:rsidR="00DD279D" w:rsidRPr="00DD596B">
        <w:rPr>
          <w:rFonts w:ascii="Arial" w:hAnsi="Arial" w:cs="Arial"/>
          <w:sz w:val="22"/>
          <w:szCs w:val="22"/>
        </w:rPr>
        <w:fldChar w:fldCharType="end"/>
      </w:r>
    </w:p>
    <w:p w14:paraId="02D5FD02" w14:textId="77777777" w:rsidR="00855F9E" w:rsidRPr="00DD596B" w:rsidRDefault="00855F9E" w:rsidP="00AD03CA">
      <w:pPr>
        <w:spacing w:after="0" w:line="360" w:lineRule="auto"/>
        <w:jc w:val="both"/>
        <w:rPr>
          <w:rFonts w:ascii="Arial" w:hAnsi="Arial" w:cs="Arial"/>
          <w:sz w:val="22"/>
          <w:szCs w:val="22"/>
        </w:rPr>
      </w:pPr>
    </w:p>
    <w:p w14:paraId="4B8A49BD" w14:textId="2C53582A" w:rsidR="00AD03CA" w:rsidRPr="00DD596B" w:rsidRDefault="00855F9E" w:rsidP="00AD03CA">
      <w:pPr>
        <w:spacing w:after="0" w:line="360" w:lineRule="auto"/>
        <w:jc w:val="both"/>
        <w:rPr>
          <w:rFonts w:ascii="Arial" w:hAnsi="Arial" w:cs="Arial"/>
          <w:sz w:val="22"/>
          <w:szCs w:val="22"/>
        </w:rPr>
      </w:pPr>
      <w:r w:rsidRPr="00DD596B">
        <w:rPr>
          <w:rFonts w:ascii="Arial" w:hAnsi="Arial" w:cs="Arial"/>
          <w:sz w:val="22"/>
          <w:szCs w:val="22"/>
        </w:rPr>
        <w:t xml:space="preserve">From the dataset, final systolic and diastolic blood </w:t>
      </w:r>
      <w:r w:rsidR="00AD03CA" w:rsidRPr="00DD596B">
        <w:rPr>
          <w:rFonts w:ascii="Arial" w:hAnsi="Arial" w:cs="Arial"/>
          <w:sz w:val="22"/>
          <w:szCs w:val="22"/>
        </w:rPr>
        <w:t>pressure measurements were</w:t>
      </w:r>
      <w:r w:rsidRPr="00DD596B">
        <w:rPr>
          <w:rFonts w:ascii="Arial" w:hAnsi="Arial" w:cs="Arial"/>
          <w:sz w:val="22"/>
          <w:szCs w:val="22"/>
        </w:rPr>
        <w:t xml:space="preserve"> extracted </w:t>
      </w:r>
      <w:r w:rsidR="00AD03CA" w:rsidRPr="00DD596B">
        <w:rPr>
          <w:rFonts w:ascii="Arial" w:hAnsi="Arial" w:cs="Arial"/>
          <w:sz w:val="22"/>
          <w:szCs w:val="22"/>
        </w:rPr>
        <w:t>Following the</w:t>
      </w:r>
      <w:r w:rsidRPr="00DD596B">
        <w:rPr>
          <w:rFonts w:ascii="Arial" w:hAnsi="Arial" w:cs="Arial"/>
          <w:sz w:val="22"/>
          <w:szCs w:val="22"/>
        </w:rPr>
        <w:t xml:space="preserve"> </w:t>
      </w:r>
      <w:r w:rsidR="00AD03CA" w:rsidRPr="00DD596B">
        <w:rPr>
          <w:rFonts w:ascii="Arial" w:hAnsi="Arial" w:cs="Arial"/>
          <w:sz w:val="22"/>
          <w:szCs w:val="22"/>
        </w:rPr>
        <w:t xml:space="preserve">American Heart </w:t>
      </w:r>
      <w:r w:rsidRPr="00DD596B">
        <w:rPr>
          <w:rFonts w:ascii="Arial" w:hAnsi="Arial" w:cs="Arial"/>
          <w:sz w:val="22"/>
          <w:szCs w:val="22"/>
        </w:rPr>
        <w:t>Association guidelines</w:t>
      </w:r>
      <w:r w:rsidR="00AD03CA" w:rsidRPr="00DD596B">
        <w:rPr>
          <w:rFonts w:ascii="Arial" w:hAnsi="Arial" w:cs="Arial"/>
          <w:sz w:val="22"/>
          <w:szCs w:val="22"/>
        </w:rPr>
        <w:t xml:space="preserve">, participants were classified as hypertensive (coded as '1') if they had a systolic blood pressure ≥130 mmHg and/or diastolic blood pressure ≥80 mmHg. Those with blood pressure below these thresholds were classified as </w:t>
      </w:r>
      <w:r w:rsidR="008E7E44" w:rsidRPr="00DD596B">
        <w:rPr>
          <w:rFonts w:ascii="Arial" w:hAnsi="Arial" w:cs="Arial"/>
          <w:sz w:val="22"/>
          <w:szCs w:val="22"/>
        </w:rPr>
        <w:t>normal</w:t>
      </w:r>
      <w:r w:rsidR="00AD03CA" w:rsidRPr="00DD596B">
        <w:rPr>
          <w:rFonts w:ascii="Arial" w:hAnsi="Arial" w:cs="Arial"/>
          <w:sz w:val="22"/>
          <w:szCs w:val="22"/>
        </w:rPr>
        <w:t xml:space="preserve"> (coded as '0').</w:t>
      </w:r>
      <w:r w:rsidR="00DD279D" w:rsidRPr="00DD596B">
        <w:rPr>
          <w:rFonts w:ascii="Arial" w:hAnsi="Arial" w:cs="Arial"/>
          <w:sz w:val="22"/>
          <w:szCs w:val="22"/>
        </w:rPr>
        <w:fldChar w:fldCharType="begin"/>
      </w:r>
      <w:r w:rsidR="00DD279D" w:rsidRPr="00DD596B">
        <w:rPr>
          <w:rFonts w:ascii="Arial" w:hAnsi="Arial" w:cs="Arial"/>
          <w:sz w:val="22"/>
          <w:szCs w:val="22"/>
        </w:rPr>
        <w:instrText xml:space="preserve"> ADDIN ZOTERO_ITEM CSL_CITATION {"citationID":"iEHzFdsy","properties":{"formattedCitation":"({\\i{}High Blood Pressure&amp;nbsp;}, n.d.)","plainCitation":"(High Blood Pressure&amp;nbsp;, n.d.)","noteIndex":0},"citationItems":[{"id":1582,"uris":["http://zotero.org/groups/5776311/items/D964SIUI"],"itemData":{"id":1582,"type":"webpage","abstract":"What is high blood pressure or hypertension? The American Heart Association provides information on high blood pressure, low blood pressure, and how to monitor, treat and prevent high blood pressure.","container-title":"www.heart.org","language":"en","title":"High Blood Pressure&amp;nbsp;","URL":"https://www.heart.org/en/health-topics/high-blood-pressure","accessed":{"date-parts":[["2024",11,26]]},"citation-key":"HighBloodPressurenbsp"}}],"schema":"https://github.com/citation-style-language/schema/raw/master/csl-citation.json"} </w:instrText>
      </w:r>
      <w:r w:rsidR="00DD279D" w:rsidRPr="00DD596B">
        <w:rPr>
          <w:rFonts w:ascii="Arial" w:hAnsi="Arial" w:cs="Arial"/>
          <w:sz w:val="22"/>
          <w:szCs w:val="22"/>
        </w:rPr>
        <w:fldChar w:fldCharType="separate"/>
      </w:r>
      <w:r w:rsidR="00DD279D" w:rsidRPr="00DD596B">
        <w:rPr>
          <w:rFonts w:ascii="Arial" w:hAnsi="Arial" w:cs="Arial"/>
          <w:kern w:val="0"/>
          <w:sz w:val="22"/>
          <w:szCs w:val="22"/>
        </w:rPr>
        <w:t>(</w:t>
      </w:r>
      <w:r w:rsidR="00DD279D" w:rsidRPr="00DD596B">
        <w:rPr>
          <w:rFonts w:ascii="Arial" w:hAnsi="Arial" w:cs="Arial"/>
          <w:i/>
          <w:iCs/>
          <w:kern w:val="0"/>
          <w:sz w:val="22"/>
          <w:szCs w:val="22"/>
        </w:rPr>
        <w:t xml:space="preserve">High Blood </w:t>
      </w:r>
      <w:proofErr w:type="spellStart"/>
      <w:r w:rsidR="00DD279D" w:rsidRPr="00DD596B">
        <w:rPr>
          <w:rFonts w:ascii="Arial" w:hAnsi="Arial" w:cs="Arial"/>
          <w:i/>
          <w:iCs/>
          <w:kern w:val="0"/>
          <w:sz w:val="22"/>
          <w:szCs w:val="22"/>
        </w:rPr>
        <w:t>Pressure&amp;nbsp</w:t>
      </w:r>
      <w:proofErr w:type="spellEnd"/>
      <w:r w:rsidR="00DD279D" w:rsidRPr="00DD596B">
        <w:rPr>
          <w:rFonts w:ascii="Arial" w:hAnsi="Arial" w:cs="Arial"/>
          <w:i/>
          <w:iCs/>
          <w:kern w:val="0"/>
          <w:sz w:val="22"/>
          <w:szCs w:val="22"/>
        </w:rPr>
        <w:t>;</w:t>
      </w:r>
      <w:r w:rsidR="00DD279D" w:rsidRPr="00DD596B">
        <w:rPr>
          <w:rFonts w:ascii="Arial" w:hAnsi="Arial" w:cs="Arial"/>
          <w:kern w:val="0"/>
          <w:sz w:val="22"/>
          <w:szCs w:val="22"/>
        </w:rPr>
        <w:t>, n.d.)</w:t>
      </w:r>
      <w:r w:rsidR="00DD279D" w:rsidRPr="00DD596B">
        <w:rPr>
          <w:rFonts w:ascii="Arial" w:hAnsi="Arial" w:cs="Arial"/>
          <w:sz w:val="22"/>
          <w:szCs w:val="22"/>
        </w:rPr>
        <w:fldChar w:fldCharType="end"/>
      </w:r>
    </w:p>
    <w:p w14:paraId="74F4CB22" w14:textId="77777777" w:rsidR="00AD03CA" w:rsidRPr="00873E93" w:rsidRDefault="00AD03CA" w:rsidP="00873E93">
      <w:pPr>
        <w:spacing w:after="0" w:line="360" w:lineRule="auto"/>
        <w:jc w:val="both"/>
        <w:rPr>
          <w:rFonts w:ascii="Arial" w:hAnsi="Arial" w:cs="Arial"/>
          <w:sz w:val="22"/>
          <w:szCs w:val="22"/>
        </w:rPr>
      </w:pPr>
    </w:p>
    <w:p w14:paraId="47164C57"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Independent variables</w:t>
      </w:r>
    </w:p>
    <w:p w14:paraId="44BE36A1" w14:textId="340CF2F0" w:rsidR="00873E93" w:rsidRPr="00DD596B" w:rsidRDefault="00873E93" w:rsidP="00873E93">
      <w:pPr>
        <w:spacing w:after="0" w:line="360" w:lineRule="auto"/>
        <w:jc w:val="both"/>
        <w:rPr>
          <w:rFonts w:ascii="Arial" w:hAnsi="Arial" w:cs="Arial"/>
          <w:sz w:val="22"/>
          <w:szCs w:val="22"/>
        </w:rPr>
      </w:pPr>
      <w:r w:rsidRPr="00873E93">
        <w:rPr>
          <w:rFonts w:ascii="Arial" w:hAnsi="Arial" w:cs="Arial"/>
          <w:sz w:val="22"/>
          <w:szCs w:val="22"/>
        </w:rPr>
        <w:t>Given the literature and availability of variables across the DHSs, we used</w:t>
      </w:r>
      <w:r w:rsidR="00615F19" w:rsidRPr="00DD596B">
        <w:rPr>
          <w:rFonts w:ascii="Arial" w:hAnsi="Arial" w:cs="Arial"/>
          <w:sz w:val="22"/>
          <w:szCs w:val="22"/>
        </w:rPr>
        <w:t xml:space="preserve"> </w:t>
      </w:r>
      <w:r w:rsidR="00615F19" w:rsidRPr="00DD596B">
        <w:rPr>
          <w:rFonts w:ascii="Arial" w:hAnsi="Arial" w:cs="Arial"/>
          <w:sz w:val="22"/>
          <w:szCs w:val="22"/>
        </w:rPr>
        <w:t>respondents' sex</w:t>
      </w:r>
      <w:r w:rsidRPr="00873E93">
        <w:rPr>
          <w:rFonts w:ascii="Arial" w:hAnsi="Arial" w:cs="Arial"/>
          <w:sz w:val="22"/>
          <w:szCs w:val="22"/>
        </w:rPr>
        <w:t xml:space="preserve"> </w:t>
      </w:r>
      <w:r w:rsidR="00DD279D" w:rsidRPr="00DD596B">
        <w:rPr>
          <w:rFonts w:ascii="Arial" w:hAnsi="Arial" w:cs="Arial"/>
          <w:sz w:val="22"/>
          <w:szCs w:val="22"/>
        </w:rPr>
        <w:t>respondents</w:t>
      </w:r>
      <w:r w:rsidRPr="00873E93">
        <w:rPr>
          <w:rFonts w:ascii="Arial" w:hAnsi="Arial" w:cs="Arial"/>
          <w:sz w:val="22"/>
          <w:szCs w:val="22"/>
        </w:rPr>
        <w:t xml:space="preserve"> age, </w:t>
      </w:r>
      <w:r w:rsidR="00615F19" w:rsidRPr="00DD596B">
        <w:rPr>
          <w:rFonts w:ascii="Arial" w:hAnsi="Arial" w:cs="Arial"/>
          <w:sz w:val="22"/>
          <w:szCs w:val="22"/>
        </w:rPr>
        <w:t xml:space="preserve">marital status, </w:t>
      </w:r>
      <w:r w:rsidRPr="00873E93">
        <w:rPr>
          <w:rFonts w:ascii="Arial" w:hAnsi="Arial" w:cs="Arial"/>
          <w:sz w:val="22"/>
          <w:szCs w:val="22"/>
        </w:rPr>
        <w:t xml:space="preserve">educational level, wealth index, </w:t>
      </w:r>
      <w:r w:rsidR="00615F19" w:rsidRPr="00DD596B">
        <w:rPr>
          <w:rFonts w:ascii="Arial" w:hAnsi="Arial" w:cs="Arial"/>
          <w:sz w:val="22"/>
          <w:szCs w:val="22"/>
        </w:rPr>
        <w:t>residency region</w:t>
      </w:r>
      <w:r w:rsidRPr="00873E93">
        <w:rPr>
          <w:rFonts w:ascii="Arial" w:hAnsi="Arial" w:cs="Arial"/>
          <w:sz w:val="22"/>
          <w:szCs w:val="22"/>
        </w:rPr>
        <w:t>,</w:t>
      </w:r>
      <w:r w:rsidR="00615F19" w:rsidRPr="00DD596B">
        <w:rPr>
          <w:rFonts w:ascii="Arial" w:hAnsi="Arial" w:cs="Arial"/>
          <w:sz w:val="22"/>
          <w:szCs w:val="22"/>
        </w:rPr>
        <w:t xml:space="preserve"> and ecological region.</w:t>
      </w:r>
    </w:p>
    <w:p w14:paraId="55CCD3E2" w14:textId="77777777" w:rsidR="001453F1" w:rsidRPr="00DD596B" w:rsidRDefault="001453F1" w:rsidP="00873E93">
      <w:pPr>
        <w:spacing w:after="0" w:line="360" w:lineRule="auto"/>
        <w:jc w:val="both"/>
        <w:rPr>
          <w:rFonts w:ascii="Arial" w:hAnsi="Arial" w:cs="Arial"/>
          <w:sz w:val="22"/>
          <w:szCs w:val="22"/>
        </w:rPr>
      </w:pPr>
    </w:p>
    <w:p w14:paraId="5C5E22A5" w14:textId="34304CC4" w:rsidR="001453F1" w:rsidRPr="00DD596B" w:rsidRDefault="001453F1" w:rsidP="001453F1">
      <w:pPr>
        <w:spacing w:after="0" w:line="360" w:lineRule="auto"/>
        <w:jc w:val="both"/>
        <w:rPr>
          <w:rFonts w:ascii="Arial" w:hAnsi="Arial" w:cs="Arial"/>
          <w:sz w:val="22"/>
          <w:szCs w:val="22"/>
        </w:rPr>
      </w:pPr>
      <w:r w:rsidRPr="00DD596B">
        <w:rPr>
          <w:rFonts w:ascii="Arial" w:hAnsi="Arial" w:cs="Arial"/>
          <w:b/>
          <w:bCs/>
          <w:sz w:val="22"/>
          <w:szCs w:val="22"/>
        </w:rPr>
        <w:t xml:space="preserve">Data Processing </w:t>
      </w:r>
    </w:p>
    <w:p w14:paraId="18812079" w14:textId="16F1E9D6" w:rsidR="001453F1" w:rsidRPr="00DD596B" w:rsidRDefault="001453F1" w:rsidP="001453F1">
      <w:pPr>
        <w:spacing w:after="0" w:line="360" w:lineRule="auto"/>
        <w:jc w:val="both"/>
        <w:rPr>
          <w:rFonts w:ascii="Arial" w:hAnsi="Arial" w:cs="Arial"/>
          <w:sz w:val="22"/>
          <w:szCs w:val="22"/>
        </w:rPr>
      </w:pPr>
      <w:r w:rsidRPr="00DD596B">
        <w:rPr>
          <w:rFonts w:ascii="Arial" w:hAnsi="Arial" w:cs="Arial"/>
          <w:sz w:val="22"/>
          <w:szCs w:val="22"/>
        </w:rPr>
        <w:t>In accordance with DHS guidelines, the dataset was initially downloaded and stratified by gender, and processed separately for male and female-specific variables. Male-specific and female-specific variables were carefully separated before being standardized and merged into a unified dataset for comprehensive analysis.</w:t>
      </w:r>
      <w:r w:rsidR="009015F2" w:rsidRPr="00DD596B">
        <w:rPr>
          <w:rFonts w:ascii="Arial" w:hAnsi="Arial" w:cs="Arial"/>
          <w:sz w:val="22"/>
          <w:szCs w:val="22"/>
        </w:rPr>
        <w:t xml:space="preserve"> </w:t>
      </w:r>
      <w:r w:rsidRPr="00DD596B">
        <w:rPr>
          <w:rFonts w:ascii="Arial" w:hAnsi="Arial" w:cs="Arial"/>
          <w:sz w:val="22"/>
          <w:szCs w:val="22"/>
        </w:rPr>
        <w:t xml:space="preserve">The anthropometric measurements underwent systematic standardization procedures. Body Mass Index (BMI) values were adjusted according to DHS guidelines. Weight measurements were converted using proper decimal placement as specified by DHS, while height measurements were transformed to meters following DHS guidelines. After these adjustments, BMI was categorized into a binary variable using Asian-specific cut-off points: BMI ≥23 kg/m² was coded as '1' to represent overweight or obese status, while BMI &lt;23 kg/m² was coded as '0' for normal. Blood pressure measurements were processed according to the </w:t>
      </w:r>
      <w:r w:rsidRPr="00DD596B">
        <w:rPr>
          <w:rFonts w:ascii="Arial" w:hAnsi="Arial" w:cs="Arial"/>
          <w:sz w:val="22"/>
          <w:szCs w:val="22"/>
        </w:rPr>
        <w:lastRenderedPageBreak/>
        <w:t>American College of Cardiology/American Heart Association guidelines to create a binary hypertension variable. Participants with a systolic blood pressure of ≥130 mmHg and/or diastolic blood pressure of ≥80 mmHg were classified as hypertensive (coded as '1'), while those below these thresholds were coded as '0'.</w:t>
      </w:r>
    </w:p>
    <w:p w14:paraId="7AF3D4DD" w14:textId="77777777" w:rsidR="001453F1" w:rsidRPr="00DD596B" w:rsidRDefault="001453F1" w:rsidP="001453F1">
      <w:pPr>
        <w:spacing w:after="0" w:line="360" w:lineRule="auto"/>
        <w:jc w:val="both"/>
        <w:rPr>
          <w:rFonts w:ascii="Arial" w:hAnsi="Arial" w:cs="Arial"/>
          <w:sz w:val="22"/>
          <w:szCs w:val="22"/>
        </w:rPr>
      </w:pPr>
    </w:p>
    <w:p w14:paraId="31F4F7A3" w14:textId="650F1CF5" w:rsidR="00615F19" w:rsidRPr="00DD596B" w:rsidRDefault="001453F1" w:rsidP="001453F1">
      <w:pPr>
        <w:spacing w:after="0" w:line="360" w:lineRule="auto"/>
        <w:jc w:val="both"/>
        <w:rPr>
          <w:rFonts w:ascii="Arial" w:hAnsi="Arial" w:cs="Arial"/>
          <w:sz w:val="22"/>
          <w:szCs w:val="22"/>
        </w:rPr>
      </w:pPr>
      <w:r w:rsidRPr="00DD596B">
        <w:rPr>
          <w:rFonts w:ascii="Arial" w:hAnsi="Arial" w:cs="Arial"/>
          <w:sz w:val="22"/>
          <w:szCs w:val="22"/>
        </w:rPr>
        <w:t>Demographic variables were categorized to facilitate analysis and interpretation. Age was stratified into three groups: young adults (16-39 years), middle-aged adults (40-59 years), and older adults (60+ years). Education levels were classified into three categories: "No education" (including those who responded 'don't know'), "Basic Education" (comprising lower and upper basic education, grades 1-8), and "Secondary or Higher" (including lower secondary, higher secondary, and above). Marital status was condensed into three categories: "Married," "Unmarried," and "Divorced/Separated/Widowed." Wealth status was derived from the DHS wealth index and categorized as "Poor" (combining the poorest and poorer quintiles), "Middle" (middle quintile), and "Rich" (combining the richer and richest quintiles).</w:t>
      </w:r>
      <w:r w:rsidR="009015F2" w:rsidRPr="00DD596B">
        <w:rPr>
          <w:rFonts w:ascii="Arial" w:hAnsi="Arial" w:cs="Arial"/>
          <w:sz w:val="22"/>
          <w:szCs w:val="22"/>
        </w:rPr>
        <w:t xml:space="preserve"> </w:t>
      </w:r>
      <w:r w:rsidRPr="00DD596B">
        <w:rPr>
          <w:rFonts w:ascii="Arial" w:hAnsi="Arial" w:cs="Arial"/>
          <w:sz w:val="22"/>
          <w:szCs w:val="22"/>
        </w:rPr>
        <w:t>To ensure data quality and completeness, the final analytical dataset included only cases where either BMI or blood pressure measurements were available; records missing both measurements were excluded from the analysis.</w:t>
      </w:r>
    </w:p>
    <w:p w14:paraId="586257F8" w14:textId="77777777" w:rsidR="00615F19" w:rsidRPr="00873E93" w:rsidRDefault="00615F19" w:rsidP="00873E93">
      <w:pPr>
        <w:spacing w:after="0" w:line="360" w:lineRule="auto"/>
        <w:jc w:val="both"/>
        <w:rPr>
          <w:rFonts w:ascii="Arial" w:hAnsi="Arial" w:cs="Arial"/>
          <w:sz w:val="22"/>
          <w:szCs w:val="22"/>
        </w:rPr>
      </w:pPr>
    </w:p>
    <w:p w14:paraId="5042A7FD" w14:textId="77777777" w:rsidR="00873E93" w:rsidRPr="00873E93" w:rsidRDefault="00873E93" w:rsidP="00873E93">
      <w:pPr>
        <w:spacing w:after="0" w:line="360" w:lineRule="auto"/>
        <w:jc w:val="both"/>
        <w:rPr>
          <w:rFonts w:ascii="Arial" w:hAnsi="Arial" w:cs="Arial"/>
          <w:b/>
          <w:bCs/>
          <w:sz w:val="22"/>
          <w:szCs w:val="22"/>
        </w:rPr>
      </w:pPr>
      <w:r w:rsidRPr="00873E93">
        <w:rPr>
          <w:rFonts w:ascii="Arial" w:hAnsi="Arial" w:cs="Arial"/>
          <w:b/>
          <w:bCs/>
          <w:sz w:val="22"/>
          <w:szCs w:val="22"/>
        </w:rPr>
        <w:t>Statistical analysis</w:t>
      </w:r>
    </w:p>
    <w:p w14:paraId="4B87C6C8" w14:textId="48483180" w:rsidR="005B0602" w:rsidRPr="00DD596B" w:rsidRDefault="00873E93" w:rsidP="005B0602">
      <w:pPr>
        <w:spacing w:after="0" w:line="360" w:lineRule="auto"/>
        <w:jc w:val="both"/>
        <w:rPr>
          <w:rFonts w:ascii="Arial" w:hAnsi="Arial" w:cs="Arial"/>
          <w:sz w:val="22"/>
          <w:szCs w:val="22"/>
        </w:rPr>
      </w:pPr>
      <w:r w:rsidRPr="00873E93">
        <w:rPr>
          <w:rFonts w:ascii="Arial" w:hAnsi="Arial" w:cs="Arial"/>
          <w:sz w:val="22"/>
          <w:szCs w:val="22"/>
        </w:rPr>
        <w:t>We used R version 4.</w:t>
      </w:r>
      <w:r w:rsidR="005B0602" w:rsidRPr="00DD596B">
        <w:rPr>
          <w:rFonts w:ascii="Arial" w:hAnsi="Arial" w:cs="Arial"/>
          <w:sz w:val="22"/>
          <w:szCs w:val="22"/>
        </w:rPr>
        <w:t>4</w:t>
      </w:r>
      <w:r w:rsidRPr="00873E93">
        <w:rPr>
          <w:rFonts w:ascii="Arial" w:hAnsi="Arial" w:cs="Arial"/>
          <w:sz w:val="22"/>
          <w:szCs w:val="22"/>
        </w:rPr>
        <w:t>.</w:t>
      </w:r>
      <w:r w:rsidR="005B0602" w:rsidRPr="00DD596B">
        <w:rPr>
          <w:rFonts w:ascii="Arial" w:hAnsi="Arial" w:cs="Arial"/>
          <w:sz w:val="22"/>
          <w:szCs w:val="22"/>
        </w:rPr>
        <w:t>1</w:t>
      </w:r>
      <w:r w:rsidRPr="00873E93">
        <w:rPr>
          <w:rFonts w:ascii="Arial" w:hAnsi="Arial" w:cs="Arial"/>
          <w:sz w:val="22"/>
          <w:szCs w:val="22"/>
        </w:rPr>
        <w:t xml:space="preserve"> for pre-analytical processing and statistical analysis.</w:t>
      </w:r>
      <w:r w:rsidR="005B0602" w:rsidRPr="00DD596B">
        <w:rPr>
          <w:rFonts w:ascii="Arial" w:hAnsi="Arial" w:cs="Arial"/>
          <w:sz w:val="22"/>
          <w:szCs w:val="22"/>
        </w:rPr>
        <w:t xml:space="preserve"> </w:t>
      </w:r>
      <w:r w:rsidR="005B0602" w:rsidRPr="00DD596B">
        <w:rPr>
          <w:rFonts w:ascii="Arial" w:hAnsi="Arial" w:cs="Arial"/>
          <w:sz w:val="22"/>
          <w:szCs w:val="22"/>
        </w:rPr>
        <w:t xml:space="preserve">The analysis employed a complex survey design approach using the survey package in R to account for the DHS sampling methodology. Survey weights and primary sampling units were incorporated into the survey design object to ensure nationally representative estimates. Descriptive statistics were calculated for both categorical and continuous variables. For categorical variables, weighted </w:t>
      </w:r>
      <w:r w:rsidR="005B0602" w:rsidRPr="00DD596B">
        <w:rPr>
          <w:rFonts w:ascii="Arial" w:hAnsi="Arial" w:cs="Arial"/>
          <w:sz w:val="22"/>
          <w:szCs w:val="22"/>
        </w:rPr>
        <w:t xml:space="preserve">counts and </w:t>
      </w:r>
      <w:r w:rsidR="005B0602" w:rsidRPr="00DD596B">
        <w:rPr>
          <w:rFonts w:ascii="Arial" w:hAnsi="Arial" w:cs="Arial"/>
          <w:sz w:val="22"/>
          <w:szCs w:val="22"/>
        </w:rPr>
        <w:t xml:space="preserve">percentages were </w:t>
      </w:r>
      <w:r w:rsidR="005B0602" w:rsidRPr="00DD596B">
        <w:rPr>
          <w:rFonts w:ascii="Arial" w:hAnsi="Arial" w:cs="Arial"/>
          <w:sz w:val="22"/>
          <w:szCs w:val="22"/>
        </w:rPr>
        <w:t>calculated and presented</w:t>
      </w:r>
      <w:r w:rsidR="005B0602" w:rsidRPr="00DD596B">
        <w:rPr>
          <w:rFonts w:ascii="Arial" w:hAnsi="Arial" w:cs="Arial"/>
          <w:sz w:val="22"/>
          <w:szCs w:val="22"/>
        </w:rPr>
        <w:t>, while means and standard deviations were calculated for continuous variables.</w:t>
      </w:r>
    </w:p>
    <w:p w14:paraId="32E1B40F" w14:textId="77777777" w:rsidR="005B0602" w:rsidRPr="00DD596B" w:rsidRDefault="005B0602" w:rsidP="005B0602">
      <w:pPr>
        <w:spacing w:after="0" w:line="360" w:lineRule="auto"/>
        <w:jc w:val="both"/>
        <w:rPr>
          <w:rFonts w:ascii="Arial" w:hAnsi="Arial" w:cs="Arial"/>
          <w:sz w:val="22"/>
          <w:szCs w:val="22"/>
        </w:rPr>
      </w:pPr>
    </w:p>
    <w:p w14:paraId="28336529" w14:textId="6814ECB3" w:rsidR="00873E93" w:rsidRPr="00DD596B" w:rsidRDefault="005B0602" w:rsidP="005B0602">
      <w:pPr>
        <w:spacing w:after="0" w:line="360" w:lineRule="auto"/>
        <w:jc w:val="both"/>
        <w:rPr>
          <w:rFonts w:ascii="Arial" w:hAnsi="Arial" w:cs="Arial"/>
          <w:sz w:val="22"/>
          <w:szCs w:val="22"/>
        </w:rPr>
      </w:pPr>
      <w:r w:rsidRPr="00DD596B">
        <w:rPr>
          <w:rFonts w:ascii="Arial" w:hAnsi="Arial" w:cs="Arial"/>
          <w:sz w:val="22"/>
          <w:szCs w:val="22"/>
        </w:rPr>
        <w:t>Two separate multivariable logistic regression models were fitted using the survey-weighted model. The first model examined factors associated with overweight/obesity</w:t>
      </w:r>
      <w:r w:rsidRPr="00DD596B">
        <w:rPr>
          <w:rFonts w:ascii="Arial" w:hAnsi="Arial" w:cs="Arial"/>
          <w:sz w:val="22"/>
          <w:szCs w:val="22"/>
        </w:rPr>
        <w:t xml:space="preserve">, </w:t>
      </w:r>
      <w:r w:rsidRPr="00DD596B">
        <w:rPr>
          <w:rFonts w:ascii="Arial" w:hAnsi="Arial" w:cs="Arial"/>
          <w:sz w:val="22"/>
          <w:szCs w:val="22"/>
        </w:rPr>
        <w:t xml:space="preserve">while the second investigated factors associated with hypertension. Both models included </w:t>
      </w:r>
      <w:r w:rsidRPr="00DD596B">
        <w:rPr>
          <w:rFonts w:ascii="Arial" w:hAnsi="Arial" w:cs="Arial"/>
          <w:sz w:val="22"/>
          <w:szCs w:val="22"/>
        </w:rPr>
        <w:t>other covariates.</w:t>
      </w:r>
      <w:r w:rsidRPr="00DD596B">
        <w:rPr>
          <w:rFonts w:ascii="Arial" w:hAnsi="Arial" w:cs="Arial"/>
          <w:sz w:val="22"/>
          <w:szCs w:val="22"/>
        </w:rPr>
        <w:t xml:space="preserve"> Model diagnostics included variance inflation factor (VIF) analysis to assess multicollinearity</w:t>
      </w:r>
      <w:r w:rsidR="009F0E5A">
        <w:rPr>
          <w:rFonts w:ascii="Arial" w:hAnsi="Arial" w:cs="Arial"/>
          <w:sz w:val="22"/>
          <w:szCs w:val="22"/>
        </w:rPr>
        <w:t xml:space="preserve">. </w:t>
      </w:r>
      <w:r w:rsidRPr="00DD596B">
        <w:rPr>
          <w:rFonts w:ascii="Arial" w:hAnsi="Arial" w:cs="Arial"/>
          <w:sz w:val="22"/>
          <w:szCs w:val="22"/>
        </w:rPr>
        <w:t>Results are presented as adjusted odds ratios (OR) with 95% confidence intervals.</w:t>
      </w:r>
    </w:p>
    <w:p w14:paraId="518E04DD" w14:textId="77777777" w:rsidR="005B0602" w:rsidRPr="00DD596B" w:rsidRDefault="005B0602" w:rsidP="005B0602">
      <w:pPr>
        <w:spacing w:after="0" w:line="360" w:lineRule="auto"/>
        <w:jc w:val="both"/>
        <w:rPr>
          <w:rFonts w:ascii="Arial" w:hAnsi="Arial" w:cs="Arial"/>
          <w:sz w:val="22"/>
          <w:szCs w:val="22"/>
        </w:rPr>
      </w:pPr>
    </w:p>
    <w:p w14:paraId="29634C4F" w14:textId="5A848CB0" w:rsidR="005B0602" w:rsidRPr="00873E93" w:rsidRDefault="005B0602" w:rsidP="005B0602">
      <w:pPr>
        <w:spacing w:after="0" w:line="360" w:lineRule="auto"/>
        <w:jc w:val="both"/>
        <w:rPr>
          <w:rFonts w:ascii="Arial" w:hAnsi="Arial" w:cs="Arial"/>
          <w:b/>
          <w:bCs/>
          <w:sz w:val="22"/>
          <w:szCs w:val="22"/>
        </w:rPr>
      </w:pPr>
      <w:r w:rsidRPr="00DD596B">
        <w:rPr>
          <w:rFonts w:ascii="Arial" w:hAnsi="Arial" w:cs="Arial"/>
          <w:b/>
          <w:bCs/>
          <w:sz w:val="22"/>
          <w:szCs w:val="22"/>
        </w:rPr>
        <w:t>Geospatial Analysis</w:t>
      </w:r>
    </w:p>
    <w:p w14:paraId="37AF286C" w14:textId="4E3309A4" w:rsidR="008735BD" w:rsidRPr="00DD596B" w:rsidRDefault="008735BD" w:rsidP="008735BD">
      <w:pPr>
        <w:spacing w:after="0" w:line="360" w:lineRule="auto"/>
        <w:jc w:val="both"/>
        <w:rPr>
          <w:rFonts w:ascii="Arial" w:hAnsi="Arial" w:cs="Arial"/>
          <w:sz w:val="22"/>
          <w:szCs w:val="22"/>
        </w:rPr>
      </w:pPr>
      <w:r w:rsidRPr="00DD596B">
        <w:rPr>
          <w:rFonts w:ascii="Arial" w:hAnsi="Arial" w:cs="Arial"/>
          <w:sz w:val="22"/>
          <w:szCs w:val="22"/>
        </w:rPr>
        <w:lastRenderedPageBreak/>
        <w:t xml:space="preserve">To examine the spatial distribution and clustering of overweight/obesity and hypertension across Nepal, we conducted </w:t>
      </w:r>
      <w:r w:rsidRPr="00DD596B">
        <w:rPr>
          <w:rFonts w:ascii="Arial" w:hAnsi="Arial" w:cs="Arial"/>
          <w:sz w:val="22"/>
          <w:szCs w:val="22"/>
        </w:rPr>
        <w:t xml:space="preserve">a </w:t>
      </w:r>
      <w:r w:rsidRPr="00DD596B">
        <w:rPr>
          <w:rFonts w:ascii="Arial" w:hAnsi="Arial" w:cs="Arial"/>
          <w:sz w:val="22"/>
          <w:szCs w:val="22"/>
        </w:rPr>
        <w:t xml:space="preserve">spatial analysis using </w:t>
      </w:r>
      <w:proofErr w:type="spellStart"/>
      <w:r w:rsidRPr="00DD596B">
        <w:rPr>
          <w:rFonts w:ascii="Arial" w:hAnsi="Arial" w:cs="Arial"/>
          <w:sz w:val="22"/>
          <w:szCs w:val="22"/>
        </w:rPr>
        <w:t>SaTScan</w:t>
      </w:r>
      <w:proofErr w:type="spellEnd"/>
      <w:r w:rsidRPr="00DD596B">
        <w:rPr>
          <w:rFonts w:ascii="Arial" w:hAnsi="Arial" w:cs="Arial"/>
          <w:sz w:val="22"/>
          <w:szCs w:val="22"/>
        </w:rPr>
        <w:t xml:space="preserve"> software</w:t>
      </w:r>
      <w:r w:rsidRPr="00DD596B">
        <w:rPr>
          <w:rFonts w:ascii="Arial" w:hAnsi="Arial" w:cs="Arial"/>
          <w:sz w:val="22"/>
          <w:szCs w:val="22"/>
        </w:rPr>
        <w:t xml:space="preserve"> </w:t>
      </w:r>
      <w:r w:rsidRPr="00DD596B">
        <w:rPr>
          <w:rFonts w:ascii="Arial" w:hAnsi="Arial" w:cs="Arial"/>
          <w:b/>
          <w:bCs/>
          <w:sz w:val="22"/>
          <w:szCs w:val="22"/>
        </w:rPr>
        <w:t>version()</w:t>
      </w:r>
      <w:r w:rsidRPr="00DD596B">
        <w:rPr>
          <w:rFonts w:ascii="Arial" w:hAnsi="Arial" w:cs="Arial"/>
          <w:sz w:val="22"/>
          <w:szCs w:val="22"/>
        </w:rPr>
        <w:t xml:space="preserve"> and visualized results using ArcGIS Pro </w:t>
      </w:r>
      <w:r w:rsidRPr="00DD596B">
        <w:rPr>
          <w:rFonts w:ascii="Arial" w:hAnsi="Arial" w:cs="Arial"/>
          <w:b/>
          <w:bCs/>
          <w:sz w:val="22"/>
          <w:szCs w:val="22"/>
        </w:rPr>
        <w:t>Version()</w:t>
      </w:r>
      <w:r w:rsidRPr="00DD596B">
        <w:rPr>
          <w:rFonts w:ascii="Arial" w:hAnsi="Arial" w:cs="Arial"/>
          <w:b/>
          <w:bCs/>
          <w:sz w:val="22"/>
          <w:szCs w:val="22"/>
        </w:rPr>
        <w:t>.</w:t>
      </w:r>
      <w:r w:rsidRPr="00DD596B">
        <w:rPr>
          <w:rFonts w:ascii="Arial" w:hAnsi="Arial" w:cs="Arial"/>
          <w:sz w:val="22"/>
          <w:szCs w:val="22"/>
        </w:rPr>
        <w:t xml:space="preserve"> A purely spatial Bernoulli model was employed for both </w:t>
      </w:r>
      <w:r w:rsidRPr="00DD596B">
        <w:rPr>
          <w:rFonts w:ascii="Arial" w:hAnsi="Arial" w:cs="Arial"/>
          <w:sz w:val="22"/>
          <w:szCs w:val="22"/>
        </w:rPr>
        <w:t>outcomes of interests</w:t>
      </w:r>
      <w:r w:rsidRPr="00DD596B">
        <w:rPr>
          <w:rFonts w:ascii="Arial" w:hAnsi="Arial" w:cs="Arial"/>
          <w:sz w:val="22"/>
          <w:szCs w:val="22"/>
        </w:rPr>
        <w:t>.</w:t>
      </w:r>
    </w:p>
    <w:p w14:paraId="55AE811D" w14:textId="77777777" w:rsidR="008735BD" w:rsidRPr="00DD596B" w:rsidRDefault="008735BD" w:rsidP="008735BD">
      <w:pPr>
        <w:spacing w:after="0" w:line="360" w:lineRule="auto"/>
        <w:jc w:val="both"/>
        <w:rPr>
          <w:rFonts w:ascii="Arial" w:hAnsi="Arial" w:cs="Arial"/>
          <w:sz w:val="22"/>
          <w:szCs w:val="22"/>
        </w:rPr>
      </w:pPr>
    </w:p>
    <w:p w14:paraId="2B54EFF8" w14:textId="266553A2" w:rsidR="00FE282A" w:rsidRPr="00DD596B" w:rsidRDefault="008735BD" w:rsidP="008735BD">
      <w:pPr>
        <w:spacing w:after="0" w:line="360" w:lineRule="auto"/>
        <w:jc w:val="both"/>
        <w:rPr>
          <w:rFonts w:ascii="Arial" w:hAnsi="Arial" w:cs="Arial"/>
          <w:sz w:val="22"/>
          <w:szCs w:val="22"/>
        </w:rPr>
      </w:pPr>
      <w:r w:rsidRPr="00DD596B">
        <w:rPr>
          <w:rFonts w:ascii="Arial" w:hAnsi="Arial" w:cs="Arial"/>
          <w:sz w:val="22"/>
          <w:szCs w:val="22"/>
        </w:rPr>
        <w:t xml:space="preserve">The spatial scan </w:t>
      </w:r>
      <w:r w:rsidR="00341CC3" w:rsidRPr="00DD596B">
        <w:rPr>
          <w:rFonts w:ascii="Arial" w:hAnsi="Arial" w:cs="Arial"/>
          <w:sz w:val="22"/>
          <w:szCs w:val="22"/>
        </w:rPr>
        <w:t>statistics</w:t>
      </w:r>
      <w:r w:rsidRPr="00DD596B">
        <w:rPr>
          <w:rFonts w:ascii="Arial" w:hAnsi="Arial" w:cs="Arial"/>
          <w:sz w:val="22"/>
          <w:szCs w:val="22"/>
        </w:rPr>
        <w:t xml:space="preserve"> using the Bernoulli model </w:t>
      </w:r>
      <w:r w:rsidR="00341CC3" w:rsidRPr="00DD596B">
        <w:rPr>
          <w:rFonts w:ascii="Arial" w:hAnsi="Arial" w:cs="Arial"/>
          <w:sz w:val="22"/>
          <w:szCs w:val="22"/>
        </w:rPr>
        <w:t>were</w:t>
      </w:r>
      <w:r w:rsidRPr="00DD596B">
        <w:rPr>
          <w:rFonts w:ascii="Arial" w:hAnsi="Arial" w:cs="Arial"/>
          <w:sz w:val="22"/>
          <w:szCs w:val="22"/>
        </w:rPr>
        <w:t xml:space="preserve"> implemented to detect geographic clusters with significantly high or low rates of each condition. The analysis was performed using the following parameters: circular scanning window, maximum spatial cluster size set to 50% of the total population at risk, and statistical significance assessed using 999 Monte Carlo replications. Identified clusters were considered significant at p&lt;0.05.</w:t>
      </w:r>
      <w:r w:rsidRPr="00DD596B">
        <w:rPr>
          <w:rFonts w:ascii="Arial" w:hAnsi="Arial" w:cs="Arial"/>
          <w:sz w:val="22"/>
          <w:szCs w:val="22"/>
        </w:rPr>
        <w:t xml:space="preserve"> </w:t>
      </w:r>
      <w:r w:rsidRPr="00DD596B">
        <w:rPr>
          <w:rFonts w:ascii="Arial" w:hAnsi="Arial" w:cs="Arial"/>
          <w:sz w:val="22"/>
          <w:szCs w:val="22"/>
        </w:rPr>
        <w:t xml:space="preserve">Results are presented in tabular format showing cluster characteristics including radius (km), number of locations within each cluster, population coverage, observed and expected cases, relative risk, percentage of cases in the area, log-likelihood ratio, and p-values. Additionally, spatial distribution maps were </w:t>
      </w:r>
      <w:r w:rsidRPr="00DD596B">
        <w:rPr>
          <w:rFonts w:ascii="Arial" w:hAnsi="Arial" w:cs="Arial"/>
          <w:sz w:val="22"/>
          <w:szCs w:val="22"/>
        </w:rPr>
        <w:t>made</w:t>
      </w:r>
      <w:r w:rsidRPr="00DD596B">
        <w:rPr>
          <w:rFonts w:ascii="Arial" w:hAnsi="Arial" w:cs="Arial"/>
          <w:sz w:val="22"/>
          <w:szCs w:val="22"/>
        </w:rPr>
        <w:t xml:space="preserve"> using ArcGIS Pro, with relative risks indicated by different colors. The maps include district boundaries and topographical features for geographic context.</w:t>
      </w:r>
    </w:p>
    <w:p w14:paraId="7D8EDFF3" w14:textId="77777777" w:rsidR="00B76FFB" w:rsidRPr="00DD596B" w:rsidRDefault="00B76FFB" w:rsidP="00873E93">
      <w:pPr>
        <w:spacing w:after="0" w:line="360" w:lineRule="auto"/>
        <w:jc w:val="both"/>
        <w:rPr>
          <w:rFonts w:ascii="Arial" w:hAnsi="Arial" w:cs="Arial"/>
          <w:sz w:val="22"/>
          <w:szCs w:val="22"/>
        </w:rPr>
      </w:pPr>
    </w:p>
    <w:p w14:paraId="7871B4FA" w14:textId="448719CC" w:rsidR="00615F19" w:rsidRPr="00615F19" w:rsidRDefault="00615F19" w:rsidP="00615F19">
      <w:pPr>
        <w:spacing w:after="0" w:line="360" w:lineRule="auto"/>
        <w:jc w:val="both"/>
        <w:rPr>
          <w:rFonts w:ascii="Arial" w:hAnsi="Arial" w:cs="Arial"/>
          <w:sz w:val="22"/>
          <w:szCs w:val="22"/>
        </w:rPr>
      </w:pPr>
      <w:r w:rsidRPr="00615F19">
        <w:rPr>
          <w:rFonts w:ascii="Arial" w:hAnsi="Arial" w:cs="Arial"/>
          <w:b/>
          <w:bCs/>
          <w:sz w:val="22"/>
          <w:szCs w:val="22"/>
        </w:rPr>
        <w:t>Ethical approval</w:t>
      </w:r>
      <w:r w:rsidR="00341CC3" w:rsidRPr="00DD596B">
        <w:rPr>
          <w:rFonts w:ascii="Arial" w:hAnsi="Arial" w:cs="Arial"/>
          <w:b/>
          <w:bCs/>
          <w:sz w:val="22"/>
          <w:szCs w:val="22"/>
        </w:rPr>
        <w:t xml:space="preserve"> (THIS was my initial plan now needs to change) </w:t>
      </w:r>
    </w:p>
    <w:p w14:paraId="41F540FC" w14:textId="6D38326F" w:rsidR="00B76FFB" w:rsidRPr="00DD596B" w:rsidRDefault="00615F19" w:rsidP="00615F19">
      <w:pPr>
        <w:spacing w:after="0" w:line="360" w:lineRule="auto"/>
        <w:jc w:val="both"/>
        <w:rPr>
          <w:rFonts w:ascii="Arial" w:hAnsi="Arial" w:cs="Arial"/>
          <w:sz w:val="22"/>
          <w:szCs w:val="22"/>
        </w:rPr>
      </w:pPr>
      <w:r w:rsidRPr="00DD596B">
        <w:rPr>
          <w:rFonts w:ascii="Arial" w:hAnsi="Arial" w:cs="Arial"/>
          <w:sz w:val="22"/>
          <w:szCs w:val="22"/>
        </w:rPr>
        <w:t>We carried out a secondary data analysis for this study, which did not necessitate obtaining ethical approval. Nonetheless, the original survey that provided the data received ethical clearance from the Nepal Health Research Council's ethical review board (Reference number: 678, Date: 30th September 2021) and the institutional review board of ICF International (Reference number: 180657.0.001.NP.DHS.01, Date: 28th April 2022). To access the data, we registered on the official website of “The DHS Program” (http://www.dhsprogram.com) and submitted a request. Once we received the necessary permissions, we downloaded the data from the DHS online archive</w:t>
      </w:r>
      <w:r w:rsidR="001453F1" w:rsidRPr="00DD596B">
        <w:rPr>
          <w:rFonts w:ascii="Arial" w:hAnsi="Arial" w:cs="Arial"/>
          <w:sz w:val="22"/>
          <w:szCs w:val="22"/>
        </w:rPr>
        <w:t xml:space="preserve"> and agreed to their terms of use</w:t>
      </w:r>
      <w:r w:rsidRPr="00DD596B">
        <w:rPr>
          <w:rFonts w:ascii="Arial" w:hAnsi="Arial" w:cs="Arial"/>
          <w:sz w:val="22"/>
          <w:szCs w:val="22"/>
        </w:rPr>
        <w:t>.</w:t>
      </w:r>
      <w:r w:rsidR="001453F1" w:rsidRPr="00DD596B">
        <w:rPr>
          <w:rFonts w:ascii="Arial" w:hAnsi="Arial" w:cs="Arial"/>
          <w:sz w:val="22"/>
          <w:szCs w:val="22"/>
        </w:rPr>
        <w:fldChar w:fldCharType="begin"/>
      </w:r>
      <w:r w:rsidR="001453F1" w:rsidRPr="00DD596B">
        <w:rPr>
          <w:rFonts w:ascii="Arial" w:hAnsi="Arial" w:cs="Arial"/>
          <w:sz w:val="22"/>
          <w:szCs w:val="22"/>
        </w:rPr>
        <w:instrText xml:space="preserve"> ADDIN ZOTERO_ITEM CSL_CITATION {"citationID":"KCZaxTS6","properties":{"formattedCitation":"({\\i{}The DHS Program - Datasets Terms of Use}, n.d.)","plainCitation":"(The DHS Program - Datasets Terms of Use, n.d.)","noteIndex":0},"citationItems":[{"id":1584,"uris":["http://zotero.org/groups/5776311/items/J2YWD828"],"itemData":{"id":1584,"type":"webpage","title":"The DHS Program - Datasets Terms of Use","URL":"https://dhsprogram.com/Data/terms-of-use.cfm","accessed":{"date-parts":[["2024",11,26]]},"citation-key":"DHSProgramDatasets"}}],"schema":"https://github.com/citation-style-language/schema/raw/master/csl-citation.json"} </w:instrText>
      </w:r>
      <w:r w:rsidR="001453F1" w:rsidRPr="00DD596B">
        <w:rPr>
          <w:rFonts w:ascii="Arial" w:hAnsi="Arial" w:cs="Arial"/>
          <w:sz w:val="22"/>
          <w:szCs w:val="22"/>
        </w:rPr>
        <w:fldChar w:fldCharType="separate"/>
      </w:r>
      <w:r w:rsidR="001453F1" w:rsidRPr="00DD596B">
        <w:rPr>
          <w:rFonts w:ascii="Arial" w:hAnsi="Arial" w:cs="Arial"/>
          <w:kern w:val="0"/>
          <w:sz w:val="22"/>
          <w:szCs w:val="22"/>
        </w:rPr>
        <w:t>(</w:t>
      </w:r>
      <w:r w:rsidR="001453F1" w:rsidRPr="00DD596B">
        <w:rPr>
          <w:rFonts w:ascii="Arial" w:hAnsi="Arial" w:cs="Arial"/>
          <w:i/>
          <w:iCs/>
          <w:kern w:val="0"/>
          <w:sz w:val="22"/>
          <w:szCs w:val="22"/>
        </w:rPr>
        <w:t>The DHS Program - Datasets Terms of Use</w:t>
      </w:r>
      <w:r w:rsidR="001453F1" w:rsidRPr="00DD596B">
        <w:rPr>
          <w:rFonts w:ascii="Arial" w:hAnsi="Arial" w:cs="Arial"/>
          <w:kern w:val="0"/>
          <w:sz w:val="22"/>
          <w:szCs w:val="22"/>
        </w:rPr>
        <w:t>, n.d.)</w:t>
      </w:r>
      <w:r w:rsidR="001453F1" w:rsidRPr="00DD596B">
        <w:rPr>
          <w:rFonts w:ascii="Arial" w:hAnsi="Arial" w:cs="Arial"/>
          <w:sz w:val="22"/>
          <w:szCs w:val="22"/>
        </w:rPr>
        <w:fldChar w:fldCharType="end"/>
      </w:r>
    </w:p>
    <w:p w14:paraId="647645C2" w14:textId="77777777" w:rsidR="001453F1" w:rsidRPr="00DD596B" w:rsidRDefault="001453F1" w:rsidP="00615F19">
      <w:pPr>
        <w:spacing w:after="0" w:line="360" w:lineRule="auto"/>
        <w:jc w:val="both"/>
        <w:rPr>
          <w:rFonts w:ascii="Arial" w:hAnsi="Arial" w:cs="Arial"/>
          <w:sz w:val="22"/>
          <w:szCs w:val="22"/>
        </w:rPr>
      </w:pPr>
    </w:p>
    <w:p w14:paraId="607EEEB5" w14:textId="77777777" w:rsidR="001453F1" w:rsidRPr="00DD596B" w:rsidRDefault="001453F1" w:rsidP="00615F19">
      <w:pPr>
        <w:spacing w:after="0" w:line="360" w:lineRule="auto"/>
        <w:jc w:val="both"/>
        <w:rPr>
          <w:rFonts w:ascii="Arial" w:hAnsi="Arial" w:cs="Arial"/>
          <w:sz w:val="22"/>
          <w:szCs w:val="22"/>
        </w:rPr>
      </w:pPr>
    </w:p>
    <w:p w14:paraId="1B7EDAEA" w14:textId="77777777" w:rsidR="00B76FFB" w:rsidRPr="00DD596B" w:rsidRDefault="00B76FFB" w:rsidP="00873E93">
      <w:pPr>
        <w:spacing w:after="0" w:line="360" w:lineRule="auto"/>
        <w:jc w:val="both"/>
        <w:rPr>
          <w:rFonts w:ascii="Arial" w:hAnsi="Arial" w:cs="Arial"/>
          <w:sz w:val="22"/>
          <w:szCs w:val="22"/>
        </w:rPr>
      </w:pPr>
    </w:p>
    <w:p w14:paraId="7B77AEC4" w14:textId="77777777" w:rsidR="00341CC3" w:rsidRPr="00DD596B" w:rsidRDefault="00341CC3" w:rsidP="00873E93">
      <w:pPr>
        <w:spacing w:after="0" w:line="360" w:lineRule="auto"/>
        <w:jc w:val="both"/>
        <w:rPr>
          <w:rFonts w:ascii="Arial" w:hAnsi="Arial" w:cs="Arial"/>
          <w:sz w:val="22"/>
          <w:szCs w:val="22"/>
        </w:rPr>
      </w:pPr>
    </w:p>
    <w:p w14:paraId="618A0E37" w14:textId="77777777" w:rsidR="00341CC3" w:rsidRPr="00DD596B" w:rsidRDefault="00341CC3" w:rsidP="00873E93">
      <w:pPr>
        <w:spacing w:after="0" w:line="360" w:lineRule="auto"/>
        <w:jc w:val="both"/>
        <w:rPr>
          <w:rFonts w:ascii="Arial" w:hAnsi="Arial" w:cs="Arial"/>
          <w:sz w:val="22"/>
          <w:szCs w:val="22"/>
        </w:rPr>
      </w:pPr>
    </w:p>
    <w:p w14:paraId="0C22079B" w14:textId="77777777" w:rsidR="00341CC3" w:rsidRPr="00DD596B" w:rsidRDefault="00341CC3" w:rsidP="00873E93">
      <w:pPr>
        <w:spacing w:after="0" w:line="360" w:lineRule="auto"/>
        <w:jc w:val="both"/>
        <w:rPr>
          <w:rFonts w:ascii="Arial" w:hAnsi="Arial" w:cs="Arial"/>
          <w:sz w:val="22"/>
          <w:szCs w:val="22"/>
        </w:rPr>
      </w:pPr>
    </w:p>
    <w:p w14:paraId="2973FDC6" w14:textId="77777777" w:rsidR="00341CC3" w:rsidRPr="00DD596B" w:rsidRDefault="00341CC3" w:rsidP="00873E93">
      <w:pPr>
        <w:spacing w:after="0" w:line="360" w:lineRule="auto"/>
        <w:jc w:val="both"/>
        <w:rPr>
          <w:rFonts w:ascii="Arial" w:hAnsi="Arial" w:cs="Arial"/>
          <w:sz w:val="22"/>
          <w:szCs w:val="22"/>
        </w:rPr>
      </w:pPr>
    </w:p>
    <w:p w14:paraId="37528E7A" w14:textId="77777777" w:rsidR="00341CC3" w:rsidRPr="00DD596B" w:rsidRDefault="00341CC3" w:rsidP="00873E93">
      <w:pPr>
        <w:spacing w:after="0" w:line="360" w:lineRule="auto"/>
        <w:jc w:val="both"/>
        <w:rPr>
          <w:rFonts w:ascii="Arial" w:hAnsi="Arial" w:cs="Arial"/>
          <w:sz w:val="22"/>
          <w:szCs w:val="22"/>
        </w:rPr>
      </w:pPr>
    </w:p>
    <w:p w14:paraId="66C2C956" w14:textId="77777777" w:rsidR="00341CC3" w:rsidRPr="00DD596B" w:rsidRDefault="00341CC3" w:rsidP="00873E93">
      <w:pPr>
        <w:spacing w:after="0" w:line="360" w:lineRule="auto"/>
        <w:jc w:val="both"/>
        <w:rPr>
          <w:rFonts w:ascii="Arial" w:hAnsi="Arial" w:cs="Arial"/>
          <w:sz w:val="22"/>
          <w:szCs w:val="22"/>
        </w:rPr>
      </w:pPr>
    </w:p>
    <w:p w14:paraId="3B19E24D" w14:textId="77777777" w:rsidR="00341CC3" w:rsidRPr="00DD596B" w:rsidRDefault="00341CC3" w:rsidP="00873E93">
      <w:pPr>
        <w:spacing w:after="0" w:line="360" w:lineRule="auto"/>
        <w:jc w:val="both"/>
        <w:rPr>
          <w:rFonts w:ascii="Arial" w:hAnsi="Arial" w:cs="Arial"/>
          <w:sz w:val="22"/>
          <w:szCs w:val="22"/>
        </w:rPr>
      </w:pPr>
    </w:p>
    <w:p w14:paraId="302EC588" w14:textId="1A837B6E" w:rsidR="00341CC3" w:rsidRPr="00DD596B" w:rsidRDefault="00341CC3" w:rsidP="00873E93">
      <w:pPr>
        <w:spacing w:after="0" w:line="360" w:lineRule="auto"/>
        <w:jc w:val="both"/>
        <w:rPr>
          <w:rFonts w:ascii="Arial" w:hAnsi="Arial" w:cs="Arial"/>
          <w:b/>
          <w:bCs/>
          <w:sz w:val="22"/>
          <w:szCs w:val="22"/>
        </w:rPr>
      </w:pPr>
      <w:r w:rsidRPr="00DD596B">
        <w:rPr>
          <w:rFonts w:ascii="Arial" w:hAnsi="Arial" w:cs="Arial"/>
          <w:b/>
          <w:bCs/>
          <w:sz w:val="22"/>
          <w:szCs w:val="22"/>
        </w:rPr>
        <w:t>Results</w:t>
      </w:r>
    </w:p>
    <w:p w14:paraId="5D60677D" w14:textId="46310F76" w:rsidR="006D0036" w:rsidRPr="00DD596B" w:rsidRDefault="00F81BFB" w:rsidP="00F81BFB">
      <w:pPr>
        <w:spacing w:after="0" w:line="360" w:lineRule="auto"/>
        <w:jc w:val="both"/>
        <w:rPr>
          <w:rFonts w:ascii="Arial" w:hAnsi="Arial" w:cs="Arial"/>
          <w:sz w:val="22"/>
          <w:szCs w:val="22"/>
        </w:rPr>
      </w:pPr>
      <w:r w:rsidRPr="00DD596B">
        <w:rPr>
          <w:rFonts w:ascii="Arial" w:hAnsi="Arial" w:cs="Arial"/>
          <w:sz w:val="22"/>
          <w:szCs w:val="22"/>
        </w:rPr>
        <w:t>Table 1.</w:t>
      </w:r>
      <w:r w:rsidRPr="00DD596B">
        <w:rPr>
          <w:rFonts w:ascii="Arial" w:hAnsi="Arial" w:cs="Arial"/>
          <w:sz w:val="22"/>
          <w:szCs w:val="22"/>
        </w:rPr>
        <w:t xml:space="preserve"> represents the sociodemographic and health parameters of our study participants. Results include weighted results.</w:t>
      </w:r>
      <w:r w:rsidRPr="00DD596B">
        <w:rPr>
          <w:rFonts w:ascii="Arial" w:hAnsi="Arial" w:cs="Arial"/>
          <w:sz w:val="22"/>
          <w:szCs w:val="22"/>
        </w:rPr>
        <w:t xml:space="preserve"> Among the </w:t>
      </w:r>
      <w:r w:rsidRPr="00DD596B">
        <w:rPr>
          <w:rFonts w:ascii="Arial" w:hAnsi="Arial" w:cs="Arial"/>
          <w:sz w:val="22"/>
          <w:szCs w:val="22"/>
        </w:rPr>
        <w:t xml:space="preserve">weighted </w:t>
      </w:r>
      <w:r w:rsidRPr="00DD596B">
        <w:rPr>
          <w:rFonts w:ascii="Arial" w:hAnsi="Arial" w:cs="Arial"/>
          <w:sz w:val="22"/>
          <w:szCs w:val="22"/>
        </w:rPr>
        <w:t>136,235 participants, a majority were female 68.2%</w:t>
      </w:r>
      <w:r w:rsidRPr="00DD596B">
        <w:rPr>
          <w:rFonts w:ascii="Arial" w:hAnsi="Arial" w:cs="Arial"/>
          <w:sz w:val="22"/>
          <w:szCs w:val="22"/>
        </w:rPr>
        <w:t>,</w:t>
      </w:r>
      <w:r w:rsidRPr="00DD596B">
        <w:rPr>
          <w:rFonts w:ascii="Arial" w:hAnsi="Arial" w:cs="Arial"/>
          <w:sz w:val="22"/>
          <w:szCs w:val="22"/>
        </w:rPr>
        <w:t xml:space="preserve"> and</w:t>
      </w:r>
      <w:r w:rsidRPr="00DD596B">
        <w:rPr>
          <w:rFonts w:ascii="Arial" w:hAnsi="Arial" w:cs="Arial"/>
          <w:sz w:val="22"/>
          <w:szCs w:val="22"/>
        </w:rPr>
        <w:t xml:space="preserve"> were</w:t>
      </w:r>
      <w:r w:rsidRPr="00DD596B">
        <w:rPr>
          <w:rFonts w:ascii="Arial" w:hAnsi="Arial" w:cs="Arial"/>
          <w:sz w:val="22"/>
          <w:szCs w:val="22"/>
        </w:rPr>
        <w:t xml:space="preserve"> aged between 16-39 years 60.3%. Most participants were married 73.2%, and </w:t>
      </w:r>
      <w:r w:rsidRPr="00DD596B">
        <w:rPr>
          <w:rFonts w:ascii="Arial" w:hAnsi="Arial" w:cs="Arial"/>
          <w:sz w:val="22"/>
          <w:szCs w:val="22"/>
        </w:rPr>
        <w:t xml:space="preserve">around </w:t>
      </w:r>
      <w:r w:rsidRPr="00DD596B">
        <w:rPr>
          <w:rFonts w:ascii="Arial" w:hAnsi="Arial" w:cs="Arial"/>
          <w:sz w:val="22"/>
          <w:szCs w:val="22"/>
        </w:rPr>
        <w:t>39.2%</w:t>
      </w:r>
      <w:r w:rsidRPr="00DD596B">
        <w:rPr>
          <w:rFonts w:ascii="Arial" w:hAnsi="Arial" w:cs="Arial"/>
          <w:sz w:val="22"/>
          <w:szCs w:val="22"/>
        </w:rPr>
        <w:t xml:space="preserve"> of the participants </w:t>
      </w:r>
      <w:r w:rsidRPr="00DD596B">
        <w:rPr>
          <w:rFonts w:ascii="Arial" w:hAnsi="Arial" w:cs="Arial"/>
          <w:sz w:val="22"/>
          <w:szCs w:val="22"/>
        </w:rPr>
        <w:t xml:space="preserve">had attained secondary or higher education. The </w:t>
      </w:r>
      <w:r w:rsidRPr="00DD596B">
        <w:rPr>
          <w:rFonts w:ascii="Arial" w:hAnsi="Arial" w:cs="Arial"/>
          <w:sz w:val="22"/>
          <w:szCs w:val="22"/>
        </w:rPr>
        <w:t>respondents were</w:t>
      </w:r>
      <w:r w:rsidRPr="00DD596B">
        <w:rPr>
          <w:rFonts w:ascii="Arial" w:hAnsi="Arial" w:cs="Arial"/>
          <w:sz w:val="22"/>
          <w:szCs w:val="22"/>
        </w:rPr>
        <w:t xml:space="preserve"> </w:t>
      </w:r>
      <w:r w:rsidRPr="00DD596B">
        <w:rPr>
          <w:rFonts w:ascii="Arial" w:hAnsi="Arial" w:cs="Arial"/>
          <w:sz w:val="22"/>
          <w:szCs w:val="22"/>
        </w:rPr>
        <w:t>mostly</w:t>
      </w:r>
      <w:r w:rsidRPr="00DD596B">
        <w:rPr>
          <w:rFonts w:ascii="Arial" w:hAnsi="Arial" w:cs="Arial"/>
          <w:sz w:val="22"/>
          <w:szCs w:val="22"/>
        </w:rPr>
        <w:t xml:space="preserve"> </w:t>
      </w:r>
      <w:r w:rsidRPr="00DD596B">
        <w:rPr>
          <w:rFonts w:ascii="Arial" w:hAnsi="Arial" w:cs="Arial"/>
          <w:sz w:val="22"/>
          <w:szCs w:val="22"/>
        </w:rPr>
        <w:t xml:space="preserve">residing in </w:t>
      </w:r>
      <w:r w:rsidRPr="00DD596B">
        <w:rPr>
          <w:rFonts w:ascii="Arial" w:hAnsi="Arial" w:cs="Arial"/>
          <w:sz w:val="22"/>
          <w:szCs w:val="22"/>
        </w:rPr>
        <w:t>urban</w:t>
      </w:r>
      <w:r w:rsidRPr="00DD596B">
        <w:rPr>
          <w:rFonts w:ascii="Arial" w:hAnsi="Arial" w:cs="Arial"/>
          <w:sz w:val="22"/>
          <w:szCs w:val="22"/>
        </w:rPr>
        <w:t xml:space="preserve"> areas </w:t>
      </w:r>
      <w:r w:rsidRPr="00DD596B">
        <w:rPr>
          <w:rFonts w:ascii="Arial" w:hAnsi="Arial" w:cs="Arial"/>
          <w:sz w:val="22"/>
          <w:szCs w:val="22"/>
        </w:rPr>
        <w:t xml:space="preserve">67.3%, </w:t>
      </w:r>
      <w:r w:rsidRPr="00DD596B">
        <w:rPr>
          <w:rFonts w:ascii="Arial" w:hAnsi="Arial" w:cs="Arial"/>
          <w:sz w:val="22"/>
          <w:szCs w:val="22"/>
        </w:rPr>
        <w:t xml:space="preserve">and more </w:t>
      </w:r>
      <w:r w:rsidRPr="00DD596B">
        <w:rPr>
          <w:rFonts w:ascii="Arial" w:hAnsi="Arial" w:cs="Arial"/>
          <w:sz w:val="22"/>
          <w:szCs w:val="22"/>
        </w:rPr>
        <w:t xml:space="preserve">than half </w:t>
      </w:r>
      <w:r w:rsidRPr="00DD596B">
        <w:rPr>
          <w:rFonts w:ascii="Arial" w:hAnsi="Arial" w:cs="Arial"/>
          <w:sz w:val="22"/>
          <w:szCs w:val="22"/>
        </w:rPr>
        <w:t xml:space="preserve">of the respondents were </w:t>
      </w:r>
      <w:r w:rsidRPr="00DD596B">
        <w:rPr>
          <w:rFonts w:ascii="Arial" w:hAnsi="Arial" w:cs="Arial"/>
          <w:sz w:val="22"/>
          <w:szCs w:val="22"/>
        </w:rPr>
        <w:t xml:space="preserve">residing in the Terai </w:t>
      </w:r>
      <w:r w:rsidRPr="00DD596B">
        <w:rPr>
          <w:rFonts w:ascii="Arial" w:hAnsi="Arial" w:cs="Arial"/>
          <w:sz w:val="22"/>
          <w:szCs w:val="22"/>
        </w:rPr>
        <w:t xml:space="preserve">ecological </w:t>
      </w:r>
      <w:r w:rsidRPr="00DD596B">
        <w:rPr>
          <w:rFonts w:ascii="Arial" w:hAnsi="Arial" w:cs="Arial"/>
          <w:sz w:val="22"/>
          <w:szCs w:val="22"/>
        </w:rPr>
        <w:t xml:space="preserve">region 53.8%. </w:t>
      </w:r>
      <w:r w:rsidRPr="00DD596B">
        <w:rPr>
          <w:rFonts w:ascii="Arial" w:hAnsi="Arial" w:cs="Arial"/>
          <w:sz w:val="22"/>
          <w:szCs w:val="22"/>
        </w:rPr>
        <w:t>In our study</w:t>
      </w:r>
      <w:r w:rsidRPr="00DD596B">
        <w:rPr>
          <w:rFonts w:ascii="Arial" w:hAnsi="Arial" w:cs="Arial"/>
          <w:sz w:val="22"/>
          <w:szCs w:val="22"/>
        </w:rPr>
        <w:t>, 42.0%</w:t>
      </w:r>
      <w:r w:rsidRPr="00DD596B">
        <w:rPr>
          <w:rFonts w:ascii="Arial" w:hAnsi="Arial" w:cs="Arial"/>
          <w:sz w:val="22"/>
          <w:szCs w:val="22"/>
        </w:rPr>
        <w:t xml:space="preserve"> of the participants</w:t>
      </w:r>
      <w:r w:rsidRPr="00DD596B">
        <w:rPr>
          <w:rFonts w:ascii="Arial" w:hAnsi="Arial" w:cs="Arial"/>
          <w:sz w:val="22"/>
          <w:szCs w:val="22"/>
        </w:rPr>
        <w:t xml:space="preserve"> were classified as rich, while 38.4% were categorized as poor</w:t>
      </w:r>
      <w:r w:rsidRPr="00DD596B">
        <w:rPr>
          <w:rFonts w:ascii="Arial" w:hAnsi="Arial" w:cs="Arial"/>
          <w:sz w:val="22"/>
          <w:szCs w:val="22"/>
        </w:rPr>
        <w:t xml:space="preserve">, and the remaining were in the middle-income category. </w:t>
      </w:r>
      <w:r w:rsidRPr="00DD596B">
        <w:rPr>
          <w:rFonts w:ascii="Arial" w:hAnsi="Arial" w:cs="Arial"/>
          <w:sz w:val="22"/>
          <w:szCs w:val="22"/>
        </w:rPr>
        <w:t>38.5% of participants were classified as hypertensive, and 42.5% were categorized as overweight/obese</w:t>
      </w:r>
      <w:r w:rsidRPr="00DD596B">
        <w:rPr>
          <w:rFonts w:ascii="Arial" w:hAnsi="Arial" w:cs="Arial"/>
          <w:sz w:val="22"/>
          <w:szCs w:val="22"/>
        </w:rPr>
        <w:t xml:space="preserve">. </w:t>
      </w:r>
      <w:r w:rsidRPr="00DD596B">
        <w:rPr>
          <w:rFonts w:ascii="Arial" w:hAnsi="Arial" w:cs="Arial"/>
          <w:sz w:val="22"/>
          <w:szCs w:val="22"/>
        </w:rPr>
        <w:t xml:space="preserve">The mean age of participants was 37.9 years </w:t>
      </w:r>
      <w:r w:rsidRPr="00DD596B">
        <w:rPr>
          <w:rFonts w:ascii="Arial" w:hAnsi="Arial" w:cs="Arial"/>
          <w:sz w:val="22"/>
          <w:szCs w:val="22"/>
        </w:rPr>
        <w:t xml:space="preserve">with an </w:t>
      </w:r>
      <w:r w:rsidRPr="00DD596B">
        <w:rPr>
          <w:rFonts w:ascii="Arial" w:hAnsi="Arial" w:cs="Arial"/>
          <w:sz w:val="22"/>
          <w:szCs w:val="22"/>
        </w:rPr>
        <w:t>SD</w:t>
      </w:r>
      <w:r w:rsidRPr="00DD596B">
        <w:rPr>
          <w:rFonts w:ascii="Arial" w:hAnsi="Arial" w:cs="Arial"/>
          <w:sz w:val="22"/>
          <w:szCs w:val="22"/>
        </w:rPr>
        <w:t xml:space="preserve"> of </w:t>
      </w:r>
      <w:r w:rsidRPr="00DD596B">
        <w:rPr>
          <w:rFonts w:ascii="Arial" w:hAnsi="Arial" w:cs="Arial"/>
          <w:sz w:val="22"/>
          <w:szCs w:val="22"/>
        </w:rPr>
        <w:t xml:space="preserve">16.59. Average systolic and diastolic blood </w:t>
      </w:r>
      <w:r w:rsidRPr="00DD596B">
        <w:rPr>
          <w:rFonts w:ascii="Arial" w:hAnsi="Arial" w:cs="Arial"/>
          <w:sz w:val="22"/>
          <w:szCs w:val="22"/>
        </w:rPr>
        <w:t>pressure was</w:t>
      </w:r>
      <w:r w:rsidRPr="00DD596B">
        <w:rPr>
          <w:rFonts w:ascii="Arial" w:hAnsi="Arial" w:cs="Arial"/>
          <w:sz w:val="22"/>
          <w:szCs w:val="22"/>
        </w:rPr>
        <w:t xml:space="preserve"> 116.83 mmHg </w:t>
      </w:r>
      <w:r w:rsidRPr="00DD596B">
        <w:rPr>
          <w:rFonts w:ascii="Arial" w:hAnsi="Arial" w:cs="Arial"/>
          <w:sz w:val="22"/>
          <w:szCs w:val="22"/>
        </w:rPr>
        <w:t xml:space="preserve">with an </w:t>
      </w:r>
      <w:r w:rsidRPr="00DD596B">
        <w:rPr>
          <w:rFonts w:ascii="Arial" w:hAnsi="Arial" w:cs="Arial"/>
          <w:sz w:val="22"/>
          <w:szCs w:val="22"/>
        </w:rPr>
        <w:t>SD</w:t>
      </w:r>
      <w:r w:rsidRPr="00DD596B">
        <w:rPr>
          <w:rFonts w:ascii="Arial" w:hAnsi="Arial" w:cs="Arial"/>
          <w:sz w:val="22"/>
          <w:szCs w:val="22"/>
        </w:rPr>
        <w:t xml:space="preserve"> of </w:t>
      </w:r>
      <w:r w:rsidRPr="00DD596B">
        <w:rPr>
          <w:rFonts w:ascii="Arial" w:hAnsi="Arial" w:cs="Arial"/>
          <w:sz w:val="22"/>
          <w:szCs w:val="22"/>
        </w:rPr>
        <w:t>19.63</w:t>
      </w:r>
      <w:r w:rsidRPr="00DD596B">
        <w:rPr>
          <w:rFonts w:ascii="Arial" w:hAnsi="Arial" w:cs="Arial"/>
          <w:sz w:val="22"/>
          <w:szCs w:val="22"/>
        </w:rPr>
        <w:t xml:space="preserve"> mmHg </w:t>
      </w:r>
      <w:r w:rsidRPr="00DD596B">
        <w:rPr>
          <w:rFonts w:ascii="Arial" w:hAnsi="Arial" w:cs="Arial"/>
          <w:sz w:val="22"/>
          <w:szCs w:val="22"/>
        </w:rPr>
        <w:t xml:space="preserve">and 75.96 mmHg </w:t>
      </w:r>
      <w:r w:rsidRPr="00DD596B">
        <w:rPr>
          <w:rFonts w:ascii="Arial" w:hAnsi="Arial" w:cs="Arial"/>
          <w:sz w:val="22"/>
          <w:szCs w:val="22"/>
        </w:rPr>
        <w:t xml:space="preserve">with an </w:t>
      </w:r>
      <w:r w:rsidRPr="00DD596B">
        <w:rPr>
          <w:rFonts w:ascii="Arial" w:hAnsi="Arial" w:cs="Arial"/>
          <w:sz w:val="22"/>
          <w:szCs w:val="22"/>
        </w:rPr>
        <w:t>SD</w:t>
      </w:r>
      <w:r w:rsidRPr="00DD596B">
        <w:rPr>
          <w:rFonts w:ascii="Arial" w:hAnsi="Arial" w:cs="Arial"/>
          <w:sz w:val="22"/>
          <w:szCs w:val="22"/>
        </w:rPr>
        <w:t xml:space="preserve"> of </w:t>
      </w:r>
      <w:r w:rsidRPr="00DD596B">
        <w:rPr>
          <w:rFonts w:ascii="Arial" w:hAnsi="Arial" w:cs="Arial"/>
          <w:sz w:val="22"/>
          <w:szCs w:val="22"/>
        </w:rPr>
        <w:t>11.52</w:t>
      </w:r>
      <w:r w:rsidRPr="00DD596B">
        <w:rPr>
          <w:rFonts w:ascii="Arial" w:hAnsi="Arial" w:cs="Arial"/>
          <w:sz w:val="22"/>
          <w:szCs w:val="22"/>
        </w:rPr>
        <w:t xml:space="preserve"> mmHg</w:t>
      </w:r>
      <w:r w:rsidRPr="00DD596B">
        <w:rPr>
          <w:rFonts w:ascii="Arial" w:hAnsi="Arial" w:cs="Arial"/>
          <w:sz w:val="22"/>
          <w:szCs w:val="22"/>
        </w:rPr>
        <w:t>, respectively</w:t>
      </w:r>
      <w:r w:rsidRPr="00DD596B">
        <w:rPr>
          <w:rFonts w:ascii="Arial" w:hAnsi="Arial" w:cs="Arial"/>
          <w:sz w:val="22"/>
          <w:szCs w:val="22"/>
        </w:rPr>
        <w:t xml:space="preserve"> among our study participants.</w:t>
      </w:r>
      <w:r w:rsidRPr="00DD596B">
        <w:rPr>
          <w:rFonts w:ascii="Arial" w:hAnsi="Arial" w:cs="Arial"/>
          <w:sz w:val="22"/>
          <w:szCs w:val="22"/>
        </w:rPr>
        <w:t xml:space="preserve"> The mean BMI was 22.82 kg/m² (SD</w:t>
      </w:r>
      <w:r w:rsidR="00EB0CED">
        <w:rPr>
          <w:rFonts w:ascii="Arial" w:hAnsi="Arial" w:cs="Arial"/>
          <w:sz w:val="22"/>
          <w:szCs w:val="22"/>
        </w:rPr>
        <w:t xml:space="preserve"> </w:t>
      </w:r>
      <w:r w:rsidRPr="00DD596B">
        <w:rPr>
          <w:rFonts w:ascii="Arial" w:hAnsi="Arial" w:cs="Arial"/>
          <w:sz w:val="22"/>
          <w:szCs w:val="22"/>
        </w:rPr>
        <w:t>4.24), with participants having an average height of 1.55 meters (SD=0.08) and weight of 55.03 kg (SD</w:t>
      </w:r>
      <w:r w:rsidR="00EB0CED">
        <w:rPr>
          <w:rFonts w:ascii="Arial" w:hAnsi="Arial" w:cs="Arial"/>
          <w:sz w:val="22"/>
          <w:szCs w:val="22"/>
        </w:rPr>
        <w:t xml:space="preserve"> </w:t>
      </w:r>
      <w:r w:rsidRPr="00DD596B">
        <w:rPr>
          <w:rFonts w:ascii="Arial" w:hAnsi="Arial" w:cs="Arial"/>
          <w:sz w:val="22"/>
          <w:szCs w:val="22"/>
        </w:rPr>
        <w:t>11.58).</w:t>
      </w:r>
    </w:p>
    <w:p w14:paraId="11864457" w14:textId="58CBE403" w:rsidR="00341CC3" w:rsidRPr="00DD596B" w:rsidRDefault="00341CC3" w:rsidP="00873E93">
      <w:pPr>
        <w:spacing w:after="0" w:line="360" w:lineRule="auto"/>
        <w:jc w:val="both"/>
        <w:rPr>
          <w:rFonts w:ascii="Arial" w:hAnsi="Arial" w:cs="Arial"/>
          <w:b/>
          <w:bCs/>
          <w:sz w:val="22"/>
          <w:szCs w:val="22"/>
        </w:rPr>
      </w:pPr>
    </w:p>
    <w:p w14:paraId="071BEE3C" w14:textId="439A27AF" w:rsidR="006D0036" w:rsidRPr="00DD596B" w:rsidRDefault="006D0036" w:rsidP="006D0036">
      <w:pPr>
        <w:pStyle w:val="Caption"/>
        <w:keepNext/>
        <w:rPr>
          <w:b/>
          <w:bCs/>
          <w:color w:val="auto"/>
          <w:sz w:val="22"/>
          <w:szCs w:val="22"/>
        </w:rPr>
      </w:pPr>
      <w:r w:rsidRPr="00DD596B">
        <w:rPr>
          <w:b/>
          <w:bCs/>
          <w:color w:val="auto"/>
          <w:sz w:val="22"/>
          <w:szCs w:val="22"/>
        </w:rPr>
        <w:t xml:space="preserve">Table </w:t>
      </w:r>
      <w:r w:rsidRPr="00DD596B">
        <w:rPr>
          <w:b/>
          <w:bCs/>
          <w:color w:val="auto"/>
          <w:sz w:val="22"/>
          <w:szCs w:val="22"/>
        </w:rPr>
        <w:fldChar w:fldCharType="begin"/>
      </w:r>
      <w:r w:rsidRPr="00DD596B">
        <w:rPr>
          <w:b/>
          <w:bCs/>
          <w:color w:val="auto"/>
          <w:sz w:val="22"/>
          <w:szCs w:val="22"/>
        </w:rPr>
        <w:instrText xml:space="preserve"> SEQ Table \* ARABIC </w:instrText>
      </w:r>
      <w:r w:rsidRPr="00DD596B">
        <w:rPr>
          <w:b/>
          <w:bCs/>
          <w:color w:val="auto"/>
          <w:sz w:val="22"/>
          <w:szCs w:val="22"/>
        </w:rPr>
        <w:fldChar w:fldCharType="separate"/>
      </w:r>
      <w:r w:rsidR="00DF7F17">
        <w:rPr>
          <w:b/>
          <w:bCs/>
          <w:noProof/>
          <w:color w:val="auto"/>
          <w:sz w:val="22"/>
          <w:szCs w:val="22"/>
        </w:rPr>
        <w:t>1</w:t>
      </w:r>
      <w:r w:rsidRPr="00DD596B">
        <w:rPr>
          <w:b/>
          <w:bCs/>
          <w:color w:val="auto"/>
          <w:sz w:val="22"/>
          <w:szCs w:val="22"/>
        </w:rPr>
        <w:fldChar w:fldCharType="end"/>
      </w:r>
      <w:r w:rsidRPr="00DD596B">
        <w:rPr>
          <w:b/>
          <w:bCs/>
          <w:color w:val="auto"/>
          <w:sz w:val="22"/>
          <w:szCs w:val="22"/>
        </w:rPr>
        <w:t>. Socio-demographic characteristics and health parameters of study participants.</w:t>
      </w:r>
    </w:p>
    <w:tbl>
      <w:tblPr>
        <w:tblW w:w="6925" w:type="dxa"/>
        <w:tblLook w:val="04A0" w:firstRow="1" w:lastRow="0" w:firstColumn="1" w:lastColumn="0" w:noHBand="0" w:noVBand="1"/>
      </w:tblPr>
      <w:tblGrid>
        <w:gridCol w:w="715"/>
        <w:gridCol w:w="3150"/>
        <w:gridCol w:w="1440"/>
        <w:gridCol w:w="1620"/>
      </w:tblGrid>
      <w:tr w:rsidR="006D0036" w:rsidRPr="006D0036" w14:paraId="10A528DA" w14:textId="77777777" w:rsidTr="00254F5F">
        <w:trPr>
          <w:trHeight w:val="290"/>
        </w:trPr>
        <w:tc>
          <w:tcPr>
            <w:tcW w:w="3865" w:type="dxa"/>
            <w:gridSpan w:val="2"/>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4447D1CD" w14:textId="77777777" w:rsidR="006D0036" w:rsidRPr="006D0036" w:rsidRDefault="006D0036" w:rsidP="006D0036">
            <w:pPr>
              <w:spacing w:after="0" w:line="240" w:lineRule="auto"/>
              <w:jc w:val="center"/>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 </w:t>
            </w:r>
          </w:p>
        </w:tc>
        <w:tc>
          <w:tcPr>
            <w:tcW w:w="1440" w:type="dxa"/>
            <w:tcBorders>
              <w:top w:val="single" w:sz="4" w:space="0" w:color="auto"/>
              <w:left w:val="nil"/>
              <w:bottom w:val="single" w:sz="4" w:space="0" w:color="auto"/>
              <w:right w:val="single" w:sz="4" w:space="0" w:color="auto"/>
            </w:tcBorders>
            <w:shd w:val="clear" w:color="000000" w:fill="ADADAD"/>
            <w:noWrap/>
            <w:vAlign w:val="bottom"/>
            <w:hideMark/>
          </w:tcPr>
          <w:p w14:paraId="12486EC1" w14:textId="405BD8AF" w:rsidR="006D0036" w:rsidRPr="006D0036" w:rsidRDefault="006D0036" w:rsidP="00254F5F">
            <w:pPr>
              <w:spacing w:after="0" w:line="240" w:lineRule="auto"/>
              <w:jc w:val="center"/>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Total</w:t>
            </w:r>
          </w:p>
        </w:tc>
        <w:tc>
          <w:tcPr>
            <w:tcW w:w="1620" w:type="dxa"/>
            <w:tcBorders>
              <w:top w:val="single" w:sz="4" w:space="0" w:color="auto"/>
              <w:left w:val="nil"/>
              <w:bottom w:val="single" w:sz="4" w:space="0" w:color="auto"/>
              <w:right w:val="single" w:sz="4" w:space="0" w:color="auto"/>
            </w:tcBorders>
            <w:shd w:val="clear" w:color="000000" w:fill="ADADAD"/>
            <w:noWrap/>
            <w:vAlign w:val="bottom"/>
            <w:hideMark/>
          </w:tcPr>
          <w:p w14:paraId="7FCDAE50" w14:textId="77777777" w:rsidR="006D0036" w:rsidRPr="006D0036" w:rsidRDefault="006D0036" w:rsidP="00254F5F">
            <w:pPr>
              <w:spacing w:after="0" w:line="240" w:lineRule="auto"/>
              <w:jc w:val="center"/>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Percent</w:t>
            </w:r>
          </w:p>
        </w:tc>
      </w:tr>
      <w:tr w:rsidR="006D0036" w:rsidRPr="006D0036" w14:paraId="6010CFBE" w14:textId="77777777" w:rsidTr="00254F5F">
        <w:trPr>
          <w:trHeight w:val="290"/>
        </w:trPr>
        <w:tc>
          <w:tcPr>
            <w:tcW w:w="715" w:type="dxa"/>
            <w:tcBorders>
              <w:top w:val="nil"/>
              <w:left w:val="single" w:sz="4" w:space="0" w:color="auto"/>
              <w:bottom w:val="single" w:sz="4" w:space="0" w:color="auto"/>
              <w:right w:val="single" w:sz="4" w:space="0" w:color="auto"/>
            </w:tcBorders>
            <w:shd w:val="clear" w:color="000000" w:fill="ADADAD"/>
            <w:noWrap/>
            <w:vAlign w:val="bottom"/>
            <w:hideMark/>
          </w:tcPr>
          <w:p w14:paraId="2B1CFB5A" w14:textId="2070D9D5" w:rsidR="006D0036" w:rsidRPr="006D0036" w:rsidRDefault="00254F5F" w:rsidP="006D0036">
            <w:pPr>
              <w:spacing w:after="0" w:line="240" w:lineRule="auto"/>
              <w:jc w:val="right"/>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S. N</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11E38277" w14:textId="77777777"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Gender</w:t>
            </w:r>
          </w:p>
        </w:tc>
      </w:tr>
      <w:tr w:rsidR="006D0036" w:rsidRPr="006D0036" w14:paraId="0BAB0630"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FFE94EB"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64A406F6"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Male </w:t>
            </w:r>
          </w:p>
        </w:tc>
        <w:tc>
          <w:tcPr>
            <w:tcW w:w="1440" w:type="dxa"/>
            <w:tcBorders>
              <w:top w:val="nil"/>
              <w:left w:val="nil"/>
              <w:bottom w:val="single" w:sz="4" w:space="0" w:color="auto"/>
              <w:right w:val="single" w:sz="4" w:space="0" w:color="auto"/>
            </w:tcBorders>
            <w:shd w:val="clear" w:color="auto" w:fill="auto"/>
            <w:noWrap/>
            <w:vAlign w:val="bottom"/>
            <w:hideMark/>
          </w:tcPr>
          <w:p w14:paraId="03ABF47F"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43,371</w:t>
            </w:r>
          </w:p>
        </w:tc>
        <w:tc>
          <w:tcPr>
            <w:tcW w:w="1620" w:type="dxa"/>
            <w:tcBorders>
              <w:top w:val="nil"/>
              <w:left w:val="nil"/>
              <w:bottom w:val="single" w:sz="4" w:space="0" w:color="auto"/>
              <w:right w:val="single" w:sz="4" w:space="0" w:color="auto"/>
            </w:tcBorders>
            <w:shd w:val="clear" w:color="auto" w:fill="auto"/>
            <w:noWrap/>
            <w:vAlign w:val="bottom"/>
            <w:hideMark/>
          </w:tcPr>
          <w:p w14:paraId="76CF598A"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31.8</w:t>
            </w:r>
          </w:p>
        </w:tc>
      </w:tr>
      <w:tr w:rsidR="006D0036" w:rsidRPr="006D0036" w14:paraId="2163F970"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B190713"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4A31411D"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Female </w:t>
            </w:r>
          </w:p>
        </w:tc>
        <w:tc>
          <w:tcPr>
            <w:tcW w:w="1440" w:type="dxa"/>
            <w:tcBorders>
              <w:top w:val="nil"/>
              <w:left w:val="nil"/>
              <w:bottom w:val="single" w:sz="4" w:space="0" w:color="auto"/>
              <w:right w:val="single" w:sz="4" w:space="0" w:color="auto"/>
            </w:tcBorders>
            <w:shd w:val="clear" w:color="auto" w:fill="auto"/>
            <w:noWrap/>
            <w:vAlign w:val="bottom"/>
            <w:hideMark/>
          </w:tcPr>
          <w:p w14:paraId="5E9BCDE0"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92,864</w:t>
            </w:r>
          </w:p>
        </w:tc>
        <w:tc>
          <w:tcPr>
            <w:tcW w:w="1620" w:type="dxa"/>
            <w:tcBorders>
              <w:top w:val="nil"/>
              <w:left w:val="nil"/>
              <w:bottom w:val="single" w:sz="4" w:space="0" w:color="auto"/>
              <w:right w:val="single" w:sz="4" w:space="0" w:color="auto"/>
            </w:tcBorders>
            <w:shd w:val="clear" w:color="auto" w:fill="auto"/>
            <w:noWrap/>
            <w:vAlign w:val="bottom"/>
            <w:hideMark/>
          </w:tcPr>
          <w:p w14:paraId="1A35EA23"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68.2</w:t>
            </w:r>
          </w:p>
        </w:tc>
      </w:tr>
      <w:tr w:rsidR="006D0036" w:rsidRPr="006D0036" w14:paraId="0B2836C1"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365046C"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256768B2" w14:textId="4098F701"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Age Category</w:t>
            </w:r>
          </w:p>
        </w:tc>
      </w:tr>
      <w:tr w:rsidR="006D0036" w:rsidRPr="006D0036" w14:paraId="41608517"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20C94589"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647D4DD1"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16-39 </w:t>
            </w:r>
          </w:p>
        </w:tc>
        <w:tc>
          <w:tcPr>
            <w:tcW w:w="1440" w:type="dxa"/>
            <w:tcBorders>
              <w:top w:val="nil"/>
              <w:left w:val="nil"/>
              <w:bottom w:val="single" w:sz="4" w:space="0" w:color="auto"/>
              <w:right w:val="single" w:sz="4" w:space="0" w:color="auto"/>
            </w:tcBorders>
            <w:shd w:val="clear" w:color="auto" w:fill="auto"/>
            <w:noWrap/>
            <w:vAlign w:val="bottom"/>
            <w:hideMark/>
          </w:tcPr>
          <w:p w14:paraId="361F3BD8"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82,186</w:t>
            </w:r>
          </w:p>
        </w:tc>
        <w:tc>
          <w:tcPr>
            <w:tcW w:w="1620" w:type="dxa"/>
            <w:tcBorders>
              <w:top w:val="nil"/>
              <w:left w:val="nil"/>
              <w:bottom w:val="single" w:sz="4" w:space="0" w:color="auto"/>
              <w:right w:val="single" w:sz="4" w:space="0" w:color="auto"/>
            </w:tcBorders>
            <w:shd w:val="clear" w:color="auto" w:fill="auto"/>
            <w:noWrap/>
            <w:vAlign w:val="bottom"/>
            <w:hideMark/>
          </w:tcPr>
          <w:p w14:paraId="67479D0A"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60.3</w:t>
            </w:r>
          </w:p>
        </w:tc>
      </w:tr>
      <w:tr w:rsidR="006D0036" w:rsidRPr="006D0036" w14:paraId="7BB2B9CC"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2EDE91E2"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2B8F4C5E"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40-59 </w:t>
            </w:r>
          </w:p>
        </w:tc>
        <w:tc>
          <w:tcPr>
            <w:tcW w:w="1440" w:type="dxa"/>
            <w:tcBorders>
              <w:top w:val="nil"/>
              <w:left w:val="nil"/>
              <w:bottom w:val="single" w:sz="4" w:space="0" w:color="auto"/>
              <w:right w:val="single" w:sz="4" w:space="0" w:color="auto"/>
            </w:tcBorders>
            <w:shd w:val="clear" w:color="auto" w:fill="auto"/>
            <w:noWrap/>
            <w:vAlign w:val="bottom"/>
            <w:hideMark/>
          </w:tcPr>
          <w:p w14:paraId="33716DA5"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36,702</w:t>
            </w:r>
          </w:p>
        </w:tc>
        <w:tc>
          <w:tcPr>
            <w:tcW w:w="1620" w:type="dxa"/>
            <w:tcBorders>
              <w:top w:val="nil"/>
              <w:left w:val="nil"/>
              <w:bottom w:val="single" w:sz="4" w:space="0" w:color="auto"/>
              <w:right w:val="single" w:sz="4" w:space="0" w:color="auto"/>
            </w:tcBorders>
            <w:shd w:val="clear" w:color="auto" w:fill="auto"/>
            <w:noWrap/>
            <w:vAlign w:val="bottom"/>
            <w:hideMark/>
          </w:tcPr>
          <w:p w14:paraId="21880EF6"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26.9</w:t>
            </w:r>
          </w:p>
        </w:tc>
      </w:tr>
      <w:tr w:rsidR="006D0036" w:rsidRPr="006D0036" w14:paraId="63737A81"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28EBD6D"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w:t>
            </w:r>
          </w:p>
        </w:tc>
        <w:tc>
          <w:tcPr>
            <w:tcW w:w="3150" w:type="dxa"/>
            <w:tcBorders>
              <w:top w:val="nil"/>
              <w:left w:val="nil"/>
              <w:bottom w:val="single" w:sz="4" w:space="0" w:color="auto"/>
              <w:right w:val="single" w:sz="4" w:space="0" w:color="auto"/>
            </w:tcBorders>
            <w:shd w:val="clear" w:color="auto" w:fill="auto"/>
            <w:noWrap/>
            <w:vAlign w:val="bottom"/>
            <w:hideMark/>
          </w:tcPr>
          <w:p w14:paraId="0905AAE2"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60+ </w:t>
            </w:r>
          </w:p>
        </w:tc>
        <w:tc>
          <w:tcPr>
            <w:tcW w:w="1440" w:type="dxa"/>
            <w:tcBorders>
              <w:top w:val="nil"/>
              <w:left w:val="nil"/>
              <w:bottom w:val="single" w:sz="4" w:space="0" w:color="auto"/>
              <w:right w:val="single" w:sz="4" w:space="0" w:color="auto"/>
            </w:tcBorders>
            <w:shd w:val="clear" w:color="auto" w:fill="auto"/>
            <w:noWrap/>
            <w:vAlign w:val="bottom"/>
            <w:hideMark/>
          </w:tcPr>
          <w:p w14:paraId="397960FD"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17,347</w:t>
            </w:r>
          </w:p>
        </w:tc>
        <w:tc>
          <w:tcPr>
            <w:tcW w:w="1620" w:type="dxa"/>
            <w:tcBorders>
              <w:top w:val="nil"/>
              <w:left w:val="nil"/>
              <w:bottom w:val="single" w:sz="4" w:space="0" w:color="auto"/>
              <w:right w:val="single" w:sz="4" w:space="0" w:color="auto"/>
            </w:tcBorders>
            <w:shd w:val="clear" w:color="auto" w:fill="auto"/>
            <w:noWrap/>
            <w:vAlign w:val="bottom"/>
            <w:hideMark/>
          </w:tcPr>
          <w:p w14:paraId="008AAF4B"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12.7</w:t>
            </w:r>
          </w:p>
        </w:tc>
      </w:tr>
      <w:tr w:rsidR="006D0036" w:rsidRPr="006D0036" w14:paraId="2FDF997D"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02F91C9"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1BF8B90B" w14:textId="4AC9FC81"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Marital Status</w:t>
            </w:r>
          </w:p>
        </w:tc>
      </w:tr>
      <w:tr w:rsidR="006D0036" w:rsidRPr="006D0036" w14:paraId="7DED0237"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010169F"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74408CCD" w14:textId="70D6D86B"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divorced/</w:t>
            </w:r>
            <w:r w:rsidR="00F81BFB" w:rsidRPr="00DD596B">
              <w:rPr>
                <w:rFonts w:ascii="Arial" w:eastAsia="Times New Roman" w:hAnsi="Arial" w:cs="Arial"/>
                <w:color w:val="000000"/>
                <w:kern w:val="0"/>
                <w:sz w:val="22"/>
                <w:szCs w:val="22"/>
                <w14:ligatures w14:val="none"/>
              </w:rPr>
              <w:t>separated</w:t>
            </w:r>
            <w:r w:rsidRPr="006D0036">
              <w:rPr>
                <w:rFonts w:ascii="Arial" w:eastAsia="Times New Roman" w:hAnsi="Arial" w:cs="Arial"/>
                <w:color w:val="000000"/>
                <w:kern w:val="0"/>
                <w:sz w:val="22"/>
                <w:szCs w:val="22"/>
                <w14:ligatures w14:val="none"/>
              </w:rPr>
              <w:t xml:space="preserve">/widowed </w:t>
            </w:r>
          </w:p>
        </w:tc>
        <w:tc>
          <w:tcPr>
            <w:tcW w:w="1440" w:type="dxa"/>
            <w:tcBorders>
              <w:top w:val="nil"/>
              <w:left w:val="nil"/>
              <w:bottom w:val="single" w:sz="4" w:space="0" w:color="auto"/>
              <w:right w:val="single" w:sz="4" w:space="0" w:color="auto"/>
            </w:tcBorders>
            <w:shd w:val="clear" w:color="auto" w:fill="auto"/>
            <w:noWrap/>
            <w:vAlign w:val="bottom"/>
            <w:hideMark/>
          </w:tcPr>
          <w:p w14:paraId="6B6699C5"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9,338</w:t>
            </w:r>
          </w:p>
        </w:tc>
        <w:tc>
          <w:tcPr>
            <w:tcW w:w="1620" w:type="dxa"/>
            <w:tcBorders>
              <w:top w:val="nil"/>
              <w:left w:val="nil"/>
              <w:bottom w:val="single" w:sz="4" w:space="0" w:color="auto"/>
              <w:right w:val="single" w:sz="4" w:space="0" w:color="auto"/>
            </w:tcBorders>
            <w:shd w:val="clear" w:color="auto" w:fill="auto"/>
            <w:noWrap/>
            <w:vAlign w:val="bottom"/>
            <w:hideMark/>
          </w:tcPr>
          <w:p w14:paraId="5A25F9CD"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6.9</w:t>
            </w:r>
          </w:p>
        </w:tc>
      </w:tr>
      <w:tr w:rsidR="006D0036" w:rsidRPr="006D0036" w14:paraId="16FF1494"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87AE288"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6D513A45"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Married </w:t>
            </w:r>
          </w:p>
        </w:tc>
        <w:tc>
          <w:tcPr>
            <w:tcW w:w="1440" w:type="dxa"/>
            <w:tcBorders>
              <w:top w:val="nil"/>
              <w:left w:val="nil"/>
              <w:bottom w:val="single" w:sz="4" w:space="0" w:color="auto"/>
              <w:right w:val="single" w:sz="4" w:space="0" w:color="auto"/>
            </w:tcBorders>
            <w:shd w:val="clear" w:color="auto" w:fill="auto"/>
            <w:noWrap/>
            <w:vAlign w:val="bottom"/>
            <w:hideMark/>
          </w:tcPr>
          <w:p w14:paraId="6035521D"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99,732</w:t>
            </w:r>
          </w:p>
        </w:tc>
        <w:tc>
          <w:tcPr>
            <w:tcW w:w="1620" w:type="dxa"/>
            <w:tcBorders>
              <w:top w:val="nil"/>
              <w:left w:val="nil"/>
              <w:bottom w:val="single" w:sz="4" w:space="0" w:color="auto"/>
              <w:right w:val="single" w:sz="4" w:space="0" w:color="auto"/>
            </w:tcBorders>
            <w:shd w:val="clear" w:color="auto" w:fill="auto"/>
            <w:noWrap/>
            <w:vAlign w:val="bottom"/>
            <w:hideMark/>
          </w:tcPr>
          <w:p w14:paraId="789C15D9"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73.2</w:t>
            </w:r>
          </w:p>
        </w:tc>
      </w:tr>
      <w:tr w:rsidR="006D0036" w:rsidRPr="006D0036" w14:paraId="52D070BE"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2C53739"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w:t>
            </w:r>
          </w:p>
        </w:tc>
        <w:tc>
          <w:tcPr>
            <w:tcW w:w="3150" w:type="dxa"/>
            <w:tcBorders>
              <w:top w:val="nil"/>
              <w:left w:val="nil"/>
              <w:bottom w:val="single" w:sz="4" w:space="0" w:color="auto"/>
              <w:right w:val="single" w:sz="4" w:space="0" w:color="auto"/>
            </w:tcBorders>
            <w:shd w:val="clear" w:color="auto" w:fill="auto"/>
            <w:noWrap/>
            <w:vAlign w:val="bottom"/>
            <w:hideMark/>
          </w:tcPr>
          <w:p w14:paraId="72E46E27"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Unmarried </w:t>
            </w:r>
          </w:p>
        </w:tc>
        <w:tc>
          <w:tcPr>
            <w:tcW w:w="1440" w:type="dxa"/>
            <w:tcBorders>
              <w:top w:val="nil"/>
              <w:left w:val="nil"/>
              <w:bottom w:val="single" w:sz="4" w:space="0" w:color="auto"/>
              <w:right w:val="single" w:sz="4" w:space="0" w:color="auto"/>
            </w:tcBorders>
            <w:shd w:val="clear" w:color="auto" w:fill="auto"/>
            <w:noWrap/>
            <w:vAlign w:val="bottom"/>
            <w:hideMark/>
          </w:tcPr>
          <w:p w14:paraId="4062D650"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27,166</w:t>
            </w:r>
          </w:p>
        </w:tc>
        <w:tc>
          <w:tcPr>
            <w:tcW w:w="1620" w:type="dxa"/>
            <w:tcBorders>
              <w:top w:val="nil"/>
              <w:left w:val="nil"/>
              <w:bottom w:val="single" w:sz="4" w:space="0" w:color="auto"/>
              <w:right w:val="single" w:sz="4" w:space="0" w:color="auto"/>
            </w:tcBorders>
            <w:shd w:val="clear" w:color="auto" w:fill="auto"/>
            <w:noWrap/>
            <w:vAlign w:val="bottom"/>
            <w:hideMark/>
          </w:tcPr>
          <w:p w14:paraId="2AC4968D"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19.9</w:t>
            </w:r>
          </w:p>
        </w:tc>
      </w:tr>
      <w:tr w:rsidR="006D0036" w:rsidRPr="006D0036" w14:paraId="6CED5267"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21821AD7"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174C8093" w14:textId="18A8790E"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Education Category</w:t>
            </w:r>
          </w:p>
        </w:tc>
      </w:tr>
      <w:tr w:rsidR="006D0036" w:rsidRPr="006D0036" w14:paraId="5F94C400"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77F32CD"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15CCC635"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No education </w:t>
            </w:r>
          </w:p>
        </w:tc>
        <w:tc>
          <w:tcPr>
            <w:tcW w:w="1440" w:type="dxa"/>
            <w:tcBorders>
              <w:top w:val="nil"/>
              <w:left w:val="nil"/>
              <w:bottom w:val="single" w:sz="4" w:space="0" w:color="auto"/>
              <w:right w:val="single" w:sz="4" w:space="0" w:color="auto"/>
            </w:tcBorders>
            <w:shd w:val="clear" w:color="auto" w:fill="auto"/>
            <w:noWrap/>
            <w:vAlign w:val="bottom"/>
            <w:hideMark/>
          </w:tcPr>
          <w:p w14:paraId="6BDC89A9"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40,070</w:t>
            </w:r>
          </w:p>
        </w:tc>
        <w:tc>
          <w:tcPr>
            <w:tcW w:w="1620" w:type="dxa"/>
            <w:tcBorders>
              <w:top w:val="nil"/>
              <w:left w:val="nil"/>
              <w:bottom w:val="single" w:sz="4" w:space="0" w:color="auto"/>
              <w:right w:val="single" w:sz="4" w:space="0" w:color="auto"/>
            </w:tcBorders>
            <w:shd w:val="clear" w:color="auto" w:fill="auto"/>
            <w:noWrap/>
            <w:vAlign w:val="bottom"/>
            <w:hideMark/>
          </w:tcPr>
          <w:p w14:paraId="069A1142"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29.4</w:t>
            </w:r>
          </w:p>
        </w:tc>
      </w:tr>
      <w:tr w:rsidR="006D0036" w:rsidRPr="006D0036" w14:paraId="62D332B2"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9302896"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7791F49B"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Basic Education </w:t>
            </w:r>
          </w:p>
        </w:tc>
        <w:tc>
          <w:tcPr>
            <w:tcW w:w="1440" w:type="dxa"/>
            <w:tcBorders>
              <w:top w:val="nil"/>
              <w:left w:val="nil"/>
              <w:bottom w:val="single" w:sz="4" w:space="0" w:color="auto"/>
              <w:right w:val="single" w:sz="4" w:space="0" w:color="auto"/>
            </w:tcBorders>
            <w:shd w:val="clear" w:color="auto" w:fill="auto"/>
            <w:noWrap/>
            <w:vAlign w:val="bottom"/>
            <w:hideMark/>
          </w:tcPr>
          <w:p w14:paraId="3561D0A6"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42,722</w:t>
            </w:r>
          </w:p>
        </w:tc>
        <w:tc>
          <w:tcPr>
            <w:tcW w:w="1620" w:type="dxa"/>
            <w:tcBorders>
              <w:top w:val="nil"/>
              <w:left w:val="nil"/>
              <w:bottom w:val="single" w:sz="4" w:space="0" w:color="auto"/>
              <w:right w:val="single" w:sz="4" w:space="0" w:color="auto"/>
            </w:tcBorders>
            <w:shd w:val="clear" w:color="auto" w:fill="auto"/>
            <w:noWrap/>
            <w:vAlign w:val="bottom"/>
            <w:hideMark/>
          </w:tcPr>
          <w:p w14:paraId="048E5157"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31.4</w:t>
            </w:r>
          </w:p>
        </w:tc>
      </w:tr>
      <w:tr w:rsidR="006D0036" w:rsidRPr="006D0036" w14:paraId="62F764AF"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B4CCA6D"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w:t>
            </w:r>
          </w:p>
        </w:tc>
        <w:tc>
          <w:tcPr>
            <w:tcW w:w="3150" w:type="dxa"/>
            <w:tcBorders>
              <w:top w:val="nil"/>
              <w:left w:val="nil"/>
              <w:bottom w:val="single" w:sz="4" w:space="0" w:color="auto"/>
              <w:right w:val="single" w:sz="4" w:space="0" w:color="auto"/>
            </w:tcBorders>
            <w:shd w:val="clear" w:color="auto" w:fill="auto"/>
            <w:noWrap/>
            <w:vAlign w:val="bottom"/>
            <w:hideMark/>
          </w:tcPr>
          <w:p w14:paraId="2BFEA9CA"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Secondary or Higher </w:t>
            </w:r>
          </w:p>
        </w:tc>
        <w:tc>
          <w:tcPr>
            <w:tcW w:w="1440" w:type="dxa"/>
            <w:tcBorders>
              <w:top w:val="nil"/>
              <w:left w:val="nil"/>
              <w:bottom w:val="single" w:sz="4" w:space="0" w:color="auto"/>
              <w:right w:val="single" w:sz="4" w:space="0" w:color="auto"/>
            </w:tcBorders>
            <w:shd w:val="clear" w:color="auto" w:fill="auto"/>
            <w:noWrap/>
            <w:vAlign w:val="bottom"/>
            <w:hideMark/>
          </w:tcPr>
          <w:p w14:paraId="63C47D54"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53,443</w:t>
            </w:r>
          </w:p>
        </w:tc>
        <w:tc>
          <w:tcPr>
            <w:tcW w:w="1620" w:type="dxa"/>
            <w:tcBorders>
              <w:top w:val="nil"/>
              <w:left w:val="nil"/>
              <w:bottom w:val="single" w:sz="4" w:space="0" w:color="auto"/>
              <w:right w:val="single" w:sz="4" w:space="0" w:color="auto"/>
            </w:tcBorders>
            <w:shd w:val="clear" w:color="auto" w:fill="auto"/>
            <w:noWrap/>
            <w:vAlign w:val="bottom"/>
            <w:hideMark/>
          </w:tcPr>
          <w:p w14:paraId="0408DC48"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39.2</w:t>
            </w:r>
          </w:p>
        </w:tc>
      </w:tr>
      <w:tr w:rsidR="006D0036" w:rsidRPr="006D0036" w14:paraId="5E622E61"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7DE860F"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3EC9CA49" w14:textId="77777777"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Residency</w:t>
            </w:r>
          </w:p>
        </w:tc>
      </w:tr>
      <w:tr w:rsidR="006D0036" w:rsidRPr="006D0036" w14:paraId="7C268485"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79A3399"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71BA7827"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Rural</w:t>
            </w:r>
          </w:p>
        </w:tc>
        <w:tc>
          <w:tcPr>
            <w:tcW w:w="1440" w:type="dxa"/>
            <w:tcBorders>
              <w:top w:val="nil"/>
              <w:left w:val="nil"/>
              <w:bottom w:val="single" w:sz="4" w:space="0" w:color="auto"/>
              <w:right w:val="single" w:sz="4" w:space="0" w:color="auto"/>
            </w:tcBorders>
            <w:shd w:val="clear" w:color="auto" w:fill="auto"/>
            <w:noWrap/>
            <w:vAlign w:val="bottom"/>
            <w:hideMark/>
          </w:tcPr>
          <w:p w14:paraId="19A06EE0"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44,500</w:t>
            </w:r>
          </w:p>
        </w:tc>
        <w:tc>
          <w:tcPr>
            <w:tcW w:w="1620" w:type="dxa"/>
            <w:tcBorders>
              <w:top w:val="nil"/>
              <w:left w:val="nil"/>
              <w:bottom w:val="single" w:sz="4" w:space="0" w:color="auto"/>
              <w:right w:val="single" w:sz="4" w:space="0" w:color="auto"/>
            </w:tcBorders>
            <w:shd w:val="clear" w:color="auto" w:fill="auto"/>
            <w:noWrap/>
            <w:vAlign w:val="bottom"/>
            <w:hideMark/>
          </w:tcPr>
          <w:p w14:paraId="3ACA40D8"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32.7</w:t>
            </w:r>
          </w:p>
        </w:tc>
      </w:tr>
      <w:tr w:rsidR="006D0036" w:rsidRPr="006D0036" w14:paraId="6CB4ADFB"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CB6CB4A"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3BA1C228"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Urban</w:t>
            </w:r>
          </w:p>
        </w:tc>
        <w:tc>
          <w:tcPr>
            <w:tcW w:w="1440" w:type="dxa"/>
            <w:tcBorders>
              <w:top w:val="nil"/>
              <w:left w:val="nil"/>
              <w:bottom w:val="single" w:sz="4" w:space="0" w:color="auto"/>
              <w:right w:val="single" w:sz="4" w:space="0" w:color="auto"/>
            </w:tcBorders>
            <w:shd w:val="clear" w:color="auto" w:fill="auto"/>
            <w:noWrap/>
            <w:vAlign w:val="bottom"/>
            <w:hideMark/>
          </w:tcPr>
          <w:p w14:paraId="47A23E24"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91,736</w:t>
            </w:r>
          </w:p>
        </w:tc>
        <w:tc>
          <w:tcPr>
            <w:tcW w:w="1620" w:type="dxa"/>
            <w:tcBorders>
              <w:top w:val="nil"/>
              <w:left w:val="nil"/>
              <w:bottom w:val="single" w:sz="4" w:space="0" w:color="auto"/>
              <w:right w:val="single" w:sz="4" w:space="0" w:color="auto"/>
            </w:tcBorders>
            <w:shd w:val="clear" w:color="auto" w:fill="auto"/>
            <w:noWrap/>
            <w:vAlign w:val="bottom"/>
            <w:hideMark/>
          </w:tcPr>
          <w:p w14:paraId="3636BB1A"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67.3</w:t>
            </w:r>
          </w:p>
        </w:tc>
      </w:tr>
      <w:tr w:rsidR="006D0036" w:rsidRPr="006D0036" w14:paraId="22DD29F5"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A8378B5"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50BAA1C7" w14:textId="77777777"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Ecological Belt</w:t>
            </w:r>
          </w:p>
        </w:tc>
      </w:tr>
      <w:tr w:rsidR="006D0036" w:rsidRPr="006D0036" w14:paraId="41D0E19A"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99F6D9A"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143C7F5F"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Mountain</w:t>
            </w:r>
          </w:p>
        </w:tc>
        <w:tc>
          <w:tcPr>
            <w:tcW w:w="1440" w:type="dxa"/>
            <w:tcBorders>
              <w:top w:val="nil"/>
              <w:left w:val="nil"/>
              <w:bottom w:val="single" w:sz="4" w:space="0" w:color="auto"/>
              <w:right w:val="single" w:sz="4" w:space="0" w:color="auto"/>
            </w:tcBorders>
            <w:shd w:val="clear" w:color="auto" w:fill="auto"/>
            <w:noWrap/>
            <w:vAlign w:val="bottom"/>
            <w:hideMark/>
          </w:tcPr>
          <w:p w14:paraId="6FEF0B7E"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7,462</w:t>
            </w:r>
          </w:p>
        </w:tc>
        <w:tc>
          <w:tcPr>
            <w:tcW w:w="1620" w:type="dxa"/>
            <w:tcBorders>
              <w:top w:val="nil"/>
              <w:left w:val="nil"/>
              <w:bottom w:val="single" w:sz="4" w:space="0" w:color="auto"/>
              <w:right w:val="single" w:sz="4" w:space="0" w:color="auto"/>
            </w:tcBorders>
            <w:shd w:val="clear" w:color="auto" w:fill="auto"/>
            <w:noWrap/>
            <w:vAlign w:val="bottom"/>
            <w:hideMark/>
          </w:tcPr>
          <w:p w14:paraId="4098D284"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5.5</w:t>
            </w:r>
          </w:p>
        </w:tc>
      </w:tr>
      <w:tr w:rsidR="006D0036" w:rsidRPr="006D0036" w14:paraId="1195C8BE"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56BAE03"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lastRenderedPageBreak/>
              <w:t>2</w:t>
            </w:r>
          </w:p>
        </w:tc>
        <w:tc>
          <w:tcPr>
            <w:tcW w:w="3150" w:type="dxa"/>
            <w:tcBorders>
              <w:top w:val="nil"/>
              <w:left w:val="nil"/>
              <w:bottom w:val="single" w:sz="4" w:space="0" w:color="auto"/>
              <w:right w:val="single" w:sz="4" w:space="0" w:color="auto"/>
            </w:tcBorders>
            <w:shd w:val="clear" w:color="auto" w:fill="auto"/>
            <w:noWrap/>
            <w:vAlign w:val="bottom"/>
            <w:hideMark/>
          </w:tcPr>
          <w:p w14:paraId="0EFF4D22"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Hill</w:t>
            </w:r>
          </w:p>
        </w:tc>
        <w:tc>
          <w:tcPr>
            <w:tcW w:w="1440" w:type="dxa"/>
            <w:tcBorders>
              <w:top w:val="nil"/>
              <w:left w:val="nil"/>
              <w:bottom w:val="single" w:sz="4" w:space="0" w:color="auto"/>
              <w:right w:val="single" w:sz="4" w:space="0" w:color="auto"/>
            </w:tcBorders>
            <w:shd w:val="clear" w:color="auto" w:fill="auto"/>
            <w:noWrap/>
            <w:vAlign w:val="bottom"/>
            <w:hideMark/>
          </w:tcPr>
          <w:p w14:paraId="733ED2FC"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55,462</w:t>
            </w:r>
          </w:p>
        </w:tc>
        <w:tc>
          <w:tcPr>
            <w:tcW w:w="1620" w:type="dxa"/>
            <w:tcBorders>
              <w:top w:val="nil"/>
              <w:left w:val="nil"/>
              <w:bottom w:val="single" w:sz="4" w:space="0" w:color="auto"/>
              <w:right w:val="single" w:sz="4" w:space="0" w:color="auto"/>
            </w:tcBorders>
            <w:shd w:val="clear" w:color="auto" w:fill="auto"/>
            <w:noWrap/>
            <w:vAlign w:val="bottom"/>
            <w:hideMark/>
          </w:tcPr>
          <w:p w14:paraId="4C31123F"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40.7</w:t>
            </w:r>
          </w:p>
        </w:tc>
      </w:tr>
      <w:tr w:rsidR="006D0036" w:rsidRPr="006D0036" w14:paraId="3DCCAC2B"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A42C9EF"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w:t>
            </w:r>
          </w:p>
        </w:tc>
        <w:tc>
          <w:tcPr>
            <w:tcW w:w="3150" w:type="dxa"/>
            <w:tcBorders>
              <w:top w:val="nil"/>
              <w:left w:val="nil"/>
              <w:bottom w:val="single" w:sz="4" w:space="0" w:color="auto"/>
              <w:right w:val="single" w:sz="4" w:space="0" w:color="auto"/>
            </w:tcBorders>
            <w:shd w:val="clear" w:color="auto" w:fill="auto"/>
            <w:noWrap/>
            <w:vAlign w:val="bottom"/>
            <w:hideMark/>
          </w:tcPr>
          <w:p w14:paraId="2F49B668"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Terai</w:t>
            </w:r>
          </w:p>
        </w:tc>
        <w:tc>
          <w:tcPr>
            <w:tcW w:w="1440" w:type="dxa"/>
            <w:tcBorders>
              <w:top w:val="nil"/>
              <w:left w:val="nil"/>
              <w:bottom w:val="single" w:sz="4" w:space="0" w:color="auto"/>
              <w:right w:val="single" w:sz="4" w:space="0" w:color="auto"/>
            </w:tcBorders>
            <w:shd w:val="clear" w:color="auto" w:fill="auto"/>
            <w:noWrap/>
            <w:vAlign w:val="bottom"/>
            <w:hideMark/>
          </w:tcPr>
          <w:p w14:paraId="39E792CB"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73,312</w:t>
            </w:r>
          </w:p>
        </w:tc>
        <w:tc>
          <w:tcPr>
            <w:tcW w:w="1620" w:type="dxa"/>
            <w:tcBorders>
              <w:top w:val="nil"/>
              <w:left w:val="nil"/>
              <w:bottom w:val="single" w:sz="4" w:space="0" w:color="auto"/>
              <w:right w:val="single" w:sz="4" w:space="0" w:color="auto"/>
            </w:tcBorders>
            <w:shd w:val="clear" w:color="auto" w:fill="auto"/>
            <w:noWrap/>
            <w:vAlign w:val="bottom"/>
            <w:hideMark/>
          </w:tcPr>
          <w:p w14:paraId="03F73584"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53.8</w:t>
            </w:r>
          </w:p>
        </w:tc>
      </w:tr>
      <w:tr w:rsidR="006D0036" w:rsidRPr="006D0036" w14:paraId="295CDDC0"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FF5D5B2"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4513F2F8" w14:textId="2A2F3767"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Wealth Categories of Participants</w:t>
            </w:r>
          </w:p>
        </w:tc>
      </w:tr>
      <w:tr w:rsidR="006D0036" w:rsidRPr="006D0036" w14:paraId="38494B7A"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AB3D76E"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105C7825"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Poor</w:t>
            </w:r>
          </w:p>
        </w:tc>
        <w:tc>
          <w:tcPr>
            <w:tcW w:w="1440" w:type="dxa"/>
            <w:tcBorders>
              <w:top w:val="nil"/>
              <w:left w:val="nil"/>
              <w:bottom w:val="single" w:sz="4" w:space="0" w:color="auto"/>
              <w:right w:val="single" w:sz="4" w:space="0" w:color="auto"/>
            </w:tcBorders>
            <w:shd w:val="clear" w:color="auto" w:fill="auto"/>
            <w:noWrap/>
            <w:vAlign w:val="bottom"/>
            <w:hideMark/>
          </w:tcPr>
          <w:p w14:paraId="4679ED78"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52,345</w:t>
            </w:r>
          </w:p>
        </w:tc>
        <w:tc>
          <w:tcPr>
            <w:tcW w:w="1620" w:type="dxa"/>
            <w:tcBorders>
              <w:top w:val="nil"/>
              <w:left w:val="nil"/>
              <w:bottom w:val="single" w:sz="4" w:space="0" w:color="auto"/>
              <w:right w:val="single" w:sz="4" w:space="0" w:color="auto"/>
            </w:tcBorders>
            <w:shd w:val="clear" w:color="auto" w:fill="auto"/>
            <w:noWrap/>
            <w:vAlign w:val="bottom"/>
            <w:hideMark/>
          </w:tcPr>
          <w:p w14:paraId="4E98001E"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38.4</w:t>
            </w:r>
          </w:p>
        </w:tc>
      </w:tr>
      <w:tr w:rsidR="006D0036" w:rsidRPr="006D0036" w14:paraId="152FA5B1"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EE15338"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55428B9F"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Middle </w:t>
            </w:r>
          </w:p>
        </w:tc>
        <w:tc>
          <w:tcPr>
            <w:tcW w:w="1440" w:type="dxa"/>
            <w:tcBorders>
              <w:top w:val="nil"/>
              <w:left w:val="nil"/>
              <w:bottom w:val="single" w:sz="4" w:space="0" w:color="auto"/>
              <w:right w:val="single" w:sz="4" w:space="0" w:color="auto"/>
            </w:tcBorders>
            <w:shd w:val="clear" w:color="auto" w:fill="auto"/>
            <w:noWrap/>
            <w:vAlign w:val="bottom"/>
            <w:hideMark/>
          </w:tcPr>
          <w:p w14:paraId="74F32B66"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26,737</w:t>
            </w:r>
          </w:p>
        </w:tc>
        <w:tc>
          <w:tcPr>
            <w:tcW w:w="1620" w:type="dxa"/>
            <w:tcBorders>
              <w:top w:val="nil"/>
              <w:left w:val="nil"/>
              <w:bottom w:val="single" w:sz="4" w:space="0" w:color="auto"/>
              <w:right w:val="single" w:sz="4" w:space="0" w:color="auto"/>
            </w:tcBorders>
            <w:shd w:val="clear" w:color="auto" w:fill="auto"/>
            <w:noWrap/>
            <w:vAlign w:val="bottom"/>
            <w:hideMark/>
          </w:tcPr>
          <w:p w14:paraId="2FD4E3B0"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19.6</w:t>
            </w:r>
          </w:p>
        </w:tc>
      </w:tr>
      <w:tr w:rsidR="006D0036" w:rsidRPr="006D0036" w14:paraId="53781315"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FF4271A"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w:t>
            </w:r>
          </w:p>
        </w:tc>
        <w:tc>
          <w:tcPr>
            <w:tcW w:w="3150" w:type="dxa"/>
            <w:tcBorders>
              <w:top w:val="nil"/>
              <w:left w:val="nil"/>
              <w:bottom w:val="single" w:sz="4" w:space="0" w:color="auto"/>
              <w:right w:val="single" w:sz="4" w:space="0" w:color="auto"/>
            </w:tcBorders>
            <w:shd w:val="clear" w:color="auto" w:fill="auto"/>
            <w:noWrap/>
            <w:vAlign w:val="bottom"/>
            <w:hideMark/>
          </w:tcPr>
          <w:p w14:paraId="348D0C4E"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Rich</w:t>
            </w:r>
          </w:p>
        </w:tc>
        <w:tc>
          <w:tcPr>
            <w:tcW w:w="1440" w:type="dxa"/>
            <w:tcBorders>
              <w:top w:val="nil"/>
              <w:left w:val="nil"/>
              <w:bottom w:val="single" w:sz="4" w:space="0" w:color="auto"/>
              <w:right w:val="single" w:sz="4" w:space="0" w:color="auto"/>
            </w:tcBorders>
            <w:shd w:val="clear" w:color="auto" w:fill="auto"/>
            <w:noWrap/>
            <w:vAlign w:val="bottom"/>
            <w:hideMark/>
          </w:tcPr>
          <w:p w14:paraId="221DC97B"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57,154</w:t>
            </w:r>
          </w:p>
        </w:tc>
        <w:tc>
          <w:tcPr>
            <w:tcW w:w="1620" w:type="dxa"/>
            <w:tcBorders>
              <w:top w:val="nil"/>
              <w:left w:val="nil"/>
              <w:bottom w:val="single" w:sz="4" w:space="0" w:color="auto"/>
              <w:right w:val="single" w:sz="4" w:space="0" w:color="auto"/>
            </w:tcBorders>
            <w:shd w:val="clear" w:color="auto" w:fill="auto"/>
            <w:noWrap/>
            <w:vAlign w:val="bottom"/>
            <w:hideMark/>
          </w:tcPr>
          <w:p w14:paraId="6BC72F8D"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42</w:t>
            </w:r>
          </w:p>
        </w:tc>
      </w:tr>
      <w:tr w:rsidR="006D0036" w:rsidRPr="006D0036" w14:paraId="5337D347"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080E4F8"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2BDCDDDB" w14:textId="29A717BF"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Blood Pressure Category</w:t>
            </w:r>
          </w:p>
        </w:tc>
      </w:tr>
      <w:tr w:rsidR="006D0036" w:rsidRPr="006D0036" w14:paraId="026E5A88"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FB137E4"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6CB9EB49"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Normal </w:t>
            </w:r>
          </w:p>
        </w:tc>
        <w:tc>
          <w:tcPr>
            <w:tcW w:w="1440" w:type="dxa"/>
            <w:tcBorders>
              <w:top w:val="nil"/>
              <w:left w:val="nil"/>
              <w:bottom w:val="single" w:sz="4" w:space="0" w:color="auto"/>
              <w:right w:val="single" w:sz="4" w:space="0" w:color="auto"/>
            </w:tcBorders>
            <w:shd w:val="clear" w:color="auto" w:fill="auto"/>
            <w:noWrap/>
            <w:vAlign w:val="bottom"/>
            <w:hideMark/>
          </w:tcPr>
          <w:p w14:paraId="338437F8"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62,059</w:t>
            </w:r>
          </w:p>
        </w:tc>
        <w:tc>
          <w:tcPr>
            <w:tcW w:w="1620" w:type="dxa"/>
            <w:tcBorders>
              <w:top w:val="nil"/>
              <w:left w:val="nil"/>
              <w:bottom w:val="single" w:sz="4" w:space="0" w:color="auto"/>
              <w:right w:val="single" w:sz="4" w:space="0" w:color="auto"/>
            </w:tcBorders>
            <w:shd w:val="clear" w:color="auto" w:fill="auto"/>
            <w:noWrap/>
            <w:vAlign w:val="bottom"/>
            <w:hideMark/>
          </w:tcPr>
          <w:p w14:paraId="72640706"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61.5</w:t>
            </w:r>
          </w:p>
        </w:tc>
      </w:tr>
      <w:tr w:rsidR="006D0036" w:rsidRPr="006D0036" w14:paraId="3557D970"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E93D5DE"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688083E9"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Hypertensive </w:t>
            </w:r>
          </w:p>
        </w:tc>
        <w:tc>
          <w:tcPr>
            <w:tcW w:w="1440" w:type="dxa"/>
            <w:tcBorders>
              <w:top w:val="nil"/>
              <w:left w:val="nil"/>
              <w:bottom w:val="single" w:sz="4" w:space="0" w:color="auto"/>
              <w:right w:val="single" w:sz="4" w:space="0" w:color="auto"/>
            </w:tcBorders>
            <w:shd w:val="clear" w:color="auto" w:fill="auto"/>
            <w:noWrap/>
            <w:vAlign w:val="bottom"/>
            <w:hideMark/>
          </w:tcPr>
          <w:p w14:paraId="25515F75"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38,915</w:t>
            </w:r>
          </w:p>
        </w:tc>
        <w:tc>
          <w:tcPr>
            <w:tcW w:w="1620" w:type="dxa"/>
            <w:tcBorders>
              <w:top w:val="nil"/>
              <w:left w:val="nil"/>
              <w:bottom w:val="single" w:sz="4" w:space="0" w:color="auto"/>
              <w:right w:val="single" w:sz="4" w:space="0" w:color="auto"/>
            </w:tcBorders>
            <w:shd w:val="clear" w:color="auto" w:fill="auto"/>
            <w:noWrap/>
            <w:vAlign w:val="bottom"/>
            <w:hideMark/>
          </w:tcPr>
          <w:p w14:paraId="3DC7CEDD"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38.5</w:t>
            </w:r>
          </w:p>
        </w:tc>
      </w:tr>
      <w:tr w:rsidR="006D0036" w:rsidRPr="006D0036" w14:paraId="505090D8"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63D7FC6"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6210" w:type="dxa"/>
            <w:gridSpan w:val="3"/>
            <w:tcBorders>
              <w:top w:val="single" w:sz="4" w:space="0" w:color="auto"/>
              <w:left w:val="nil"/>
              <w:bottom w:val="single" w:sz="4" w:space="0" w:color="auto"/>
              <w:right w:val="single" w:sz="4" w:space="0" w:color="auto"/>
            </w:tcBorders>
            <w:shd w:val="clear" w:color="000000" w:fill="ADADAD"/>
            <w:noWrap/>
            <w:vAlign w:val="bottom"/>
            <w:hideMark/>
          </w:tcPr>
          <w:p w14:paraId="005B797E" w14:textId="588DDAA8" w:rsidR="006D0036" w:rsidRPr="006D0036" w:rsidRDefault="006D0036" w:rsidP="00254F5F">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BMI Category</w:t>
            </w:r>
          </w:p>
        </w:tc>
      </w:tr>
      <w:tr w:rsidR="006D0036" w:rsidRPr="006D0036" w14:paraId="71561906"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DD17F8B"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2916CDE4"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Normal </w:t>
            </w:r>
          </w:p>
        </w:tc>
        <w:tc>
          <w:tcPr>
            <w:tcW w:w="1440" w:type="dxa"/>
            <w:tcBorders>
              <w:top w:val="nil"/>
              <w:left w:val="nil"/>
              <w:bottom w:val="single" w:sz="4" w:space="0" w:color="auto"/>
              <w:right w:val="single" w:sz="4" w:space="0" w:color="auto"/>
            </w:tcBorders>
            <w:shd w:val="clear" w:color="auto" w:fill="auto"/>
            <w:noWrap/>
            <w:vAlign w:val="bottom"/>
            <w:hideMark/>
          </w:tcPr>
          <w:p w14:paraId="6AE567DC"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78,148</w:t>
            </w:r>
          </w:p>
        </w:tc>
        <w:tc>
          <w:tcPr>
            <w:tcW w:w="1620" w:type="dxa"/>
            <w:tcBorders>
              <w:top w:val="nil"/>
              <w:left w:val="nil"/>
              <w:bottom w:val="single" w:sz="4" w:space="0" w:color="auto"/>
              <w:right w:val="single" w:sz="4" w:space="0" w:color="auto"/>
            </w:tcBorders>
            <w:shd w:val="clear" w:color="auto" w:fill="auto"/>
            <w:noWrap/>
            <w:vAlign w:val="bottom"/>
            <w:hideMark/>
          </w:tcPr>
          <w:p w14:paraId="7DCE606C"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57.5</w:t>
            </w:r>
          </w:p>
        </w:tc>
      </w:tr>
      <w:tr w:rsidR="006D0036" w:rsidRPr="006D0036" w14:paraId="288D1B4A"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F0AFCE2"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33942DC3"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 Overweight/Obese </w:t>
            </w:r>
          </w:p>
        </w:tc>
        <w:tc>
          <w:tcPr>
            <w:tcW w:w="1440" w:type="dxa"/>
            <w:tcBorders>
              <w:top w:val="nil"/>
              <w:left w:val="nil"/>
              <w:bottom w:val="single" w:sz="4" w:space="0" w:color="auto"/>
              <w:right w:val="single" w:sz="4" w:space="0" w:color="auto"/>
            </w:tcBorders>
            <w:shd w:val="clear" w:color="auto" w:fill="auto"/>
            <w:noWrap/>
            <w:vAlign w:val="bottom"/>
            <w:hideMark/>
          </w:tcPr>
          <w:p w14:paraId="56AC6C81"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57,763</w:t>
            </w:r>
          </w:p>
        </w:tc>
        <w:tc>
          <w:tcPr>
            <w:tcW w:w="1620" w:type="dxa"/>
            <w:tcBorders>
              <w:top w:val="nil"/>
              <w:left w:val="nil"/>
              <w:bottom w:val="single" w:sz="4" w:space="0" w:color="auto"/>
              <w:right w:val="single" w:sz="4" w:space="0" w:color="auto"/>
            </w:tcBorders>
            <w:shd w:val="clear" w:color="auto" w:fill="auto"/>
            <w:noWrap/>
            <w:vAlign w:val="bottom"/>
            <w:hideMark/>
          </w:tcPr>
          <w:p w14:paraId="2FCB6276"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42.5</w:t>
            </w:r>
          </w:p>
        </w:tc>
      </w:tr>
      <w:tr w:rsidR="00254F5F" w:rsidRPr="00DD596B" w14:paraId="19FC22D6"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85CB83B" w14:textId="77777777"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w:t>
            </w:r>
          </w:p>
        </w:tc>
        <w:tc>
          <w:tcPr>
            <w:tcW w:w="3150" w:type="dxa"/>
            <w:tcBorders>
              <w:top w:val="nil"/>
              <w:left w:val="nil"/>
              <w:bottom w:val="single" w:sz="4" w:space="0" w:color="auto"/>
              <w:right w:val="single" w:sz="4" w:space="0" w:color="auto"/>
            </w:tcBorders>
            <w:shd w:val="clear" w:color="000000" w:fill="ADADAD"/>
            <w:noWrap/>
            <w:vAlign w:val="bottom"/>
            <w:hideMark/>
          </w:tcPr>
          <w:p w14:paraId="28147AD0" w14:textId="77777777" w:rsidR="006D0036" w:rsidRPr="006D0036" w:rsidRDefault="006D0036" w:rsidP="006D0036">
            <w:pPr>
              <w:spacing w:after="0" w:line="240" w:lineRule="auto"/>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 </w:t>
            </w:r>
          </w:p>
        </w:tc>
        <w:tc>
          <w:tcPr>
            <w:tcW w:w="1440" w:type="dxa"/>
            <w:tcBorders>
              <w:top w:val="nil"/>
              <w:left w:val="nil"/>
              <w:bottom w:val="single" w:sz="4" w:space="0" w:color="auto"/>
              <w:right w:val="single" w:sz="4" w:space="0" w:color="auto"/>
            </w:tcBorders>
            <w:shd w:val="clear" w:color="000000" w:fill="ADADAD"/>
            <w:noWrap/>
            <w:vAlign w:val="bottom"/>
            <w:hideMark/>
          </w:tcPr>
          <w:p w14:paraId="34B84D10" w14:textId="07427183" w:rsidR="006D0036" w:rsidRPr="006D0036" w:rsidRDefault="006D0036" w:rsidP="00254F5F">
            <w:pPr>
              <w:spacing w:after="0" w:line="240" w:lineRule="auto"/>
              <w:jc w:val="center"/>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Total</w:t>
            </w:r>
          </w:p>
        </w:tc>
        <w:tc>
          <w:tcPr>
            <w:tcW w:w="1620" w:type="dxa"/>
            <w:tcBorders>
              <w:top w:val="nil"/>
              <w:left w:val="nil"/>
              <w:bottom w:val="single" w:sz="4" w:space="0" w:color="auto"/>
              <w:right w:val="single" w:sz="4" w:space="0" w:color="auto"/>
            </w:tcBorders>
            <w:shd w:val="clear" w:color="000000" w:fill="ADADAD"/>
            <w:noWrap/>
            <w:vAlign w:val="bottom"/>
            <w:hideMark/>
          </w:tcPr>
          <w:p w14:paraId="1D712DF0" w14:textId="50B0C71B" w:rsidR="006D0036" w:rsidRPr="006D0036" w:rsidRDefault="006D0036" w:rsidP="00254F5F">
            <w:pPr>
              <w:spacing w:after="0" w:line="240" w:lineRule="auto"/>
              <w:jc w:val="center"/>
              <w:rPr>
                <w:rFonts w:ascii="Arial" w:eastAsia="Times New Roman" w:hAnsi="Arial" w:cs="Arial"/>
                <w:b/>
                <w:bCs/>
                <w:color w:val="000000"/>
                <w:kern w:val="0"/>
                <w:sz w:val="22"/>
                <w:szCs w:val="22"/>
                <w14:ligatures w14:val="none"/>
              </w:rPr>
            </w:pPr>
            <w:r w:rsidRPr="006D0036">
              <w:rPr>
                <w:rFonts w:ascii="Arial" w:eastAsia="Times New Roman" w:hAnsi="Arial" w:cs="Arial"/>
                <w:b/>
                <w:bCs/>
                <w:color w:val="000000"/>
                <w:kern w:val="0"/>
                <w:sz w:val="22"/>
                <w:szCs w:val="22"/>
                <w14:ligatures w14:val="none"/>
              </w:rPr>
              <w:t>Mean</w:t>
            </w:r>
            <w:r w:rsidR="00254F5F" w:rsidRPr="00DD596B">
              <w:rPr>
                <w:rFonts w:ascii="Arial" w:eastAsia="Times New Roman" w:hAnsi="Arial" w:cs="Arial"/>
                <w:b/>
                <w:bCs/>
                <w:color w:val="000000"/>
                <w:kern w:val="0"/>
                <w:sz w:val="22"/>
                <w:szCs w:val="22"/>
                <w14:ligatures w14:val="none"/>
              </w:rPr>
              <w:t xml:space="preserve"> </w:t>
            </w:r>
            <w:r w:rsidRPr="006D0036">
              <w:rPr>
                <w:rFonts w:ascii="Arial" w:eastAsia="Times New Roman" w:hAnsi="Arial" w:cs="Arial"/>
                <w:b/>
                <w:bCs/>
                <w:color w:val="000000"/>
                <w:kern w:val="0"/>
                <w:sz w:val="22"/>
                <w:szCs w:val="22"/>
                <w14:ligatures w14:val="none"/>
              </w:rPr>
              <w:t>(SD)</w:t>
            </w:r>
          </w:p>
        </w:tc>
      </w:tr>
      <w:tr w:rsidR="006D0036" w:rsidRPr="006D0036" w14:paraId="3A5B545C"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8D12CA0"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w:t>
            </w:r>
          </w:p>
        </w:tc>
        <w:tc>
          <w:tcPr>
            <w:tcW w:w="3150" w:type="dxa"/>
            <w:tcBorders>
              <w:top w:val="nil"/>
              <w:left w:val="nil"/>
              <w:bottom w:val="single" w:sz="4" w:space="0" w:color="auto"/>
              <w:right w:val="single" w:sz="4" w:space="0" w:color="auto"/>
            </w:tcBorders>
            <w:shd w:val="clear" w:color="auto" w:fill="auto"/>
            <w:noWrap/>
            <w:vAlign w:val="bottom"/>
            <w:hideMark/>
          </w:tcPr>
          <w:p w14:paraId="0BAA01DF" w14:textId="32A2CE74"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Age </w:t>
            </w:r>
          </w:p>
        </w:tc>
        <w:tc>
          <w:tcPr>
            <w:tcW w:w="1440" w:type="dxa"/>
            <w:tcBorders>
              <w:top w:val="nil"/>
              <w:left w:val="nil"/>
              <w:bottom w:val="single" w:sz="4" w:space="0" w:color="auto"/>
              <w:right w:val="single" w:sz="4" w:space="0" w:color="auto"/>
            </w:tcBorders>
            <w:shd w:val="clear" w:color="auto" w:fill="auto"/>
            <w:noWrap/>
            <w:vAlign w:val="bottom"/>
            <w:hideMark/>
          </w:tcPr>
          <w:p w14:paraId="14167259"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13,540</w:t>
            </w:r>
          </w:p>
        </w:tc>
        <w:tc>
          <w:tcPr>
            <w:tcW w:w="1620" w:type="dxa"/>
            <w:tcBorders>
              <w:top w:val="nil"/>
              <w:left w:val="nil"/>
              <w:bottom w:val="single" w:sz="4" w:space="0" w:color="auto"/>
              <w:right w:val="single" w:sz="4" w:space="0" w:color="auto"/>
            </w:tcBorders>
            <w:shd w:val="clear" w:color="auto" w:fill="auto"/>
            <w:noWrap/>
            <w:vAlign w:val="bottom"/>
            <w:hideMark/>
          </w:tcPr>
          <w:p w14:paraId="3C2D8BDC" w14:textId="4CCF7601"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37.9(16.59)</w:t>
            </w:r>
          </w:p>
        </w:tc>
      </w:tr>
      <w:tr w:rsidR="006D0036" w:rsidRPr="006D0036" w14:paraId="6DEB790A"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5CC0144D"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w:t>
            </w:r>
          </w:p>
        </w:tc>
        <w:tc>
          <w:tcPr>
            <w:tcW w:w="3150" w:type="dxa"/>
            <w:tcBorders>
              <w:top w:val="nil"/>
              <w:left w:val="nil"/>
              <w:bottom w:val="single" w:sz="4" w:space="0" w:color="auto"/>
              <w:right w:val="single" w:sz="4" w:space="0" w:color="auto"/>
            </w:tcBorders>
            <w:shd w:val="clear" w:color="auto" w:fill="auto"/>
            <w:noWrap/>
            <w:vAlign w:val="bottom"/>
            <w:hideMark/>
          </w:tcPr>
          <w:p w14:paraId="4FD7C7BB" w14:textId="23E566BB"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Systolic BP </w:t>
            </w:r>
          </w:p>
        </w:tc>
        <w:tc>
          <w:tcPr>
            <w:tcW w:w="1440" w:type="dxa"/>
            <w:tcBorders>
              <w:top w:val="nil"/>
              <w:left w:val="nil"/>
              <w:bottom w:val="single" w:sz="4" w:space="0" w:color="auto"/>
              <w:right w:val="single" w:sz="4" w:space="0" w:color="auto"/>
            </w:tcBorders>
            <w:shd w:val="clear" w:color="auto" w:fill="auto"/>
            <w:noWrap/>
            <w:vAlign w:val="bottom"/>
            <w:hideMark/>
          </w:tcPr>
          <w:p w14:paraId="24163125"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10,022</w:t>
            </w:r>
          </w:p>
        </w:tc>
        <w:tc>
          <w:tcPr>
            <w:tcW w:w="1620" w:type="dxa"/>
            <w:tcBorders>
              <w:top w:val="nil"/>
              <w:left w:val="nil"/>
              <w:bottom w:val="single" w:sz="4" w:space="0" w:color="auto"/>
              <w:right w:val="single" w:sz="4" w:space="0" w:color="auto"/>
            </w:tcBorders>
            <w:shd w:val="clear" w:color="auto" w:fill="auto"/>
            <w:noWrap/>
            <w:vAlign w:val="bottom"/>
            <w:hideMark/>
          </w:tcPr>
          <w:p w14:paraId="0268149D" w14:textId="627B63C8"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116.83(19.63)</w:t>
            </w:r>
          </w:p>
        </w:tc>
      </w:tr>
      <w:tr w:rsidR="006D0036" w:rsidRPr="006D0036" w14:paraId="0EF3D7CB"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D8F62B4"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3</w:t>
            </w:r>
          </w:p>
        </w:tc>
        <w:tc>
          <w:tcPr>
            <w:tcW w:w="3150" w:type="dxa"/>
            <w:tcBorders>
              <w:top w:val="nil"/>
              <w:left w:val="nil"/>
              <w:bottom w:val="single" w:sz="4" w:space="0" w:color="auto"/>
              <w:right w:val="single" w:sz="4" w:space="0" w:color="auto"/>
            </w:tcBorders>
            <w:shd w:val="clear" w:color="auto" w:fill="auto"/>
            <w:noWrap/>
            <w:vAlign w:val="bottom"/>
            <w:hideMark/>
          </w:tcPr>
          <w:p w14:paraId="00CA7DB8" w14:textId="37A3D9C0"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Diastolic BP </w:t>
            </w:r>
          </w:p>
        </w:tc>
        <w:tc>
          <w:tcPr>
            <w:tcW w:w="1440" w:type="dxa"/>
            <w:tcBorders>
              <w:top w:val="nil"/>
              <w:left w:val="nil"/>
              <w:bottom w:val="single" w:sz="4" w:space="0" w:color="auto"/>
              <w:right w:val="single" w:sz="4" w:space="0" w:color="auto"/>
            </w:tcBorders>
            <w:shd w:val="clear" w:color="auto" w:fill="auto"/>
            <w:noWrap/>
            <w:vAlign w:val="bottom"/>
            <w:hideMark/>
          </w:tcPr>
          <w:p w14:paraId="7345A5BA"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10,022</w:t>
            </w:r>
          </w:p>
        </w:tc>
        <w:tc>
          <w:tcPr>
            <w:tcW w:w="1620" w:type="dxa"/>
            <w:tcBorders>
              <w:top w:val="nil"/>
              <w:left w:val="nil"/>
              <w:bottom w:val="single" w:sz="4" w:space="0" w:color="auto"/>
              <w:right w:val="single" w:sz="4" w:space="0" w:color="auto"/>
            </w:tcBorders>
            <w:shd w:val="clear" w:color="auto" w:fill="auto"/>
            <w:noWrap/>
            <w:vAlign w:val="bottom"/>
            <w:hideMark/>
          </w:tcPr>
          <w:p w14:paraId="51F3BF04" w14:textId="1F3EC2E0"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75.96(11.52)</w:t>
            </w:r>
          </w:p>
        </w:tc>
      </w:tr>
      <w:tr w:rsidR="006D0036" w:rsidRPr="006D0036" w14:paraId="206FA692"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BAA4A55"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4</w:t>
            </w:r>
          </w:p>
        </w:tc>
        <w:tc>
          <w:tcPr>
            <w:tcW w:w="3150" w:type="dxa"/>
            <w:tcBorders>
              <w:top w:val="nil"/>
              <w:left w:val="nil"/>
              <w:bottom w:val="single" w:sz="4" w:space="0" w:color="auto"/>
              <w:right w:val="single" w:sz="4" w:space="0" w:color="auto"/>
            </w:tcBorders>
            <w:shd w:val="clear" w:color="auto" w:fill="auto"/>
            <w:noWrap/>
            <w:vAlign w:val="bottom"/>
            <w:hideMark/>
          </w:tcPr>
          <w:p w14:paraId="0EF27294" w14:textId="3DC4880B"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 xml:space="preserve">BMI </w:t>
            </w:r>
          </w:p>
        </w:tc>
        <w:tc>
          <w:tcPr>
            <w:tcW w:w="1440" w:type="dxa"/>
            <w:tcBorders>
              <w:top w:val="nil"/>
              <w:left w:val="nil"/>
              <w:bottom w:val="single" w:sz="4" w:space="0" w:color="auto"/>
              <w:right w:val="single" w:sz="4" w:space="0" w:color="auto"/>
            </w:tcBorders>
            <w:shd w:val="clear" w:color="auto" w:fill="auto"/>
            <w:noWrap/>
            <w:vAlign w:val="bottom"/>
            <w:hideMark/>
          </w:tcPr>
          <w:p w14:paraId="06224720"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13,508</w:t>
            </w:r>
          </w:p>
        </w:tc>
        <w:tc>
          <w:tcPr>
            <w:tcW w:w="1620" w:type="dxa"/>
            <w:tcBorders>
              <w:top w:val="nil"/>
              <w:left w:val="nil"/>
              <w:bottom w:val="single" w:sz="4" w:space="0" w:color="auto"/>
              <w:right w:val="single" w:sz="4" w:space="0" w:color="auto"/>
            </w:tcBorders>
            <w:shd w:val="clear" w:color="auto" w:fill="auto"/>
            <w:noWrap/>
            <w:vAlign w:val="bottom"/>
            <w:hideMark/>
          </w:tcPr>
          <w:p w14:paraId="6C0F424E" w14:textId="79180EE0"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22.82(4.24)</w:t>
            </w:r>
          </w:p>
        </w:tc>
      </w:tr>
      <w:tr w:rsidR="006D0036" w:rsidRPr="006D0036" w14:paraId="4668D764"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655E8CE"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w:t>
            </w:r>
          </w:p>
        </w:tc>
        <w:tc>
          <w:tcPr>
            <w:tcW w:w="3150" w:type="dxa"/>
            <w:tcBorders>
              <w:top w:val="nil"/>
              <w:left w:val="nil"/>
              <w:bottom w:val="single" w:sz="4" w:space="0" w:color="auto"/>
              <w:right w:val="single" w:sz="4" w:space="0" w:color="auto"/>
            </w:tcBorders>
            <w:shd w:val="clear" w:color="auto" w:fill="auto"/>
            <w:noWrap/>
            <w:vAlign w:val="bottom"/>
            <w:hideMark/>
          </w:tcPr>
          <w:p w14:paraId="58D128C3" w14:textId="5E236F1B" w:rsidR="006D0036" w:rsidRPr="006D0036" w:rsidRDefault="006D0036" w:rsidP="006D0036">
            <w:pPr>
              <w:spacing w:after="0" w:line="240" w:lineRule="auto"/>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Height (</w:t>
            </w:r>
            <w:proofErr w:type="spellStart"/>
            <w:r w:rsidR="00254F5F" w:rsidRPr="00DD596B">
              <w:rPr>
                <w:rFonts w:ascii="Arial" w:eastAsia="Times New Roman" w:hAnsi="Arial" w:cs="Arial"/>
                <w:color w:val="000000"/>
                <w:kern w:val="0"/>
                <w:sz w:val="22"/>
                <w:szCs w:val="22"/>
                <w14:ligatures w14:val="none"/>
              </w:rPr>
              <w:t>Mt</w:t>
            </w:r>
            <w:r w:rsidRPr="006D0036">
              <w:rPr>
                <w:rFonts w:ascii="Arial" w:eastAsia="Times New Roman" w:hAnsi="Arial" w:cs="Arial"/>
                <w:color w:val="000000"/>
                <w:kern w:val="0"/>
                <w:sz w:val="22"/>
                <w:szCs w:val="22"/>
                <w14:ligatures w14:val="none"/>
              </w:rPr>
              <w:t>r</w:t>
            </w:r>
            <w:proofErr w:type="spellEnd"/>
            <w:r w:rsidRPr="006D0036">
              <w:rPr>
                <w:rFonts w:ascii="Arial" w:eastAsia="Times New Roman" w:hAnsi="Arial" w:cs="Arial"/>
                <w:color w:val="000000"/>
                <w:kern w:val="0"/>
                <w:sz w:val="22"/>
                <w:szCs w:val="22"/>
                <w14:ligatures w14:val="none"/>
              </w:rPr>
              <w:t>)</w:t>
            </w:r>
          </w:p>
        </w:tc>
        <w:tc>
          <w:tcPr>
            <w:tcW w:w="1440" w:type="dxa"/>
            <w:tcBorders>
              <w:top w:val="nil"/>
              <w:left w:val="nil"/>
              <w:bottom w:val="single" w:sz="4" w:space="0" w:color="auto"/>
              <w:right w:val="single" w:sz="4" w:space="0" w:color="auto"/>
            </w:tcBorders>
            <w:shd w:val="clear" w:color="auto" w:fill="auto"/>
            <w:noWrap/>
            <w:vAlign w:val="bottom"/>
            <w:hideMark/>
          </w:tcPr>
          <w:p w14:paraId="6B15997A"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13,510</w:t>
            </w:r>
          </w:p>
        </w:tc>
        <w:tc>
          <w:tcPr>
            <w:tcW w:w="1620" w:type="dxa"/>
            <w:tcBorders>
              <w:top w:val="nil"/>
              <w:left w:val="nil"/>
              <w:bottom w:val="single" w:sz="4" w:space="0" w:color="auto"/>
              <w:right w:val="single" w:sz="4" w:space="0" w:color="auto"/>
            </w:tcBorders>
            <w:shd w:val="clear" w:color="auto" w:fill="auto"/>
            <w:noWrap/>
            <w:vAlign w:val="bottom"/>
            <w:hideMark/>
          </w:tcPr>
          <w:p w14:paraId="36ADD8F4" w14:textId="2BAD3772"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1.55(0.08)</w:t>
            </w:r>
          </w:p>
        </w:tc>
      </w:tr>
      <w:tr w:rsidR="006D0036" w:rsidRPr="006D0036" w14:paraId="624346B9" w14:textId="77777777" w:rsidTr="00254F5F">
        <w:trPr>
          <w:trHeight w:val="290"/>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F1BED7F" w14:textId="77777777" w:rsidR="006D0036" w:rsidRPr="006D0036" w:rsidRDefault="006D0036" w:rsidP="006D0036">
            <w:pPr>
              <w:spacing w:after="0" w:line="240" w:lineRule="auto"/>
              <w:jc w:val="right"/>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6</w:t>
            </w:r>
          </w:p>
        </w:tc>
        <w:tc>
          <w:tcPr>
            <w:tcW w:w="3150" w:type="dxa"/>
            <w:tcBorders>
              <w:top w:val="nil"/>
              <w:left w:val="nil"/>
              <w:bottom w:val="single" w:sz="4" w:space="0" w:color="auto"/>
              <w:right w:val="single" w:sz="4" w:space="0" w:color="auto"/>
            </w:tcBorders>
            <w:shd w:val="clear" w:color="auto" w:fill="auto"/>
            <w:noWrap/>
            <w:vAlign w:val="bottom"/>
            <w:hideMark/>
          </w:tcPr>
          <w:p w14:paraId="2D72F6A2" w14:textId="68EF4204" w:rsidR="006D0036" w:rsidRPr="006D0036" w:rsidRDefault="00254F5F" w:rsidP="006D0036">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W</w:t>
            </w:r>
            <w:r w:rsidR="006D0036" w:rsidRPr="006D0036">
              <w:rPr>
                <w:rFonts w:ascii="Arial" w:eastAsia="Times New Roman" w:hAnsi="Arial" w:cs="Arial"/>
                <w:color w:val="000000"/>
                <w:kern w:val="0"/>
                <w:sz w:val="22"/>
                <w:szCs w:val="22"/>
                <w14:ligatures w14:val="none"/>
              </w:rPr>
              <w:t>eight(kg)</w:t>
            </w:r>
          </w:p>
        </w:tc>
        <w:tc>
          <w:tcPr>
            <w:tcW w:w="1440" w:type="dxa"/>
            <w:tcBorders>
              <w:top w:val="nil"/>
              <w:left w:val="nil"/>
              <w:bottom w:val="single" w:sz="4" w:space="0" w:color="auto"/>
              <w:right w:val="single" w:sz="4" w:space="0" w:color="auto"/>
            </w:tcBorders>
            <w:shd w:val="clear" w:color="auto" w:fill="auto"/>
            <w:noWrap/>
            <w:vAlign w:val="bottom"/>
            <w:hideMark/>
          </w:tcPr>
          <w:p w14:paraId="2E6C61FF"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13,523</w:t>
            </w:r>
          </w:p>
        </w:tc>
        <w:tc>
          <w:tcPr>
            <w:tcW w:w="1620" w:type="dxa"/>
            <w:tcBorders>
              <w:top w:val="nil"/>
              <w:left w:val="nil"/>
              <w:bottom w:val="single" w:sz="4" w:space="0" w:color="auto"/>
              <w:right w:val="single" w:sz="4" w:space="0" w:color="auto"/>
            </w:tcBorders>
            <w:shd w:val="clear" w:color="auto" w:fill="auto"/>
            <w:noWrap/>
            <w:vAlign w:val="bottom"/>
            <w:hideMark/>
          </w:tcPr>
          <w:p w14:paraId="0EF82F82" w14:textId="77777777" w:rsidR="006D0036" w:rsidRPr="006D0036" w:rsidRDefault="006D0036" w:rsidP="00254F5F">
            <w:pPr>
              <w:spacing w:after="0" w:line="240" w:lineRule="auto"/>
              <w:jc w:val="center"/>
              <w:rPr>
                <w:rFonts w:ascii="Arial" w:eastAsia="Times New Roman" w:hAnsi="Arial" w:cs="Arial"/>
                <w:color w:val="000000"/>
                <w:kern w:val="0"/>
                <w:sz w:val="22"/>
                <w:szCs w:val="22"/>
                <w14:ligatures w14:val="none"/>
              </w:rPr>
            </w:pPr>
            <w:r w:rsidRPr="006D0036">
              <w:rPr>
                <w:rFonts w:ascii="Arial" w:eastAsia="Times New Roman" w:hAnsi="Arial" w:cs="Arial"/>
                <w:color w:val="000000"/>
                <w:kern w:val="0"/>
                <w:sz w:val="22"/>
                <w:szCs w:val="22"/>
                <w14:ligatures w14:val="none"/>
              </w:rPr>
              <w:t>55.03(11.58)</w:t>
            </w:r>
          </w:p>
        </w:tc>
      </w:tr>
    </w:tbl>
    <w:p w14:paraId="3A6FA0BF" w14:textId="29528D75" w:rsidR="006D0036" w:rsidRPr="00DD596B" w:rsidRDefault="006D0036" w:rsidP="006D0036">
      <w:pPr>
        <w:spacing w:after="0" w:line="240" w:lineRule="auto"/>
        <w:jc w:val="both"/>
        <w:rPr>
          <w:rFonts w:ascii="Arial" w:hAnsi="Arial" w:cs="Arial"/>
          <w:sz w:val="22"/>
          <w:szCs w:val="22"/>
        </w:rPr>
      </w:pPr>
      <w:r w:rsidRPr="00DD596B">
        <w:rPr>
          <w:rFonts w:ascii="Arial" w:hAnsi="Arial" w:cs="Arial"/>
          <w:sz w:val="22"/>
          <w:szCs w:val="22"/>
        </w:rPr>
        <w:t>**</w:t>
      </w:r>
      <w:r w:rsidRPr="00DD596B">
        <w:rPr>
          <w:rFonts w:ascii="Arial" w:hAnsi="Arial" w:cs="Arial"/>
          <w:sz w:val="22"/>
          <w:szCs w:val="22"/>
        </w:rPr>
        <w:t xml:space="preserve">All percentages are </w:t>
      </w:r>
      <w:r w:rsidRPr="00DD596B">
        <w:rPr>
          <w:rFonts w:ascii="Arial" w:hAnsi="Arial" w:cs="Arial"/>
          <w:sz w:val="22"/>
          <w:szCs w:val="22"/>
        </w:rPr>
        <w:t>weighted</w:t>
      </w:r>
      <w:r w:rsidRPr="00DD596B">
        <w:rPr>
          <w:rFonts w:ascii="Arial" w:hAnsi="Arial" w:cs="Arial"/>
          <w:sz w:val="22"/>
          <w:szCs w:val="22"/>
        </w:rPr>
        <w:t xml:space="preserve"> to account for survey design. </w:t>
      </w:r>
    </w:p>
    <w:p w14:paraId="4CF6FE1C" w14:textId="77777777" w:rsidR="006D0036" w:rsidRPr="00DD596B" w:rsidRDefault="006D0036" w:rsidP="006D0036">
      <w:pPr>
        <w:spacing w:after="0" w:line="240" w:lineRule="auto"/>
        <w:jc w:val="both"/>
        <w:rPr>
          <w:rFonts w:ascii="Arial" w:hAnsi="Arial" w:cs="Arial"/>
          <w:sz w:val="22"/>
          <w:szCs w:val="22"/>
        </w:rPr>
      </w:pPr>
      <w:r w:rsidRPr="00DD596B">
        <w:rPr>
          <w:rFonts w:ascii="Arial" w:hAnsi="Arial" w:cs="Arial"/>
          <w:sz w:val="22"/>
          <w:szCs w:val="22"/>
        </w:rPr>
        <w:t>**</w:t>
      </w:r>
      <w:r w:rsidRPr="00DD596B">
        <w:rPr>
          <w:rFonts w:ascii="Arial" w:hAnsi="Arial" w:cs="Arial"/>
          <w:sz w:val="22"/>
          <w:szCs w:val="22"/>
        </w:rPr>
        <w:t>BP: Blood Pressure</w:t>
      </w:r>
    </w:p>
    <w:p w14:paraId="13715F3B" w14:textId="52AFF419" w:rsidR="006D0036" w:rsidRPr="00DD596B" w:rsidRDefault="006D0036" w:rsidP="006D0036">
      <w:pPr>
        <w:spacing w:after="0" w:line="240" w:lineRule="auto"/>
        <w:jc w:val="both"/>
        <w:rPr>
          <w:rFonts w:ascii="Arial" w:hAnsi="Arial" w:cs="Arial"/>
          <w:sz w:val="22"/>
          <w:szCs w:val="22"/>
        </w:rPr>
      </w:pPr>
      <w:r w:rsidRPr="00DD596B">
        <w:rPr>
          <w:rFonts w:ascii="Arial" w:hAnsi="Arial" w:cs="Arial"/>
          <w:sz w:val="22"/>
          <w:szCs w:val="22"/>
        </w:rPr>
        <w:t>**</w:t>
      </w:r>
      <w:r w:rsidRPr="00DD596B">
        <w:rPr>
          <w:rFonts w:ascii="Arial" w:hAnsi="Arial" w:cs="Arial"/>
          <w:sz w:val="22"/>
          <w:szCs w:val="22"/>
        </w:rPr>
        <w:t>BMI: Body Mass Index</w:t>
      </w:r>
    </w:p>
    <w:p w14:paraId="63E9065E" w14:textId="43345174" w:rsidR="00341CC3" w:rsidRPr="00DD596B" w:rsidRDefault="006D0036" w:rsidP="006D0036">
      <w:pPr>
        <w:spacing w:after="0" w:line="240" w:lineRule="auto"/>
        <w:jc w:val="both"/>
        <w:rPr>
          <w:rFonts w:ascii="Arial" w:hAnsi="Arial" w:cs="Arial"/>
          <w:sz w:val="22"/>
          <w:szCs w:val="22"/>
        </w:rPr>
      </w:pPr>
      <w:r w:rsidRPr="00DD596B">
        <w:rPr>
          <w:rFonts w:ascii="Arial" w:hAnsi="Arial" w:cs="Arial"/>
          <w:sz w:val="22"/>
          <w:szCs w:val="22"/>
        </w:rPr>
        <w:t>**</w:t>
      </w:r>
      <w:r w:rsidRPr="00DD596B">
        <w:rPr>
          <w:rFonts w:ascii="Arial" w:hAnsi="Arial" w:cs="Arial"/>
          <w:sz w:val="22"/>
          <w:szCs w:val="22"/>
        </w:rPr>
        <w:t>SD: Standard Deviation</w:t>
      </w:r>
    </w:p>
    <w:p w14:paraId="262A4DF9" w14:textId="77777777" w:rsidR="00341CC3" w:rsidRPr="00DD596B" w:rsidRDefault="00341CC3" w:rsidP="00873E93">
      <w:pPr>
        <w:spacing w:after="0" w:line="360" w:lineRule="auto"/>
        <w:jc w:val="both"/>
        <w:rPr>
          <w:rFonts w:ascii="Arial" w:hAnsi="Arial" w:cs="Arial"/>
          <w:sz w:val="22"/>
          <w:szCs w:val="22"/>
        </w:rPr>
      </w:pPr>
    </w:p>
    <w:p w14:paraId="0FDA8A03" w14:textId="022CAA42" w:rsidR="00B816B8" w:rsidRPr="00DD596B" w:rsidRDefault="00B816B8" w:rsidP="00B816B8">
      <w:pPr>
        <w:jc w:val="both"/>
        <w:rPr>
          <w:rFonts w:ascii="Arial" w:hAnsi="Arial" w:cs="Arial"/>
          <w:sz w:val="22"/>
          <w:szCs w:val="22"/>
        </w:rPr>
      </w:pPr>
      <w:r w:rsidRPr="00DD596B">
        <w:rPr>
          <w:rFonts w:ascii="Arial" w:hAnsi="Arial" w:cs="Arial"/>
          <w:sz w:val="22"/>
          <w:szCs w:val="22"/>
        </w:rPr>
        <w:t xml:space="preserve">Table 2 represents the </w:t>
      </w:r>
      <w:r w:rsidRPr="00DD596B">
        <w:rPr>
          <w:rFonts w:ascii="Arial" w:hAnsi="Arial" w:cs="Arial"/>
          <w:sz w:val="22"/>
          <w:szCs w:val="22"/>
        </w:rPr>
        <w:t xml:space="preserve">spatial scan statistics </w:t>
      </w:r>
      <w:r w:rsidRPr="00DD596B">
        <w:rPr>
          <w:rFonts w:ascii="Arial" w:hAnsi="Arial" w:cs="Arial"/>
          <w:sz w:val="22"/>
          <w:szCs w:val="22"/>
        </w:rPr>
        <w:t xml:space="preserve">that </w:t>
      </w:r>
      <w:r w:rsidRPr="00DD596B">
        <w:rPr>
          <w:rFonts w:ascii="Arial" w:hAnsi="Arial" w:cs="Arial"/>
          <w:sz w:val="22"/>
          <w:szCs w:val="22"/>
        </w:rPr>
        <w:t>identified twelve statistically significant clusters of BMI distribution across Nepal (p&lt;0.05). High-risk clusters (RR&gt;1.0) were predominantly observed in five geographic locations (C1, C4, C5, C7, and C10), with relative risks ranging from 1.54 to 1.60. The largest high-risk cluster (C1) encompassed a radius of 148.48 km with a population of 3,309 individuals (RR</w:t>
      </w:r>
      <w:r w:rsidR="00EB0CED">
        <w:rPr>
          <w:rFonts w:ascii="Arial" w:hAnsi="Arial" w:cs="Arial"/>
          <w:sz w:val="22"/>
          <w:szCs w:val="22"/>
        </w:rPr>
        <w:t xml:space="preserve"> </w:t>
      </w:r>
      <w:r w:rsidRPr="00DD596B">
        <w:rPr>
          <w:rFonts w:ascii="Arial" w:hAnsi="Arial" w:cs="Arial"/>
          <w:sz w:val="22"/>
          <w:szCs w:val="22"/>
        </w:rPr>
        <w:t>1.60, p&lt;0.001). This cluster demonstrated the highest log-likelihood ratio</w:t>
      </w:r>
      <w:r w:rsidRPr="00DD596B">
        <w:rPr>
          <w:rFonts w:ascii="Arial" w:hAnsi="Arial" w:cs="Arial"/>
          <w:sz w:val="22"/>
          <w:szCs w:val="22"/>
        </w:rPr>
        <w:t xml:space="preserve"> as well</w:t>
      </w:r>
      <w:r w:rsidRPr="00DD596B">
        <w:rPr>
          <w:rFonts w:ascii="Arial" w:hAnsi="Arial" w:cs="Arial"/>
          <w:sz w:val="22"/>
          <w:szCs w:val="22"/>
        </w:rPr>
        <w:t xml:space="preserve"> (LLR=213.28), indicating strong evidence of spatial clustering.</w:t>
      </w:r>
      <w:r w:rsidRPr="00DD596B">
        <w:rPr>
          <w:rFonts w:ascii="Arial" w:hAnsi="Arial" w:cs="Arial"/>
          <w:sz w:val="22"/>
          <w:szCs w:val="22"/>
        </w:rPr>
        <w:t xml:space="preserve"> Similarly, </w:t>
      </w:r>
      <w:r w:rsidRPr="00DD596B">
        <w:rPr>
          <w:rFonts w:ascii="Arial" w:hAnsi="Arial" w:cs="Arial"/>
          <w:sz w:val="22"/>
          <w:szCs w:val="22"/>
        </w:rPr>
        <w:t xml:space="preserve">several low-risk </w:t>
      </w:r>
      <w:r w:rsidR="00AD0BB6" w:rsidRPr="00DD596B">
        <w:rPr>
          <w:rFonts w:ascii="Arial" w:hAnsi="Arial" w:cs="Arial"/>
          <w:sz w:val="22"/>
          <w:szCs w:val="22"/>
        </w:rPr>
        <w:t>clusters where</w:t>
      </w:r>
      <w:r w:rsidRPr="00DD596B">
        <w:rPr>
          <w:rFonts w:ascii="Arial" w:hAnsi="Arial" w:cs="Arial"/>
          <w:sz w:val="22"/>
          <w:szCs w:val="22"/>
        </w:rPr>
        <w:t xml:space="preserve"> </w:t>
      </w:r>
      <w:r w:rsidRPr="00DD596B">
        <w:rPr>
          <w:rFonts w:ascii="Arial" w:hAnsi="Arial" w:cs="Arial"/>
          <w:sz w:val="22"/>
          <w:szCs w:val="22"/>
        </w:rPr>
        <w:t>RR</w:t>
      </w:r>
      <w:r w:rsidRPr="00DD596B">
        <w:rPr>
          <w:rFonts w:ascii="Arial" w:hAnsi="Arial" w:cs="Arial"/>
          <w:sz w:val="22"/>
          <w:szCs w:val="22"/>
        </w:rPr>
        <w:t xml:space="preserve"> </w:t>
      </w:r>
      <w:r w:rsidRPr="00DD596B">
        <w:rPr>
          <w:rFonts w:ascii="Arial" w:hAnsi="Arial" w:cs="Arial"/>
          <w:sz w:val="22"/>
          <w:szCs w:val="22"/>
        </w:rPr>
        <w:t>&lt;</w:t>
      </w:r>
      <w:r w:rsidRPr="00DD596B">
        <w:rPr>
          <w:rFonts w:ascii="Arial" w:hAnsi="Arial" w:cs="Arial"/>
          <w:sz w:val="22"/>
          <w:szCs w:val="22"/>
        </w:rPr>
        <w:t xml:space="preserve"> </w:t>
      </w:r>
      <w:r w:rsidRPr="00DD596B">
        <w:rPr>
          <w:rFonts w:ascii="Arial" w:hAnsi="Arial" w:cs="Arial"/>
          <w:sz w:val="22"/>
          <w:szCs w:val="22"/>
        </w:rPr>
        <w:t>1.0</w:t>
      </w:r>
      <w:r w:rsidRPr="00DD596B">
        <w:rPr>
          <w:rFonts w:ascii="Arial" w:hAnsi="Arial" w:cs="Arial"/>
          <w:sz w:val="22"/>
          <w:szCs w:val="22"/>
        </w:rPr>
        <w:t xml:space="preserve"> </w:t>
      </w:r>
      <w:r w:rsidRPr="00DD596B">
        <w:rPr>
          <w:rFonts w:ascii="Arial" w:hAnsi="Arial" w:cs="Arial"/>
          <w:sz w:val="22"/>
          <w:szCs w:val="22"/>
        </w:rPr>
        <w:t xml:space="preserve">were </w:t>
      </w:r>
      <w:r w:rsidRPr="00DD596B">
        <w:rPr>
          <w:rFonts w:ascii="Arial" w:hAnsi="Arial" w:cs="Arial"/>
          <w:sz w:val="22"/>
          <w:szCs w:val="22"/>
        </w:rPr>
        <w:t xml:space="preserve">also </w:t>
      </w:r>
      <w:r w:rsidRPr="00DD596B">
        <w:rPr>
          <w:rFonts w:ascii="Arial" w:hAnsi="Arial" w:cs="Arial"/>
          <w:sz w:val="22"/>
          <w:szCs w:val="22"/>
        </w:rPr>
        <w:t xml:space="preserve">identified, with C2, C3, and C11 showing particularly low relative risks </w:t>
      </w:r>
      <w:r w:rsidR="00AD0BB6" w:rsidRPr="00DD596B">
        <w:rPr>
          <w:rFonts w:ascii="Arial" w:hAnsi="Arial" w:cs="Arial"/>
          <w:sz w:val="22"/>
          <w:szCs w:val="22"/>
        </w:rPr>
        <w:t xml:space="preserve">of </w:t>
      </w:r>
      <w:r w:rsidRPr="00DD596B">
        <w:rPr>
          <w:rFonts w:ascii="Arial" w:hAnsi="Arial" w:cs="Arial"/>
          <w:sz w:val="22"/>
          <w:szCs w:val="22"/>
        </w:rPr>
        <w:t xml:space="preserve">0.44, 0.40, and 0.39 respectively. The spatial extent of these low-risk clusters varied considerably, with </w:t>
      </w:r>
      <w:r w:rsidR="00AD0BB6" w:rsidRPr="00DD596B">
        <w:rPr>
          <w:rFonts w:ascii="Arial" w:hAnsi="Arial" w:cs="Arial"/>
          <w:sz w:val="22"/>
          <w:szCs w:val="22"/>
        </w:rPr>
        <w:t xml:space="preserve">a </w:t>
      </w:r>
      <w:r w:rsidRPr="00DD596B">
        <w:rPr>
          <w:rFonts w:ascii="Arial" w:hAnsi="Arial" w:cs="Arial"/>
          <w:sz w:val="22"/>
          <w:szCs w:val="22"/>
        </w:rPr>
        <w:t>radi</w:t>
      </w:r>
      <w:r w:rsidR="00AD0BB6" w:rsidRPr="00DD596B">
        <w:rPr>
          <w:rFonts w:ascii="Arial" w:hAnsi="Arial" w:cs="Arial"/>
          <w:sz w:val="22"/>
          <w:szCs w:val="22"/>
        </w:rPr>
        <w:t>us</w:t>
      </w:r>
      <w:r w:rsidRPr="00DD596B">
        <w:rPr>
          <w:rFonts w:ascii="Arial" w:hAnsi="Arial" w:cs="Arial"/>
          <w:sz w:val="22"/>
          <w:szCs w:val="22"/>
        </w:rPr>
        <w:t xml:space="preserve"> ranging from 17.22 km to 139.30 km.</w:t>
      </w:r>
      <w:r w:rsidR="00AD0BB6" w:rsidRPr="00DD596B">
        <w:rPr>
          <w:rFonts w:ascii="Arial" w:hAnsi="Arial" w:cs="Arial"/>
          <w:sz w:val="22"/>
          <w:szCs w:val="22"/>
        </w:rPr>
        <w:t xml:space="preserve"> Several spatial overlaps were also observed within certain clusters C1 with C4, C5, and C2 with C3 and C9.</w:t>
      </w:r>
    </w:p>
    <w:p w14:paraId="43B66DFA" w14:textId="4DED5873" w:rsidR="00254F5F" w:rsidRPr="00DD596B" w:rsidRDefault="00254F5F" w:rsidP="00873E93">
      <w:pPr>
        <w:spacing w:after="0" w:line="360" w:lineRule="auto"/>
        <w:jc w:val="both"/>
        <w:rPr>
          <w:rFonts w:ascii="Arial" w:hAnsi="Arial" w:cs="Arial"/>
          <w:sz w:val="22"/>
          <w:szCs w:val="22"/>
        </w:rPr>
      </w:pPr>
    </w:p>
    <w:p w14:paraId="649044F3" w14:textId="77777777" w:rsidR="00AD0BB6" w:rsidRPr="00DD596B" w:rsidRDefault="00AD0BB6" w:rsidP="00873E93">
      <w:pPr>
        <w:spacing w:after="0" w:line="360" w:lineRule="auto"/>
        <w:jc w:val="both"/>
        <w:rPr>
          <w:rFonts w:ascii="Arial" w:hAnsi="Arial" w:cs="Arial"/>
          <w:sz w:val="22"/>
          <w:szCs w:val="22"/>
        </w:rPr>
      </w:pPr>
    </w:p>
    <w:p w14:paraId="00FB37E4" w14:textId="77777777" w:rsidR="00AD0BB6" w:rsidRPr="00DD596B" w:rsidRDefault="00AD0BB6" w:rsidP="00873E93">
      <w:pPr>
        <w:spacing w:after="0" w:line="360" w:lineRule="auto"/>
        <w:jc w:val="both"/>
        <w:rPr>
          <w:rFonts w:ascii="Arial" w:hAnsi="Arial" w:cs="Arial"/>
          <w:sz w:val="22"/>
          <w:szCs w:val="22"/>
        </w:rPr>
      </w:pPr>
    </w:p>
    <w:p w14:paraId="36ACEE58" w14:textId="77777777" w:rsidR="00AD0BB6" w:rsidRPr="00DD596B" w:rsidRDefault="00AD0BB6" w:rsidP="00873E93">
      <w:pPr>
        <w:spacing w:after="0" w:line="360" w:lineRule="auto"/>
        <w:jc w:val="both"/>
        <w:rPr>
          <w:rFonts w:ascii="Arial" w:hAnsi="Arial" w:cs="Arial"/>
          <w:sz w:val="22"/>
          <w:szCs w:val="22"/>
        </w:rPr>
      </w:pPr>
    </w:p>
    <w:p w14:paraId="7CF833EB" w14:textId="77777777" w:rsidR="00AD0BB6" w:rsidRPr="00DD596B" w:rsidRDefault="00AD0BB6" w:rsidP="00873E93">
      <w:pPr>
        <w:spacing w:after="0" w:line="360" w:lineRule="auto"/>
        <w:jc w:val="both"/>
        <w:rPr>
          <w:rFonts w:ascii="Arial" w:hAnsi="Arial" w:cs="Arial"/>
          <w:sz w:val="22"/>
          <w:szCs w:val="22"/>
        </w:rPr>
      </w:pPr>
    </w:p>
    <w:p w14:paraId="1F1614AC" w14:textId="77777777" w:rsidR="00254F5F" w:rsidRPr="00DD596B" w:rsidRDefault="00254F5F" w:rsidP="00873E93">
      <w:pPr>
        <w:spacing w:after="0" w:line="360" w:lineRule="auto"/>
        <w:jc w:val="both"/>
        <w:rPr>
          <w:rFonts w:ascii="Arial" w:hAnsi="Arial" w:cs="Arial"/>
          <w:sz w:val="22"/>
          <w:szCs w:val="22"/>
        </w:rPr>
      </w:pPr>
    </w:p>
    <w:p w14:paraId="53D02346" w14:textId="562A392E" w:rsidR="00254F5F" w:rsidRPr="00DD596B" w:rsidRDefault="00B816B8" w:rsidP="00B816B8">
      <w:pPr>
        <w:pStyle w:val="Caption"/>
        <w:rPr>
          <w:rFonts w:ascii="Arial" w:hAnsi="Arial" w:cs="Arial"/>
          <w:b/>
          <w:bCs/>
          <w:color w:val="auto"/>
          <w:sz w:val="22"/>
          <w:szCs w:val="22"/>
        </w:rPr>
      </w:pPr>
      <w:r w:rsidRPr="00DD596B">
        <w:rPr>
          <w:rFonts w:ascii="Arial" w:hAnsi="Arial" w:cs="Arial"/>
          <w:b/>
          <w:bCs/>
          <w:color w:val="auto"/>
          <w:sz w:val="22"/>
          <w:szCs w:val="22"/>
        </w:rPr>
        <w:lastRenderedPageBreak/>
        <w:t xml:space="preserve">Table </w:t>
      </w:r>
      <w:r w:rsidRPr="00DD596B">
        <w:rPr>
          <w:rFonts w:ascii="Arial" w:hAnsi="Arial" w:cs="Arial"/>
          <w:b/>
          <w:bCs/>
          <w:color w:val="auto"/>
          <w:sz w:val="22"/>
          <w:szCs w:val="22"/>
        </w:rPr>
        <w:fldChar w:fldCharType="begin"/>
      </w:r>
      <w:r w:rsidRPr="00DD596B">
        <w:rPr>
          <w:rFonts w:ascii="Arial" w:hAnsi="Arial" w:cs="Arial"/>
          <w:b/>
          <w:bCs/>
          <w:color w:val="auto"/>
          <w:sz w:val="22"/>
          <w:szCs w:val="22"/>
        </w:rPr>
        <w:instrText xml:space="preserve"> SEQ Table \* ARABIC </w:instrText>
      </w:r>
      <w:r w:rsidRPr="00DD596B">
        <w:rPr>
          <w:rFonts w:ascii="Arial" w:hAnsi="Arial" w:cs="Arial"/>
          <w:b/>
          <w:bCs/>
          <w:color w:val="auto"/>
          <w:sz w:val="22"/>
          <w:szCs w:val="22"/>
        </w:rPr>
        <w:fldChar w:fldCharType="separate"/>
      </w:r>
      <w:r w:rsidR="00DF7F17">
        <w:rPr>
          <w:rFonts w:ascii="Arial" w:hAnsi="Arial" w:cs="Arial"/>
          <w:b/>
          <w:bCs/>
          <w:noProof/>
          <w:color w:val="auto"/>
          <w:sz w:val="22"/>
          <w:szCs w:val="22"/>
        </w:rPr>
        <w:t>2</w:t>
      </w:r>
      <w:r w:rsidRPr="00DD596B">
        <w:rPr>
          <w:rFonts w:ascii="Arial" w:hAnsi="Arial" w:cs="Arial"/>
          <w:b/>
          <w:bCs/>
          <w:color w:val="auto"/>
          <w:sz w:val="22"/>
          <w:szCs w:val="22"/>
        </w:rPr>
        <w:fldChar w:fldCharType="end"/>
      </w:r>
      <w:r w:rsidRPr="00DD596B">
        <w:rPr>
          <w:rFonts w:ascii="Arial" w:hAnsi="Arial" w:cs="Arial"/>
          <w:b/>
          <w:bCs/>
          <w:color w:val="auto"/>
          <w:sz w:val="22"/>
          <w:szCs w:val="22"/>
        </w:rPr>
        <w:t xml:space="preserve"> Spatial Clustering Analysis of </w:t>
      </w:r>
      <w:r w:rsidR="00AD0BB6" w:rsidRPr="00DD596B">
        <w:rPr>
          <w:rFonts w:ascii="Arial" w:hAnsi="Arial" w:cs="Arial"/>
          <w:b/>
          <w:bCs/>
          <w:color w:val="auto"/>
          <w:sz w:val="22"/>
          <w:szCs w:val="22"/>
        </w:rPr>
        <w:t xml:space="preserve">High or </w:t>
      </w:r>
      <w:r w:rsidR="00FE6AF1" w:rsidRPr="00DD596B">
        <w:rPr>
          <w:rFonts w:ascii="Arial" w:hAnsi="Arial" w:cs="Arial"/>
          <w:b/>
          <w:bCs/>
          <w:color w:val="auto"/>
          <w:sz w:val="22"/>
          <w:szCs w:val="22"/>
        </w:rPr>
        <w:t>Normal</w:t>
      </w:r>
      <w:r w:rsidR="00AD0BB6" w:rsidRPr="00DD596B">
        <w:rPr>
          <w:rFonts w:ascii="Arial" w:hAnsi="Arial" w:cs="Arial"/>
          <w:b/>
          <w:bCs/>
          <w:color w:val="auto"/>
          <w:sz w:val="22"/>
          <w:szCs w:val="22"/>
        </w:rPr>
        <w:t xml:space="preserve"> </w:t>
      </w:r>
      <w:r w:rsidRPr="00DD596B">
        <w:rPr>
          <w:rFonts w:ascii="Arial" w:hAnsi="Arial" w:cs="Arial"/>
          <w:b/>
          <w:bCs/>
          <w:color w:val="auto"/>
          <w:sz w:val="22"/>
          <w:szCs w:val="22"/>
        </w:rPr>
        <w:t>Body Mass Index Distribution (BMI).</w:t>
      </w:r>
    </w:p>
    <w:tbl>
      <w:tblPr>
        <w:tblW w:w="11847" w:type="dxa"/>
        <w:tblInd w:w="-1090" w:type="dxa"/>
        <w:tblLook w:val="04A0" w:firstRow="1" w:lastRow="0" w:firstColumn="1" w:lastColumn="0" w:noHBand="0" w:noVBand="1"/>
      </w:tblPr>
      <w:tblGrid>
        <w:gridCol w:w="1017"/>
        <w:gridCol w:w="889"/>
        <w:gridCol w:w="1161"/>
        <w:gridCol w:w="1017"/>
        <w:gridCol w:w="1250"/>
        <w:gridCol w:w="1139"/>
        <w:gridCol w:w="1106"/>
        <w:gridCol w:w="984"/>
        <w:gridCol w:w="950"/>
        <w:gridCol w:w="1216"/>
        <w:gridCol w:w="896"/>
        <w:gridCol w:w="222"/>
      </w:tblGrid>
      <w:tr w:rsidR="00DD596B" w:rsidRPr="00DD596B" w14:paraId="691765CB" w14:textId="77777777" w:rsidTr="00DD596B">
        <w:trPr>
          <w:gridAfter w:val="1"/>
          <w:wAfter w:w="222" w:type="dxa"/>
          <w:trHeight w:val="630"/>
        </w:trPr>
        <w:tc>
          <w:tcPr>
            <w:tcW w:w="1017"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1BEF0606"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Clusters</w:t>
            </w:r>
          </w:p>
        </w:tc>
        <w:tc>
          <w:tcPr>
            <w:tcW w:w="889"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3BC6D24C"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Radius (km)</w:t>
            </w:r>
          </w:p>
        </w:tc>
        <w:tc>
          <w:tcPr>
            <w:tcW w:w="1161"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557E7756"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Number of Locations</w:t>
            </w:r>
          </w:p>
        </w:tc>
        <w:tc>
          <w:tcPr>
            <w:tcW w:w="1017"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FB51440"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Overlap With Clusters</w:t>
            </w:r>
          </w:p>
        </w:tc>
        <w:tc>
          <w:tcPr>
            <w:tcW w:w="1250"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10D6DEAD"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 xml:space="preserve">Population </w:t>
            </w:r>
          </w:p>
        </w:tc>
        <w:tc>
          <w:tcPr>
            <w:tcW w:w="1139"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1E295D67"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Observed Cases</w:t>
            </w:r>
          </w:p>
        </w:tc>
        <w:tc>
          <w:tcPr>
            <w:tcW w:w="1106"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33F107FE"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Expected Cases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40CC715E"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Relative Risk</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7E25F1AB"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Percent cases in the area</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10B53B1D"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Log-Likelihood Ratio</w:t>
            </w:r>
          </w:p>
        </w:tc>
        <w:tc>
          <w:tcPr>
            <w:tcW w:w="896"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13A9831B"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r w:rsidRPr="00B816B8">
              <w:rPr>
                <w:rFonts w:ascii="Arial" w:eastAsia="Times New Roman" w:hAnsi="Arial" w:cs="Arial"/>
                <w:b/>
                <w:bCs/>
                <w:color w:val="000000"/>
                <w:kern w:val="0"/>
                <w:sz w:val="20"/>
                <w:szCs w:val="20"/>
                <w14:ligatures w14:val="none"/>
              </w:rPr>
              <w:t>P-Value</w:t>
            </w:r>
          </w:p>
        </w:tc>
      </w:tr>
      <w:tr w:rsidR="00DD596B" w:rsidRPr="00DD596B" w14:paraId="76E826B9" w14:textId="77777777" w:rsidTr="00DD596B">
        <w:trPr>
          <w:trHeight w:val="228"/>
        </w:trPr>
        <w:tc>
          <w:tcPr>
            <w:tcW w:w="1017"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41A9056C"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889"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C41D090"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1161"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53EACCFF"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1017"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71C744AD"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1250"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4A28C39"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1139"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AEA256B"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1106"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33AA7B59"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984"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2E4ADA61"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950"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8A874F0"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1216"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419AC96B"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896"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A2DEA7B" w14:textId="77777777" w:rsidR="00B816B8" w:rsidRPr="00B816B8" w:rsidRDefault="00B816B8" w:rsidP="00B816B8">
            <w:pPr>
              <w:spacing w:after="0" w:line="240" w:lineRule="auto"/>
              <w:rPr>
                <w:rFonts w:ascii="Arial" w:eastAsia="Times New Roman" w:hAnsi="Arial" w:cs="Arial"/>
                <w:b/>
                <w:bCs/>
                <w:color w:val="000000"/>
                <w:kern w:val="0"/>
                <w:sz w:val="20"/>
                <w:szCs w:val="20"/>
                <w14:ligatures w14:val="none"/>
              </w:rPr>
            </w:pPr>
          </w:p>
        </w:tc>
        <w:tc>
          <w:tcPr>
            <w:tcW w:w="222" w:type="dxa"/>
            <w:tcBorders>
              <w:top w:val="nil"/>
              <w:left w:val="nil"/>
              <w:bottom w:val="nil"/>
              <w:right w:val="nil"/>
            </w:tcBorders>
            <w:shd w:val="clear" w:color="auto" w:fill="auto"/>
            <w:noWrap/>
            <w:vAlign w:val="bottom"/>
            <w:hideMark/>
          </w:tcPr>
          <w:p w14:paraId="7E895E00" w14:textId="77777777" w:rsidR="00B816B8" w:rsidRPr="00B816B8" w:rsidRDefault="00B816B8" w:rsidP="00B816B8">
            <w:pPr>
              <w:spacing w:after="0" w:line="240" w:lineRule="auto"/>
              <w:jc w:val="center"/>
              <w:rPr>
                <w:rFonts w:ascii="Arial" w:eastAsia="Times New Roman" w:hAnsi="Arial" w:cs="Arial"/>
                <w:b/>
                <w:bCs/>
                <w:color w:val="000000"/>
                <w:kern w:val="0"/>
                <w:sz w:val="20"/>
                <w:szCs w:val="20"/>
                <w14:ligatures w14:val="none"/>
              </w:rPr>
            </w:pPr>
          </w:p>
        </w:tc>
      </w:tr>
      <w:tr w:rsidR="00DD596B" w:rsidRPr="00DD596B" w14:paraId="3664B171"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432289C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C1</w:t>
            </w:r>
          </w:p>
        </w:tc>
        <w:tc>
          <w:tcPr>
            <w:tcW w:w="889" w:type="dxa"/>
            <w:tcBorders>
              <w:top w:val="nil"/>
              <w:left w:val="nil"/>
              <w:bottom w:val="single" w:sz="8" w:space="0" w:color="auto"/>
              <w:right w:val="single" w:sz="8" w:space="0" w:color="auto"/>
            </w:tcBorders>
            <w:shd w:val="clear" w:color="auto" w:fill="auto"/>
            <w:vAlign w:val="center"/>
            <w:hideMark/>
          </w:tcPr>
          <w:p w14:paraId="1F0D94C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148.48</w:t>
            </w:r>
          </w:p>
        </w:tc>
        <w:tc>
          <w:tcPr>
            <w:tcW w:w="1161" w:type="dxa"/>
            <w:tcBorders>
              <w:top w:val="nil"/>
              <w:left w:val="nil"/>
              <w:bottom w:val="single" w:sz="8" w:space="0" w:color="auto"/>
              <w:right w:val="single" w:sz="8" w:space="0" w:color="auto"/>
            </w:tcBorders>
            <w:shd w:val="clear" w:color="auto" w:fill="auto"/>
            <w:vAlign w:val="center"/>
            <w:hideMark/>
          </w:tcPr>
          <w:p w14:paraId="67107FA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127</w:t>
            </w:r>
          </w:p>
        </w:tc>
        <w:tc>
          <w:tcPr>
            <w:tcW w:w="1017" w:type="dxa"/>
            <w:tcBorders>
              <w:top w:val="nil"/>
              <w:left w:val="nil"/>
              <w:bottom w:val="single" w:sz="8" w:space="0" w:color="auto"/>
              <w:right w:val="single" w:sz="8" w:space="0" w:color="auto"/>
            </w:tcBorders>
            <w:shd w:val="clear" w:color="auto" w:fill="auto"/>
            <w:vAlign w:val="center"/>
            <w:hideMark/>
          </w:tcPr>
          <w:p w14:paraId="7EFF5907"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4, 5</w:t>
            </w:r>
          </w:p>
        </w:tc>
        <w:tc>
          <w:tcPr>
            <w:tcW w:w="1250" w:type="dxa"/>
            <w:tcBorders>
              <w:top w:val="nil"/>
              <w:left w:val="nil"/>
              <w:bottom w:val="single" w:sz="8" w:space="0" w:color="auto"/>
              <w:right w:val="single" w:sz="8" w:space="0" w:color="auto"/>
            </w:tcBorders>
            <w:shd w:val="clear" w:color="auto" w:fill="auto"/>
            <w:vAlign w:val="center"/>
            <w:hideMark/>
          </w:tcPr>
          <w:p w14:paraId="2507566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3309</w:t>
            </w:r>
          </w:p>
        </w:tc>
        <w:tc>
          <w:tcPr>
            <w:tcW w:w="1139" w:type="dxa"/>
            <w:tcBorders>
              <w:top w:val="nil"/>
              <w:left w:val="nil"/>
              <w:bottom w:val="single" w:sz="8" w:space="0" w:color="auto"/>
              <w:right w:val="single" w:sz="8" w:space="0" w:color="auto"/>
            </w:tcBorders>
            <w:shd w:val="clear" w:color="auto" w:fill="auto"/>
            <w:vAlign w:val="center"/>
            <w:hideMark/>
          </w:tcPr>
          <w:p w14:paraId="258BA197"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1794</w:t>
            </w:r>
          </w:p>
        </w:tc>
        <w:tc>
          <w:tcPr>
            <w:tcW w:w="1106" w:type="dxa"/>
            <w:tcBorders>
              <w:top w:val="nil"/>
              <w:left w:val="nil"/>
              <w:bottom w:val="single" w:sz="8" w:space="0" w:color="auto"/>
              <w:right w:val="single" w:sz="8" w:space="0" w:color="auto"/>
            </w:tcBorders>
            <w:shd w:val="clear" w:color="auto" w:fill="auto"/>
            <w:vAlign w:val="center"/>
            <w:hideMark/>
          </w:tcPr>
          <w:p w14:paraId="78C2D95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1286.07</w:t>
            </w:r>
          </w:p>
        </w:tc>
        <w:tc>
          <w:tcPr>
            <w:tcW w:w="984" w:type="dxa"/>
            <w:tcBorders>
              <w:top w:val="nil"/>
              <w:left w:val="nil"/>
              <w:bottom w:val="single" w:sz="8" w:space="0" w:color="auto"/>
              <w:right w:val="single" w:sz="8" w:space="0" w:color="auto"/>
            </w:tcBorders>
            <w:shd w:val="clear" w:color="auto" w:fill="auto"/>
            <w:vAlign w:val="center"/>
            <w:hideMark/>
          </w:tcPr>
          <w:p w14:paraId="66190DB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1.6</w:t>
            </w:r>
          </w:p>
        </w:tc>
        <w:tc>
          <w:tcPr>
            <w:tcW w:w="950" w:type="dxa"/>
            <w:tcBorders>
              <w:top w:val="nil"/>
              <w:left w:val="nil"/>
              <w:bottom w:val="single" w:sz="8" w:space="0" w:color="auto"/>
              <w:right w:val="single" w:sz="8" w:space="0" w:color="auto"/>
            </w:tcBorders>
            <w:shd w:val="clear" w:color="auto" w:fill="auto"/>
            <w:vAlign w:val="center"/>
            <w:hideMark/>
          </w:tcPr>
          <w:p w14:paraId="6A2FEBF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54.2</w:t>
            </w:r>
          </w:p>
        </w:tc>
        <w:tc>
          <w:tcPr>
            <w:tcW w:w="1216" w:type="dxa"/>
            <w:tcBorders>
              <w:top w:val="nil"/>
              <w:left w:val="nil"/>
              <w:bottom w:val="single" w:sz="8" w:space="0" w:color="auto"/>
              <w:right w:val="single" w:sz="8" w:space="0" w:color="auto"/>
            </w:tcBorders>
            <w:shd w:val="clear" w:color="auto" w:fill="auto"/>
            <w:vAlign w:val="center"/>
            <w:hideMark/>
          </w:tcPr>
          <w:p w14:paraId="4B7D1FD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213.28</w:t>
            </w:r>
          </w:p>
        </w:tc>
        <w:tc>
          <w:tcPr>
            <w:tcW w:w="896" w:type="dxa"/>
            <w:tcBorders>
              <w:top w:val="nil"/>
              <w:left w:val="nil"/>
              <w:bottom w:val="single" w:sz="8" w:space="0" w:color="auto"/>
              <w:right w:val="single" w:sz="8" w:space="0" w:color="auto"/>
            </w:tcBorders>
            <w:shd w:val="clear" w:color="auto" w:fill="auto"/>
            <w:vAlign w:val="center"/>
            <w:hideMark/>
          </w:tcPr>
          <w:p w14:paraId="1A3AD67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5E4273E3"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59BE7924"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4FF81E0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C2</w:t>
            </w:r>
          </w:p>
        </w:tc>
        <w:tc>
          <w:tcPr>
            <w:tcW w:w="889" w:type="dxa"/>
            <w:tcBorders>
              <w:top w:val="nil"/>
              <w:left w:val="nil"/>
              <w:bottom w:val="single" w:sz="8" w:space="0" w:color="auto"/>
              <w:right w:val="single" w:sz="8" w:space="0" w:color="auto"/>
            </w:tcBorders>
            <w:shd w:val="clear" w:color="auto" w:fill="auto"/>
            <w:vAlign w:val="center"/>
            <w:hideMark/>
          </w:tcPr>
          <w:p w14:paraId="7CA5EF6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139.3</w:t>
            </w:r>
          </w:p>
        </w:tc>
        <w:tc>
          <w:tcPr>
            <w:tcW w:w="1161" w:type="dxa"/>
            <w:tcBorders>
              <w:top w:val="nil"/>
              <w:left w:val="nil"/>
              <w:bottom w:val="single" w:sz="8" w:space="0" w:color="auto"/>
              <w:right w:val="single" w:sz="8" w:space="0" w:color="auto"/>
            </w:tcBorders>
            <w:shd w:val="clear" w:color="auto" w:fill="auto"/>
            <w:vAlign w:val="center"/>
            <w:hideMark/>
          </w:tcPr>
          <w:p w14:paraId="04DE26F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63</w:t>
            </w:r>
          </w:p>
        </w:tc>
        <w:tc>
          <w:tcPr>
            <w:tcW w:w="1017" w:type="dxa"/>
            <w:tcBorders>
              <w:top w:val="nil"/>
              <w:left w:val="nil"/>
              <w:bottom w:val="single" w:sz="8" w:space="0" w:color="auto"/>
              <w:right w:val="single" w:sz="8" w:space="0" w:color="auto"/>
            </w:tcBorders>
            <w:shd w:val="clear" w:color="auto" w:fill="auto"/>
            <w:vAlign w:val="center"/>
            <w:hideMark/>
          </w:tcPr>
          <w:p w14:paraId="5989EF4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3, 9</w:t>
            </w:r>
          </w:p>
        </w:tc>
        <w:tc>
          <w:tcPr>
            <w:tcW w:w="1250" w:type="dxa"/>
            <w:tcBorders>
              <w:top w:val="nil"/>
              <w:left w:val="nil"/>
              <w:bottom w:val="single" w:sz="8" w:space="0" w:color="auto"/>
              <w:right w:val="single" w:sz="8" w:space="0" w:color="auto"/>
            </w:tcBorders>
            <w:shd w:val="clear" w:color="auto" w:fill="auto"/>
            <w:vAlign w:val="center"/>
            <w:hideMark/>
          </w:tcPr>
          <w:p w14:paraId="1BAE5CC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1751</w:t>
            </w:r>
          </w:p>
        </w:tc>
        <w:tc>
          <w:tcPr>
            <w:tcW w:w="1139" w:type="dxa"/>
            <w:tcBorders>
              <w:top w:val="nil"/>
              <w:left w:val="nil"/>
              <w:bottom w:val="single" w:sz="8" w:space="0" w:color="auto"/>
              <w:right w:val="single" w:sz="8" w:space="0" w:color="auto"/>
            </w:tcBorders>
            <w:shd w:val="clear" w:color="auto" w:fill="auto"/>
            <w:vAlign w:val="center"/>
            <w:hideMark/>
          </w:tcPr>
          <w:p w14:paraId="0B2AF9A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325</w:t>
            </w:r>
          </w:p>
        </w:tc>
        <w:tc>
          <w:tcPr>
            <w:tcW w:w="1106" w:type="dxa"/>
            <w:tcBorders>
              <w:top w:val="nil"/>
              <w:left w:val="nil"/>
              <w:bottom w:val="single" w:sz="8" w:space="0" w:color="auto"/>
              <w:right w:val="single" w:sz="8" w:space="0" w:color="auto"/>
            </w:tcBorders>
            <w:shd w:val="clear" w:color="auto" w:fill="auto"/>
            <w:vAlign w:val="center"/>
            <w:hideMark/>
          </w:tcPr>
          <w:p w14:paraId="0AB8DCC2"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680.54</w:t>
            </w:r>
          </w:p>
        </w:tc>
        <w:tc>
          <w:tcPr>
            <w:tcW w:w="984" w:type="dxa"/>
            <w:tcBorders>
              <w:top w:val="nil"/>
              <w:left w:val="nil"/>
              <w:bottom w:val="single" w:sz="8" w:space="0" w:color="auto"/>
              <w:right w:val="single" w:sz="8" w:space="0" w:color="auto"/>
            </w:tcBorders>
            <w:shd w:val="clear" w:color="auto" w:fill="auto"/>
            <w:vAlign w:val="center"/>
            <w:hideMark/>
          </w:tcPr>
          <w:p w14:paraId="70F9A47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0.44</w:t>
            </w:r>
          </w:p>
        </w:tc>
        <w:tc>
          <w:tcPr>
            <w:tcW w:w="950" w:type="dxa"/>
            <w:tcBorders>
              <w:top w:val="nil"/>
              <w:left w:val="nil"/>
              <w:bottom w:val="single" w:sz="8" w:space="0" w:color="auto"/>
              <w:right w:val="single" w:sz="8" w:space="0" w:color="auto"/>
            </w:tcBorders>
            <w:shd w:val="clear" w:color="auto" w:fill="auto"/>
            <w:vAlign w:val="center"/>
            <w:hideMark/>
          </w:tcPr>
          <w:p w14:paraId="3427469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18.6</w:t>
            </w:r>
          </w:p>
        </w:tc>
        <w:tc>
          <w:tcPr>
            <w:tcW w:w="1216" w:type="dxa"/>
            <w:tcBorders>
              <w:top w:val="nil"/>
              <w:left w:val="nil"/>
              <w:bottom w:val="single" w:sz="8" w:space="0" w:color="auto"/>
              <w:right w:val="single" w:sz="8" w:space="0" w:color="auto"/>
            </w:tcBorders>
            <w:shd w:val="clear" w:color="auto" w:fill="auto"/>
            <w:vAlign w:val="center"/>
            <w:hideMark/>
          </w:tcPr>
          <w:p w14:paraId="61CBF54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191.19</w:t>
            </w:r>
          </w:p>
        </w:tc>
        <w:tc>
          <w:tcPr>
            <w:tcW w:w="896" w:type="dxa"/>
            <w:tcBorders>
              <w:top w:val="nil"/>
              <w:left w:val="nil"/>
              <w:bottom w:val="single" w:sz="8" w:space="0" w:color="auto"/>
              <w:right w:val="single" w:sz="8" w:space="0" w:color="auto"/>
            </w:tcBorders>
            <w:shd w:val="clear" w:color="auto" w:fill="auto"/>
            <w:vAlign w:val="center"/>
            <w:hideMark/>
          </w:tcPr>
          <w:p w14:paraId="688DB09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1EBD2844"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42E2C7FF"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7B3A3C02"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C3</w:t>
            </w:r>
          </w:p>
        </w:tc>
        <w:tc>
          <w:tcPr>
            <w:tcW w:w="889" w:type="dxa"/>
            <w:tcBorders>
              <w:top w:val="nil"/>
              <w:left w:val="nil"/>
              <w:bottom w:val="single" w:sz="8" w:space="0" w:color="auto"/>
              <w:right w:val="single" w:sz="8" w:space="0" w:color="auto"/>
            </w:tcBorders>
            <w:shd w:val="clear" w:color="auto" w:fill="auto"/>
            <w:vAlign w:val="center"/>
            <w:hideMark/>
          </w:tcPr>
          <w:p w14:paraId="041D021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80.22</w:t>
            </w:r>
          </w:p>
        </w:tc>
        <w:tc>
          <w:tcPr>
            <w:tcW w:w="1161" w:type="dxa"/>
            <w:tcBorders>
              <w:top w:val="nil"/>
              <w:left w:val="nil"/>
              <w:bottom w:val="single" w:sz="8" w:space="0" w:color="auto"/>
              <w:right w:val="single" w:sz="8" w:space="0" w:color="auto"/>
            </w:tcBorders>
            <w:shd w:val="clear" w:color="auto" w:fill="auto"/>
            <w:vAlign w:val="center"/>
            <w:hideMark/>
          </w:tcPr>
          <w:p w14:paraId="67E57BB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48</w:t>
            </w:r>
          </w:p>
        </w:tc>
        <w:tc>
          <w:tcPr>
            <w:tcW w:w="1017" w:type="dxa"/>
            <w:tcBorders>
              <w:top w:val="nil"/>
              <w:left w:val="nil"/>
              <w:bottom w:val="single" w:sz="8" w:space="0" w:color="auto"/>
              <w:right w:val="single" w:sz="8" w:space="0" w:color="auto"/>
            </w:tcBorders>
            <w:shd w:val="clear" w:color="auto" w:fill="auto"/>
            <w:vAlign w:val="center"/>
            <w:hideMark/>
          </w:tcPr>
          <w:p w14:paraId="69C86CD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w:t>
            </w:r>
          </w:p>
        </w:tc>
        <w:tc>
          <w:tcPr>
            <w:tcW w:w="1250" w:type="dxa"/>
            <w:tcBorders>
              <w:top w:val="nil"/>
              <w:left w:val="nil"/>
              <w:bottom w:val="single" w:sz="8" w:space="0" w:color="auto"/>
              <w:right w:val="single" w:sz="8" w:space="0" w:color="auto"/>
            </w:tcBorders>
            <w:shd w:val="clear" w:color="auto" w:fill="auto"/>
            <w:vAlign w:val="center"/>
            <w:hideMark/>
          </w:tcPr>
          <w:p w14:paraId="4903EE3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1329</w:t>
            </w:r>
          </w:p>
        </w:tc>
        <w:tc>
          <w:tcPr>
            <w:tcW w:w="1139" w:type="dxa"/>
            <w:tcBorders>
              <w:top w:val="nil"/>
              <w:left w:val="nil"/>
              <w:bottom w:val="single" w:sz="8" w:space="0" w:color="auto"/>
              <w:right w:val="single" w:sz="8" w:space="0" w:color="auto"/>
            </w:tcBorders>
            <w:shd w:val="clear" w:color="auto" w:fill="auto"/>
            <w:vAlign w:val="center"/>
            <w:hideMark/>
          </w:tcPr>
          <w:p w14:paraId="36D573D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219</w:t>
            </w:r>
          </w:p>
        </w:tc>
        <w:tc>
          <w:tcPr>
            <w:tcW w:w="1106" w:type="dxa"/>
            <w:tcBorders>
              <w:top w:val="nil"/>
              <w:left w:val="nil"/>
              <w:bottom w:val="single" w:sz="8" w:space="0" w:color="auto"/>
              <w:right w:val="single" w:sz="8" w:space="0" w:color="auto"/>
            </w:tcBorders>
            <w:shd w:val="clear" w:color="auto" w:fill="auto"/>
            <w:vAlign w:val="center"/>
            <w:hideMark/>
          </w:tcPr>
          <w:p w14:paraId="35CAC99D"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516.53</w:t>
            </w:r>
          </w:p>
        </w:tc>
        <w:tc>
          <w:tcPr>
            <w:tcW w:w="984" w:type="dxa"/>
            <w:tcBorders>
              <w:top w:val="nil"/>
              <w:left w:val="nil"/>
              <w:bottom w:val="single" w:sz="8" w:space="0" w:color="auto"/>
              <w:right w:val="single" w:sz="8" w:space="0" w:color="auto"/>
            </w:tcBorders>
            <w:shd w:val="clear" w:color="auto" w:fill="auto"/>
            <w:vAlign w:val="center"/>
            <w:hideMark/>
          </w:tcPr>
          <w:p w14:paraId="3FA56E3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0.4</w:t>
            </w:r>
          </w:p>
        </w:tc>
        <w:tc>
          <w:tcPr>
            <w:tcW w:w="950" w:type="dxa"/>
            <w:tcBorders>
              <w:top w:val="nil"/>
              <w:left w:val="nil"/>
              <w:bottom w:val="single" w:sz="8" w:space="0" w:color="auto"/>
              <w:right w:val="single" w:sz="8" w:space="0" w:color="auto"/>
            </w:tcBorders>
            <w:shd w:val="clear" w:color="auto" w:fill="auto"/>
            <w:vAlign w:val="center"/>
            <w:hideMark/>
          </w:tcPr>
          <w:p w14:paraId="488125B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16.5</w:t>
            </w:r>
          </w:p>
        </w:tc>
        <w:tc>
          <w:tcPr>
            <w:tcW w:w="1216" w:type="dxa"/>
            <w:tcBorders>
              <w:top w:val="nil"/>
              <w:left w:val="nil"/>
              <w:bottom w:val="single" w:sz="8" w:space="0" w:color="auto"/>
              <w:right w:val="single" w:sz="8" w:space="0" w:color="auto"/>
            </w:tcBorders>
            <w:shd w:val="clear" w:color="auto" w:fill="auto"/>
            <w:vAlign w:val="center"/>
            <w:hideMark/>
          </w:tcPr>
          <w:p w14:paraId="1D8FD39D"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173.62</w:t>
            </w:r>
          </w:p>
        </w:tc>
        <w:tc>
          <w:tcPr>
            <w:tcW w:w="896" w:type="dxa"/>
            <w:tcBorders>
              <w:top w:val="nil"/>
              <w:left w:val="nil"/>
              <w:bottom w:val="single" w:sz="8" w:space="0" w:color="auto"/>
              <w:right w:val="single" w:sz="8" w:space="0" w:color="auto"/>
            </w:tcBorders>
            <w:shd w:val="clear" w:color="auto" w:fill="auto"/>
            <w:vAlign w:val="center"/>
            <w:hideMark/>
          </w:tcPr>
          <w:p w14:paraId="31B5FF7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2E16FC88"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0F4DD096"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111F4C4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C4</w:t>
            </w:r>
          </w:p>
        </w:tc>
        <w:tc>
          <w:tcPr>
            <w:tcW w:w="889" w:type="dxa"/>
            <w:tcBorders>
              <w:top w:val="nil"/>
              <w:left w:val="nil"/>
              <w:bottom w:val="single" w:sz="8" w:space="0" w:color="auto"/>
              <w:right w:val="single" w:sz="8" w:space="0" w:color="auto"/>
            </w:tcBorders>
            <w:shd w:val="clear" w:color="auto" w:fill="auto"/>
            <w:vAlign w:val="center"/>
            <w:hideMark/>
          </w:tcPr>
          <w:p w14:paraId="78BDA33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52.08</w:t>
            </w:r>
          </w:p>
        </w:tc>
        <w:tc>
          <w:tcPr>
            <w:tcW w:w="1161" w:type="dxa"/>
            <w:tcBorders>
              <w:top w:val="nil"/>
              <w:left w:val="nil"/>
              <w:bottom w:val="single" w:sz="8" w:space="0" w:color="auto"/>
              <w:right w:val="single" w:sz="8" w:space="0" w:color="auto"/>
            </w:tcBorders>
            <w:shd w:val="clear" w:color="auto" w:fill="auto"/>
            <w:vAlign w:val="center"/>
            <w:hideMark/>
          </w:tcPr>
          <w:p w14:paraId="1E2C79D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51</w:t>
            </w:r>
          </w:p>
        </w:tc>
        <w:tc>
          <w:tcPr>
            <w:tcW w:w="1017" w:type="dxa"/>
            <w:tcBorders>
              <w:top w:val="nil"/>
              <w:left w:val="nil"/>
              <w:bottom w:val="single" w:sz="8" w:space="0" w:color="auto"/>
              <w:right w:val="single" w:sz="8" w:space="0" w:color="auto"/>
            </w:tcBorders>
            <w:shd w:val="clear" w:color="auto" w:fill="auto"/>
            <w:vAlign w:val="center"/>
            <w:hideMark/>
          </w:tcPr>
          <w:p w14:paraId="2B4BBBF9"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w:t>
            </w:r>
          </w:p>
        </w:tc>
        <w:tc>
          <w:tcPr>
            <w:tcW w:w="1250" w:type="dxa"/>
            <w:tcBorders>
              <w:top w:val="nil"/>
              <w:left w:val="nil"/>
              <w:bottom w:val="single" w:sz="8" w:space="0" w:color="auto"/>
              <w:right w:val="single" w:sz="8" w:space="0" w:color="auto"/>
            </w:tcBorders>
            <w:shd w:val="clear" w:color="auto" w:fill="auto"/>
            <w:vAlign w:val="center"/>
            <w:hideMark/>
          </w:tcPr>
          <w:p w14:paraId="13770B2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1344</w:t>
            </w:r>
          </w:p>
        </w:tc>
        <w:tc>
          <w:tcPr>
            <w:tcW w:w="1139" w:type="dxa"/>
            <w:tcBorders>
              <w:top w:val="nil"/>
              <w:left w:val="nil"/>
              <w:bottom w:val="single" w:sz="8" w:space="0" w:color="auto"/>
              <w:right w:val="single" w:sz="8" w:space="0" w:color="auto"/>
            </w:tcBorders>
            <w:shd w:val="clear" w:color="auto" w:fill="auto"/>
            <w:vAlign w:val="center"/>
            <w:hideMark/>
          </w:tcPr>
          <w:p w14:paraId="58F302B9"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778</w:t>
            </w:r>
          </w:p>
        </w:tc>
        <w:tc>
          <w:tcPr>
            <w:tcW w:w="1106" w:type="dxa"/>
            <w:tcBorders>
              <w:top w:val="nil"/>
              <w:left w:val="nil"/>
              <w:bottom w:val="single" w:sz="8" w:space="0" w:color="auto"/>
              <w:right w:val="single" w:sz="8" w:space="0" w:color="auto"/>
            </w:tcBorders>
            <w:shd w:val="clear" w:color="auto" w:fill="auto"/>
            <w:vAlign w:val="center"/>
            <w:hideMark/>
          </w:tcPr>
          <w:p w14:paraId="7DBC583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522.36</w:t>
            </w:r>
          </w:p>
        </w:tc>
        <w:tc>
          <w:tcPr>
            <w:tcW w:w="984" w:type="dxa"/>
            <w:tcBorders>
              <w:top w:val="nil"/>
              <w:left w:val="nil"/>
              <w:bottom w:val="single" w:sz="8" w:space="0" w:color="auto"/>
              <w:right w:val="single" w:sz="8" w:space="0" w:color="auto"/>
            </w:tcBorders>
            <w:shd w:val="clear" w:color="auto" w:fill="auto"/>
            <w:vAlign w:val="center"/>
            <w:hideMark/>
          </w:tcPr>
          <w:p w14:paraId="3D90E3C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1.57</w:t>
            </w:r>
          </w:p>
        </w:tc>
        <w:tc>
          <w:tcPr>
            <w:tcW w:w="950" w:type="dxa"/>
            <w:tcBorders>
              <w:top w:val="nil"/>
              <w:left w:val="nil"/>
              <w:bottom w:val="single" w:sz="8" w:space="0" w:color="auto"/>
              <w:right w:val="single" w:sz="8" w:space="0" w:color="auto"/>
            </w:tcBorders>
            <w:shd w:val="clear" w:color="auto" w:fill="auto"/>
            <w:vAlign w:val="center"/>
            <w:hideMark/>
          </w:tcPr>
          <w:p w14:paraId="7A7E891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57.9</w:t>
            </w:r>
          </w:p>
        </w:tc>
        <w:tc>
          <w:tcPr>
            <w:tcW w:w="1216" w:type="dxa"/>
            <w:tcBorders>
              <w:top w:val="nil"/>
              <w:left w:val="nil"/>
              <w:bottom w:val="single" w:sz="8" w:space="0" w:color="auto"/>
              <w:right w:val="single" w:sz="8" w:space="0" w:color="auto"/>
            </w:tcBorders>
            <w:shd w:val="clear" w:color="auto" w:fill="auto"/>
            <w:vAlign w:val="center"/>
            <w:hideMark/>
          </w:tcPr>
          <w:p w14:paraId="635DAAE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110.36</w:t>
            </w:r>
          </w:p>
        </w:tc>
        <w:tc>
          <w:tcPr>
            <w:tcW w:w="896" w:type="dxa"/>
            <w:tcBorders>
              <w:top w:val="nil"/>
              <w:left w:val="nil"/>
              <w:bottom w:val="single" w:sz="8" w:space="0" w:color="auto"/>
              <w:right w:val="single" w:sz="8" w:space="0" w:color="auto"/>
            </w:tcBorders>
            <w:shd w:val="clear" w:color="auto" w:fill="auto"/>
            <w:vAlign w:val="center"/>
            <w:hideMark/>
          </w:tcPr>
          <w:p w14:paraId="1B72CD8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1E431A1F"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4A5ECF42"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3747BC3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C5</w:t>
            </w:r>
          </w:p>
        </w:tc>
        <w:tc>
          <w:tcPr>
            <w:tcW w:w="889" w:type="dxa"/>
            <w:tcBorders>
              <w:top w:val="nil"/>
              <w:left w:val="nil"/>
              <w:bottom w:val="single" w:sz="8" w:space="0" w:color="auto"/>
              <w:right w:val="single" w:sz="8" w:space="0" w:color="auto"/>
            </w:tcBorders>
            <w:shd w:val="clear" w:color="auto" w:fill="auto"/>
            <w:vAlign w:val="center"/>
            <w:hideMark/>
          </w:tcPr>
          <w:p w14:paraId="560D87BD"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58.85</w:t>
            </w:r>
          </w:p>
        </w:tc>
        <w:tc>
          <w:tcPr>
            <w:tcW w:w="1161" w:type="dxa"/>
            <w:tcBorders>
              <w:top w:val="nil"/>
              <w:left w:val="nil"/>
              <w:bottom w:val="single" w:sz="8" w:space="0" w:color="auto"/>
              <w:right w:val="single" w:sz="8" w:space="0" w:color="auto"/>
            </w:tcBorders>
            <w:shd w:val="clear" w:color="auto" w:fill="auto"/>
            <w:vAlign w:val="center"/>
            <w:hideMark/>
          </w:tcPr>
          <w:p w14:paraId="601D491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51</w:t>
            </w:r>
          </w:p>
        </w:tc>
        <w:tc>
          <w:tcPr>
            <w:tcW w:w="1017" w:type="dxa"/>
            <w:tcBorders>
              <w:top w:val="nil"/>
              <w:left w:val="nil"/>
              <w:bottom w:val="single" w:sz="8" w:space="0" w:color="auto"/>
              <w:right w:val="single" w:sz="8" w:space="0" w:color="auto"/>
            </w:tcBorders>
            <w:shd w:val="clear" w:color="auto" w:fill="auto"/>
            <w:vAlign w:val="center"/>
            <w:hideMark/>
          </w:tcPr>
          <w:p w14:paraId="5E8A7CC7"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w:t>
            </w:r>
          </w:p>
        </w:tc>
        <w:tc>
          <w:tcPr>
            <w:tcW w:w="1250" w:type="dxa"/>
            <w:tcBorders>
              <w:top w:val="nil"/>
              <w:left w:val="nil"/>
              <w:bottom w:val="single" w:sz="8" w:space="0" w:color="auto"/>
              <w:right w:val="single" w:sz="8" w:space="0" w:color="auto"/>
            </w:tcBorders>
            <w:shd w:val="clear" w:color="auto" w:fill="auto"/>
            <w:vAlign w:val="center"/>
            <w:hideMark/>
          </w:tcPr>
          <w:p w14:paraId="01E1D4A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1332</w:t>
            </w:r>
          </w:p>
        </w:tc>
        <w:tc>
          <w:tcPr>
            <w:tcW w:w="1139" w:type="dxa"/>
            <w:tcBorders>
              <w:top w:val="nil"/>
              <w:left w:val="nil"/>
              <w:bottom w:val="single" w:sz="8" w:space="0" w:color="auto"/>
              <w:right w:val="single" w:sz="8" w:space="0" w:color="auto"/>
            </w:tcBorders>
            <w:shd w:val="clear" w:color="auto" w:fill="auto"/>
            <w:vAlign w:val="center"/>
            <w:hideMark/>
          </w:tcPr>
          <w:p w14:paraId="4FA8F0C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757</w:t>
            </w:r>
          </w:p>
        </w:tc>
        <w:tc>
          <w:tcPr>
            <w:tcW w:w="1106" w:type="dxa"/>
            <w:tcBorders>
              <w:top w:val="nil"/>
              <w:left w:val="nil"/>
              <w:bottom w:val="single" w:sz="8" w:space="0" w:color="auto"/>
              <w:right w:val="single" w:sz="8" w:space="0" w:color="auto"/>
            </w:tcBorders>
            <w:shd w:val="clear" w:color="auto" w:fill="auto"/>
            <w:vAlign w:val="center"/>
            <w:hideMark/>
          </w:tcPr>
          <w:p w14:paraId="1F28D1E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517.69</w:t>
            </w:r>
          </w:p>
        </w:tc>
        <w:tc>
          <w:tcPr>
            <w:tcW w:w="984" w:type="dxa"/>
            <w:tcBorders>
              <w:top w:val="nil"/>
              <w:left w:val="nil"/>
              <w:bottom w:val="single" w:sz="8" w:space="0" w:color="auto"/>
              <w:right w:val="single" w:sz="8" w:space="0" w:color="auto"/>
            </w:tcBorders>
            <w:shd w:val="clear" w:color="auto" w:fill="auto"/>
            <w:vAlign w:val="center"/>
            <w:hideMark/>
          </w:tcPr>
          <w:p w14:paraId="7C09D88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1.54</w:t>
            </w:r>
          </w:p>
        </w:tc>
        <w:tc>
          <w:tcPr>
            <w:tcW w:w="950" w:type="dxa"/>
            <w:tcBorders>
              <w:top w:val="nil"/>
              <w:left w:val="nil"/>
              <w:bottom w:val="single" w:sz="8" w:space="0" w:color="auto"/>
              <w:right w:val="single" w:sz="8" w:space="0" w:color="auto"/>
            </w:tcBorders>
            <w:shd w:val="clear" w:color="auto" w:fill="auto"/>
            <w:vAlign w:val="center"/>
            <w:hideMark/>
          </w:tcPr>
          <w:p w14:paraId="20C4505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56.8</w:t>
            </w:r>
          </w:p>
        </w:tc>
        <w:tc>
          <w:tcPr>
            <w:tcW w:w="1216" w:type="dxa"/>
            <w:tcBorders>
              <w:top w:val="nil"/>
              <w:left w:val="nil"/>
              <w:bottom w:val="single" w:sz="8" w:space="0" w:color="auto"/>
              <w:right w:val="single" w:sz="8" w:space="0" w:color="auto"/>
            </w:tcBorders>
            <w:shd w:val="clear" w:color="auto" w:fill="auto"/>
            <w:vAlign w:val="center"/>
            <w:hideMark/>
          </w:tcPr>
          <w:p w14:paraId="264AF45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97.52</w:t>
            </w:r>
          </w:p>
        </w:tc>
        <w:tc>
          <w:tcPr>
            <w:tcW w:w="896" w:type="dxa"/>
            <w:tcBorders>
              <w:top w:val="nil"/>
              <w:left w:val="nil"/>
              <w:bottom w:val="single" w:sz="8" w:space="0" w:color="auto"/>
              <w:right w:val="single" w:sz="8" w:space="0" w:color="auto"/>
            </w:tcBorders>
            <w:shd w:val="clear" w:color="auto" w:fill="auto"/>
            <w:vAlign w:val="center"/>
            <w:hideMark/>
          </w:tcPr>
          <w:p w14:paraId="248CAC89"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43C3D212"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0F8938D1"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32420532"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C6</w:t>
            </w:r>
          </w:p>
        </w:tc>
        <w:tc>
          <w:tcPr>
            <w:tcW w:w="889" w:type="dxa"/>
            <w:tcBorders>
              <w:top w:val="nil"/>
              <w:left w:val="nil"/>
              <w:bottom w:val="single" w:sz="8" w:space="0" w:color="auto"/>
              <w:right w:val="single" w:sz="8" w:space="0" w:color="auto"/>
            </w:tcBorders>
            <w:shd w:val="clear" w:color="auto" w:fill="auto"/>
            <w:vAlign w:val="center"/>
            <w:hideMark/>
          </w:tcPr>
          <w:p w14:paraId="29CE306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37.38</w:t>
            </w:r>
          </w:p>
        </w:tc>
        <w:tc>
          <w:tcPr>
            <w:tcW w:w="1161" w:type="dxa"/>
            <w:tcBorders>
              <w:top w:val="nil"/>
              <w:left w:val="nil"/>
              <w:bottom w:val="single" w:sz="8" w:space="0" w:color="auto"/>
              <w:right w:val="single" w:sz="8" w:space="0" w:color="auto"/>
            </w:tcBorders>
            <w:shd w:val="clear" w:color="auto" w:fill="auto"/>
            <w:vAlign w:val="center"/>
            <w:hideMark/>
          </w:tcPr>
          <w:p w14:paraId="6624703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21</w:t>
            </w:r>
          </w:p>
        </w:tc>
        <w:tc>
          <w:tcPr>
            <w:tcW w:w="1017" w:type="dxa"/>
            <w:tcBorders>
              <w:top w:val="nil"/>
              <w:left w:val="nil"/>
              <w:bottom w:val="single" w:sz="8" w:space="0" w:color="auto"/>
              <w:right w:val="single" w:sz="8" w:space="0" w:color="auto"/>
            </w:tcBorders>
            <w:shd w:val="clear" w:color="auto" w:fill="auto"/>
            <w:vAlign w:val="center"/>
            <w:hideMark/>
          </w:tcPr>
          <w:p w14:paraId="1EF26ED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5592D4B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684</w:t>
            </w:r>
          </w:p>
        </w:tc>
        <w:tc>
          <w:tcPr>
            <w:tcW w:w="1139" w:type="dxa"/>
            <w:tcBorders>
              <w:top w:val="nil"/>
              <w:left w:val="nil"/>
              <w:bottom w:val="single" w:sz="8" w:space="0" w:color="auto"/>
              <w:right w:val="single" w:sz="8" w:space="0" w:color="auto"/>
            </w:tcBorders>
            <w:shd w:val="clear" w:color="auto" w:fill="auto"/>
            <w:vAlign w:val="center"/>
            <w:hideMark/>
          </w:tcPr>
          <w:p w14:paraId="7CF6790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157</w:t>
            </w:r>
          </w:p>
        </w:tc>
        <w:tc>
          <w:tcPr>
            <w:tcW w:w="1106" w:type="dxa"/>
            <w:tcBorders>
              <w:top w:val="nil"/>
              <w:left w:val="nil"/>
              <w:bottom w:val="single" w:sz="8" w:space="0" w:color="auto"/>
              <w:right w:val="single" w:sz="8" w:space="0" w:color="auto"/>
            </w:tcBorders>
            <w:shd w:val="clear" w:color="auto" w:fill="auto"/>
            <w:vAlign w:val="center"/>
            <w:hideMark/>
          </w:tcPr>
          <w:p w14:paraId="168E86A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265.84</w:t>
            </w:r>
          </w:p>
        </w:tc>
        <w:tc>
          <w:tcPr>
            <w:tcW w:w="984" w:type="dxa"/>
            <w:tcBorders>
              <w:top w:val="nil"/>
              <w:left w:val="nil"/>
              <w:bottom w:val="single" w:sz="8" w:space="0" w:color="auto"/>
              <w:right w:val="single" w:sz="8" w:space="0" w:color="auto"/>
            </w:tcBorders>
            <w:shd w:val="clear" w:color="auto" w:fill="auto"/>
            <w:vAlign w:val="center"/>
            <w:hideMark/>
          </w:tcPr>
          <w:p w14:paraId="74D128B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0.58</w:t>
            </w:r>
          </w:p>
        </w:tc>
        <w:tc>
          <w:tcPr>
            <w:tcW w:w="950" w:type="dxa"/>
            <w:tcBorders>
              <w:top w:val="nil"/>
              <w:left w:val="nil"/>
              <w:bottom w:val="single" w:sz="8" w:space="0" w:color="auto"/>
              <w:right w:val="single" w:sz="8" w:space="0" w:color="auto"/>
            </w:tcBorders>
            <w:shd w:val="clear" w:color="auto" w:fill="auto"/>
            <w:vAlign w:val="center"/>
            <w:hideMark/>
          </w:tcPr>
          <w:p w14:paraId="171398C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23</w:t>
            </w:r>
          </w:p>
        </w:tc>
        <w:tc>
          <w:tcPr>
            <w:tcW w:w="1216" w:type="dxa"/>
            <w:tcBorders>
              <w:top w:val="nil"/>
              <w:left w:val="nil"/>
              <w:bottom w:val="single" w:sz="8" w:space="0" w:color="auto"/>
              <w:right w:val="single" w:sz="8" w:space="0" w:color="auto"/>
            </w:tcBorders>
            <w:shd w:val="clear" w:color="auto" w:fill="auto"/>
            <w:vAlign w:val="center"/>
            <w:hideMark/>
          </w:tcPr>
          <w:p w14:paraId="65D7ADED"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41.17</w:t>
            </w:r>
          </w:p>
        </w:tc>
        <w:tc>
          <w:tcPr>
            <w:tcW w:w="896" w:type="dxa"/>
            <w:tcBorders>
              <w:top w:val="nil"/>
              <w:left w:val="nil"/>
              <w:bottom w:val="single" w:sz="8" w:space="0" w:color="auto"/>
              <w:right w:val="single" w:sz="8" w:space="0" w:color="auto"/>
            </w:tcBorders>
            <w:shd w:val="clear" w:color="auto" w:fill="auto"/>
            <w:vAlign w:val="center"/>
            <w:hideMark/>
          </w:tcPr>
          <w:p w14:paraId="1E38556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72325239"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008F20E2"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1E5550D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C7</w:t>
            </w:r>
          </w:p>
        </w:tc>
        <w:tc>
          <w:tcPr>
            <w:tcW w:w="889" w:type="dxa"/>
            <w:tcBorders>
              <w:top w:val="nil"/>
              <w:left w:val="nil"/>
              <w:bottom w:val="single" w:sz="8" w:space="0" w:color="auto"/>
              <w:right w:val="single" w:sz="8" w:space="0" w:color="auto"/>
            </w:tcBorders>
            <w:shd w:val="clear" w:color="auto" w:fill="auto"/>
            <w:vAlign w:val="center"/>
            <w:hideMark/>
          </w:tcPr>
          <w:p w14:paraId="4A0A1FD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23.76</w:t>
            </w:r>
          </w:p>
        </w:tc>
        <w:tc>
          <w:tcPr>
            <w:tcW w:w="1161" w:type="dxa"/>
            <w:tcBorders>
              <w:top w:val="nil"/>
              <w:left w:val="nil"/>
              <w:bottom w:val="single" w:sz="8" w:space="0" w:color="auto"/>
              <w:right w:val="single" w:sz="8" w:space="0" w:color="auto"/>
            </w:tcBorders>
            <w:shd w:val="clear" w:color="auto" w:fill="auto"/>
            <w:vAlign w:val="center"/>
            <w:hideMark/>
          </w:tcPr>
          <w:p w14:paraId="0173701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11</w:t>
            </w:r>
          </w:p>
        </w:tc>
        <w:tc>
          <w:tcPr>
            <w:tcW w:w="1017" w:type="dxa"/>
            <w:tcBorders>
              <w:top w:val="nil"/>
              <w:left w:val="nil"/>
              <w:bottom w:val="single" w:sz="8" w:space="0" w:color="auto"/>
              <w:right w:val="single" w:sz="8" w:space="0" w:color="auto"/>
            </w:tcBorders>
            <w:shd w:val="clear" w:color="auto" w:fill="auto"/>
            <w:vAlign w:val="center"/>
            <w:hideMark/>
          </w:tcPr>
          <w:p w14:paraId="44A0E48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6B6CAAC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336</w:t>
            </w:r>
          </w:p>
        </w:tc>
        <w:tc>
          <w:tcPr>
            <w:tcW w:w="1139" w:type="dxa"/>
            <w:tcBorders>
              <w:top w:val="nil"/>
              <w:left w:val="nil"/>
              <w:bottom w:val="single" w:sz="8" w:space="0" w:color="auto"/>
              <w:right w:val="single" w:sz="8" w:space="0" w:color="auto"/>
            </w:tcBorders>
            <w:shd w:val="clear" w:color="auto" w:fill="auto"/>
            <w:vAlign w:val="center"/>
            <w:hideMark/>
          </w:tcPr>
          <w:p w14:paraId="42E1348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200</w:t>
            </w:r>
          </w:p>
        </w:tc>
        <w:tc>
          <w:tcPr>
            <w:tcW w:w="1106" w:type="dxa"/>
            <w:tcBorders>
              <w:top w:val="nil"/>
              <w:left w:val="nil"/>
              <w:bottom w:val="single" w:sz="8" w:space="0" w:color="auto"/>
              <w:right w:val="single" w:sz="8" w:space="0" w:color="auto"/>
            </w:tcBorders>
            <w:shd w:val="clear" w:color="auto" w:fill="auto"/>
            <w:vAlign w:val="center"/>
            <w:hideMark/>
          </w:tcPr>
          <w:p w14:paraId="54A989A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130.59</w:t>
            </w:r>
          </w:p>
        </w:tc>
        <w:tc>
          <w:tcPr>
            <w:tcW w:w="984" w:type="dxa"/>
            <w:tcBorders>
              <w:top w:val="nil"/>
              <w:left w:val="nil"/>
              <w:bottom w:val="single" w:sz="8" w:space="0" w:color="auto"/>
              <w:right w:val="single" w:sz="8" w:space="0" w:color="auto"/>
            </w:tcBorders>
            <w:shd w:val="clear" w:color="auto" w:fill="auto"/>
            <w:vAlign w:val="center"/>
            <w:hideMark/>
          </w:tcPr>
          <w:p w14:paraId="07124DE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1.55</w:t>
            </w:r>
          </w:p>
        </w:tc>
        <w:tc>
          <w:tcPr>
            <w:tcW w:w="950" w:type="dxa"/>
            <w:tcBorders>
              <w:top w:val="nil"/>
              <w:left w:val="nil"/>
              <w:bottom w:val="single" w:sz="8" w:space="0" w:color="auto"/>
              <w:right w:val="single" w:sz="8" w:space="0" w:color="auto"/>
            </w:tcBorders>
            <w:shd w:val="clear" w:color="auto" w:fill="auto"/>
            <w:vAlign w:val="center"/>
            <w:hideMark/>
          </w:tcPr>
          <w:p w14:paraId="6443F51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59.5</w:t>
            </w:r>
          </w:p>
        </w:tc>
        <w:tc>
          <w:tcPr>
            <w:tcW w:w="1216" w:type="dxa"/>
            <w:tcBorders>
              <w:top w:val="nil"/>
              <w:left w:val="nil"/>
              <w:bottom w:val="single" w:sz="8" w:space="0" w:color="auto"/>
              <w:right w:val="single" w:sz="8" w:space="0" w:color="auto"/>
            </w:tcBorders>
            <w:shd w:val="clear" w:color="auto" w:fill="auto"/>
            <w:vAlign w:val="center"/>
            <w:hideMark/>
          </w:tcPr>
          <w:p w14:paraId="1E1DEFC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29.94</w:t>
            </w:r>
          </w:p>
        </w:tc>
        <w:tc>
          <w:tcPr>
            <w:tcW w:w="896" w:type="dxa"/>
            <w:tcBorders>
              <w:top w:val="nil"/>
              <w:left w:val="nil"/>
              <w:bottom w:val="single" w:sz="8" w:space="0" w:color="auto"/>
              <w:right w:val="single" w:sz="8" w:space="0" w:color="auto"/>
            </w:tcBorders>
            <w:shd w:val="clear" w:color="auto" w:fill="auto"/>
            <w:vAlign w:val="center"/>
            <w:hideMark/>
          </w:tcPr>
          <w:p w14:paraId="7D83CA1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43ED457A"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153B2BAE"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0DED1D2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C8</w:t>
            </w:r>
          </w:p>
        </w:tc>
        <w:tc>
          <w:tcPr>
            <w:tcW w:w="889" w:type="dxa"/>
            <w:tcBorders>
              <w:top w:val="nil"/>
              <w:left w:val="nil"/>
              <w:bottom w:val="single" w:sz="8" w:space="0" w:color="auto"/>
              <w:right w:val="single" w:sz="8" w:space="0" w:color="auto"/>
            </w:tcBorders>
            <w:shd w:val="clear" w:color="auto" w:fill="auto"/>
            <w:vAlign w:val="center"/>
            <w:hideMark/>
          </w:tcPr>
          <w:p w14:paraId="5C830FB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60</w:t>
            </w:r>
          </w:p>
        </w:tc>
        <w:tc>
          <w:tcPr>
            <w:tcW w:w="1161" w:type="dxa"/>
            <w:tcBorders>
              <w:top w:val="nil"/>
              <w:left w:val="nil"/>
              <w:bottom w:val="single" w:sz="8" w:space="0" w:color="auto"/>
              <w:right w:val="single" w:sz="8" w:space="0" w:color="auto"/>
            </w:tcBorders>
            <w:shd w:val="clear" w:color="auto" w:fill="auto"/>
            <w:vAlign w:val="center"/>
            <w:hideMark/>
          </w:tcPr>
          <w:p w14:paraId="2AFFDD6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34</w:t>
            </w:r>
          </w:p>
        </w:tc>
        <w:tc>
          <w:tcPr>
            <w:tcW w:w="1017" w:type="dxa"/>
            <w:tcBorders>
              <w:top w:val="nil"/>
              <w:left w:val="nil"/>
              <w:bottom w:val="single" w:sz="8" w:space="0" w:color="auto"/>
              <w:right w:val="single" w:sz="8" w:space="0" w:color="auto"/>
            </w:tcBorders>
            <w:shd w:val="clear" w:color="auto" w:fill="auto"/>
            <w:vAlign w:val="center"/>
            <w:hideMark/>
          </w:tcPr>
          <w:p w14:paraId="34DE883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581DB712"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993</w:t>
            </w:r>
          </w:p>
        </w:tc>
        <w:tc>
          <w:tcPr>
            <w:tcW w:w="1139" w:type="dxa"/>
            <w:tcBorders>
              <w:top w:val="nil"/>
              <w:left w:val="nil"/>
              <w:bottom w:val="single" w:sz="8" w:space="0" w:color="auto"/>
              <w:right w:val="single" w:sz="8" w:space="0" w:color="auto"/>
            </w:tcBorders>
            <w:shd w:val="clear" w:color="auto" w:fill="auto"/>
            <w:vAlign w:val="center"/>
            <w:hideMark/>
          </w:tcPr>
          <w:p w14:paraId="070513B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283</w:t>
            </w:r>
          </w:p>
        </w:tc>
        <w:tc>
          <w:tcPr>
            <w:tcW w:w="1106" w:type="dxa"/>
            <w:tcBorders>
              <w:top w:val="nil"/>
              <w:left w:val="nil"/>
              <w:bottom w:val="single" w:sz="8" w:space="0" w:color="auto"/>
              <w:right w:val="single" w:sz="8" w:space="0" w:color="auto"/>
            </w:tcBorders>
            <w:shd w:val="clear" w:color="auto" w:fill="auto"/>
            <w:vAlign w:val="center"/>
            <w:hideMark/>
          </w:tcPr>
          <w:p w14:paraId="68D33092"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385.94</w:t>
            </w:r>
          </w:p>
        </w:tc>
        <w:tc>
          <w:tcPr>
            <w:tcW w:w="984" w:type="dxa"/>
            <w:tcBorders>
              <w:top w:val="nil"/>
              <w:left w:val="nil"/>
              <w:bottom w:val="single" w:sz="8" w:space="0" w:color="auto"/>
              <w:right w:val="single" w:sz="8" w:space="0" w:color="auto"/>
            </w:tcBorders>
            <w:shd w:val="clear" w:color="auto" w:fill="auto"/>
            <w:vAlign w:val="center"/>
            <w:hideMark/>
          </w:tcPr>
          <w:p w14:paraId="08FB34F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0.72</w:t>
            </w:r>
          </w:p>
        </w:tc>
        <w:tc>
          <w:tcPr>
            <w:tcW w:w="950" w:type="dxa"/>
            <w:tcBorders>
              <w:top w:val="nil"/>
              <w:left w:val="nil"/>
              <w:bottom w:val="single" w:sz="8" w:space="0" w:color="auto"/>
              <w:right w:val="single" w:sz="8" w:space="0" w:color="auto"/>
            </w:tcBorders>
            <w:shd w:val="clear" w:color="auto" w:fill="auto"/>
            <w:vAlign w:val="center"/>
            <w:hideMark/>
          </w:tcPr>
          <w:p w14:paraId="282CD9F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28.5</w:t>
            </w:r>
          </w:p>
        </w:tc>
        <w:tc>
          <w:tcPr>
            <w:tcW w:w="1216" w:type="dxa"/>
            <w:tcBorders>
              <w:top w:val="nil"/>
              <w:left w:val="nil"/>
              <w:bottom w:val="single" w:sz="8" w:space="0" w:color="auto"/>
              <w:right w:val="single" w:sz="8" w:space="0" w:color="auto"/>
            </w:tcBorders>
            <w:shd w:val="clear" w:color="auto" w:fill="auto"/>
            <w:vAlign w:val="center"/>
            <w:hideMark/>
          </w:tcPr>
          <w:p w14:paraId="5BB22BC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25.19</w:t>
            </w:r>
          </w:p>
        </w:tc>
        <w:tc>
          <w:tcPr>
            <w:tcW w:w="896" w:type="dxa"/>
            <w:tcBorders>
              <w:top w:val="nil"/>
              <w:left w:val="nil"/>
              <w:bottom w:val="single" w:sz="8" w:space="0" w:color="auto"/>
              <w:right w:val="single" w:sz="8" w:space="0" w:color="auto"/>
            </w:tcBorders>
            <w:shd w:val="clear" w:color="auto" w:fill="auto"/>
            <w:vAlign w:val="center"/>
            <w:hideMark/>
          </w:tcPr>
          <w:p w14:paraId="5D46255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67146A34"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42C31A35"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1A075D1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C9</w:t>
            </w:r>
          </w:p>
        </w:tc>
        <w:tc>
          <w:tcPr>
            <w:tcW w:w="889" w:type="dxa"/>
            <w:tcBorders>
              <w:top w:val="nil"/>
              <w:left w:val="nil"/>
              <w:bottom w:val="single" w:sz="8" w:space="0" w:color="auto"/>
              <w:right w:val="single" w:sz="8" w:space="0" w:color="auto"/>
            </w:tcBorders>
            <w:shd w:val="clear" w:color="auto" w:fill="auto"/>
            <w:vAlign w:val="center"/>
            <w:hideMark/>
          </w:tcPr>
          <w:p w14:paraId="278A517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59.08</w:t>
            </w:r>
          </w:p>
        </w:tc>
        <w:tc>
          <w:tcPr>
            <w:tcW w:w="1161" w:type="dxa"/>
            <w:tcBorders>
              <w:top w:val="nil"/>
              <w:left w:val="nil"/>
              <w:bottom w:val="single" w:sz="8" w:space="0" w:color="auto"/>
              <w:right w:val="single" w:sz="8" w:space="0" w:color="auto"/>
            </w:tcBorders>
            <w:shd w:val="clear" w:color="auto" w:fill="auto"/>
            <w:vAlign w:val="center"/>
            <w:hideMark/>
          </w:tcPr>
          <w:p w14:paraId="0064C2A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30</w:t>
            </w:r>
          </w:p>
        </w:tc>
        <w:tc>
          <w:tcPr>
            <w:tcW w:w="1017" w:type="dxa"/>
            <w:tcBorders>
              <w:top w:val="nil"/>
              <w:left w:val="nil"/>
              <w:bottom w:val="single" w:sz="8" w:space="0" w:color="auto"/>
              <w:right w:val="single" w:sz="8" w:space="0" w:color="auto"/>
            </w:tcBorders>
            <w:shd w:val="clear" w:color="auto" w:fill="auto"/>
            <w:vAlign w:val="center"/>
            <w:hideMark/>
          </w:tcPr>
          <w:p w14:paraId="348BB0B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w:t>
            </w:r>
          </w:p>
        </w:tc>
        <w:tc>
          <w:tcPr>
            <w:tcW w:w="1250" w:type="dxa"/>
            <w:tcBorders>
              <w:top w:val="nil"/>
              <w:left w:val="nil"/>
              <w:bottom w:val="single" w:sz="8" w:space="0" w:color="auto"/>
              <w:right w:val="single" w:sz="8" w:space="0" w:color="auto"/>
            </w:tcBorders>
            <w:shd w:val="clear" w:color="auto" w:fill="auto"/>
            <w:vAlign w:val="center"/>
            <w:hideMark/>
          </w:tcPr>
          <w:p w14:paraId="6E0763F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801</w:t>
            </w:r>
          </w:p>
        </w:tc>
        <w:tc>
          <w:tcPr>
            <w:tcW w:w="1139" w:type="dxa"/>
            <w:tcBorders>
              <w:top w:val="nil"/>
              <w:left w:val="nil"/>
              <w:bottom w:val="single" w:sz="8" w:space="0" w:color="auto"/>
              <w:right w:val="single" w:sz="8" w:space="0" w:color="auto"/>
            </w:tcBorders>
            <w:shd w:val="clear" w:color="auto" w:fill="auto"/>
            <w:vAlign w:val="center"/>
            <w:hideMark/>
          </w:tcPr>
          <w:p w14:paraId="2C925917"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219</w:t>
            </w:r>
          </w:p>
        </w:tc>
        <w:tc>
          <w:tcPr>
            <w:tcW w:w="1106" w:type="dxa"/>
            <w:tcBorders>
              <w:top w:val="nil"/>
              <w:left w:val="nil"/>
              <w:bottom w:val="single" w:sz="8" w:space="0" w:color="auto"/>
              <w:right w:val="single" w:sz="8" w:space="0" w:color="auto"/>
            </w:tcBorders>
            <w:shd w:val="clear" w:color="auto" w:fill="auto"/>
            <w:vAlign w:val="center"/>
            <w:hideMark/>
          </w:tcPr>
          <w:p w14:paraId="05708BE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311.32</w:t>
            </w:r>
          </w:p>
        </w:tc>
        <w:tc>
          <w:tcPr>
            <w:tcW w:w="984" w:type="dxa"/>
            <w:tcBorders>
              <w:top w:val="nil"/>
              <w:left w:val="nil"/>
              <w:bottom w:val="single" w:sz="8" w:space="0" w:color="auto"/>
              <w:right w:val="single" w:sz="8" w:space="0" w:color="auto"/>
            </w:tcBorders>
            <w:shd w:val="clear" w:color="auto" w:fill="auto"/>
            <w:vAlign w:val="center"/>
            <w:hideMark/>
          </w:tcPr>
          <w:p w14:paraId="49B4719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0.69</w:t>
            </w:r>
          </w:p>
        </w:tc>
        <w:tc>
          <w:tcPr>
            <w:tcW w:w="950" w:type="dxa"/>
            <w:tcBorders>
              <w:top w:val="nil"/>
              <w:left w:val="nil"/>
              <w:bottom w:val="single" w:sz="8" w:space="0" w:color="auto"/>
              <w:right w:val="single" w:sz="8" w:space="0" w:color="auto"/>
            </w:tcBorders>
            <w:shd w:val="clear" w:color="auto" w:fill="auto"/>
            <w:vAlign w:val="center"/>
            <w:hideMark/>
          </w:tcPr>
          <w:p w14:paraId="2A758E2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27.3</w:t>
            </w:r>
          </w:p>
        </w:tc>
        <w:tc>
          <w:tcPr>
            <w:tcW w:w="1216" w:type="dxa"/>
            <w:tcBorders>
              <w:top w:val="nil"/>
              <w:left w:val="nil"/>
              <w:bottom w:val="single" w:sz="8" w:space="0" w:color="auto"/>
              <w:right w:val="single" w:sz="8" w:space="0" w:color="auto"/>
            </w:tcBorders>
            <w:shd w:val="clear" w:color="auto" w:fill="auto"/>
            <w:vAlign w:val="center"/>
            <w:hideMark/>
          </w:tcPr>
          <w:p w14:paraId="7ADC77FD"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24.89</w:t>
            </w:r>
          </w:p>
        </w:tc>
        <w:tc>
          <w:tcPr>
            <w:tcW w:w="896" w:type="dxa"/>
            <w:tcBorders>
              <w:top w:val="nil"/>
              <w:left w:val="nil"/>
              <w:bottom w:val="single" w:sz="8" w:space="0" w:color="auto"/>
              <w:right w:val="single" w:sz="8" w:space="0" w:color="auto"/>
            </w:tcBorders>
            <w:shd w:val="clear" w:color="auto" w:fill="auto"/>
            <w:vAlign w:val="center"/>
            <w:hideMark/>
          </w:tcPr>
          <w:p w14:paraId="76F419B8"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0D8BAEF1"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1B22902F"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51D1481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C10</w:t>
            </w:r>
          </w:p>
        </w:tc>
        <w:tc>
          <w:tcPr>
            <w:tcW w:w="889" w:type="dxa"/>
            <w:tcBorders>
              <w:top w:val="nil"/>
              <w:left w:val="nil"/>
              <w:bottom w:val="single" w:sz="8" w:space="0" w:color="auto"/>
              <w:right w:val="single" w:sz="8" w:space="0" w:color="auto"/>
            </w:tcBorders>
            <w:shd w:val="clear" w:color="auto" w:fill="auto"/>
            <w:vAlign w:val="center"/>
            <w:hideMark/>
          </w:tcPr>
          <w:p w14:paraId="64C8206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19.21</w:t>
            </w:r>
          </w:p>
        </w:tc>
        <w:tc>
          <w:tcPr>
            <w:tcW w:w="1161" w:type="dxa"/>
            <w:tcBorders>
              <w:top w:val="nil"/>
              <w:left w:val="nil"/>
              <w:bottom w:val="single" w:sz="8" w:space="0" w:color="auto"/>
              <w:right w:val="single" w:sz="8" w:space="0" w:color="auto"/>
            </w:tcBorders>
            <w:shd w:val="clear" w:color="auto" w:fill="auto"/>
            <w:vAlign w:val="center"/>
            <w:hideMark/>
          </w:tcPr>
          <w:p w14:paraId="6C8F0AA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7</w:t>
            </w:r>
          </w:p>
        </w:tc>
        <w:tc>
          <w:tcPr>
            <w:tcW w:w="1017" w:type="dxa"/>
            <w:tcBorders>
              <w:top w:val="nil"/>
              <w:left w:val="nil"/>
              <w:bottom w:val="single" w:sz="8" w:space="0" w:color="auto"/>
              <w:right w:val="single" w:sz="8" w:space="0" w:color="auto"/>
            </w:tcBorders>
            <w:shd w:val="clear" w:color="auto" w:fill="auto"/>
            <w:vAlign w:val="center"/>
            <w:hideMark/>
          </w:tcPr>
          <w:p w14:paraId="46983AE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5917829C"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227</w:t>
            </w:r>
          </w:p>
        </w:tc>
        <w:tc>
          <w:tcPr>
            <w:tcW w:w="1139" w:type="dxa"/>
            <w:tcBorders>
              <w:top w:val="nil"/>
              <w:left w:val="nil"/>
              <w:bottom w:val="single" w:sz="8" w:space="0" w:color="auto"/>
              <w:right w:val="single" w:sz="8" w:space="0" w:color="auto"/>
            </w:tcBorders>
            <w:shd w:val="clear" w:color="auto" w:fill="auto"/>
            <w:vAlign w:val="center"/>
            <w:hideMark/>
          </w:tcPr>
          <w:p w14:paraId="75FA6F5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137</w:t>
            </w:r>
          </w:p>
        </w:tc>
        <w:tc>
          <w:tcPr>
            <w:tcW w:w="1106" w:type="dxa"/>
            <w:tcBorders>
              <w:top w:val="nil"/>
              <w:left w:val="nil"/>
              <w:bottom w:val="single" w:sz="8" w:space="0" w:color="auto"/>
              <w:right w:val="single" w:sz="8" w:space="0" w:color="auto"/>
            </w:tcBorders>
            <w:shd w:val="clear" w:color="auto" w:fill="auto"/>
            <w:vAlign w:val="center"/>
            <w:hideMark/>
          </w:tcPr>
          <w:p w14:paraId="238E403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88.23</w:t>
            </w:r>
          </w:p>
        </w:tc>
        <w:tc>
          <w:tcPr>
            <w:tcW w:w="984" w:type="dxa"/>
            <w:tcBorders>
              <w:top w:val="nil"/>
              <w:left w:val="nil"/>
              <w:bottom w:val="single" w:sz="8" w:space="0" w:color="auto"/>
              <w:right w:val="single" w:sz="8" w:space="0" w:color="auto"/>
            </w:tcBorders>
            <w:shd w:val="clear" w:color="auto" w:fill="auto"/>
            <w:vAlign w:val="center"/>
            <w:hideMark/>
          </w:tcPr>
          <w:p w14:paraId="2341345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1.57</w:t>
            </w:r>
          </w:p>
        </w:tc>
        <w:tc>
          <w:tcPr>
            <w:tcW w:w="950" w:type="dxa"/>
            <w:tcBorders>
              <w:top w:val="nil"/>
              <w:left w:val="nil"/>
              <w:bottom w:val="single" w:sz="8" w:space="0" w:color="auto"/>
              <w:right w:val="single" w:sz="8" w:space="0" w:color="auto"/>
            </w:tcBorders>
            <w:shd w:val="clear" w:color="auto" w:fill="auto"/>
            <w:vAlign w:val="center"/>
            <w:hideMark/>
          </w:tcPr>
          <w:p w14:paraId="17821C0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60.4</w:t>
            </w:r>
          </w:p>
        </w:tc>
        <w:tc>
          <w:tcPr>
            <w:tcW w:w="1216" w:type="dxa"/>
            <w:tcBorders>
              <w:top w:val="nil"/>
              <w:left w:val="nil"/>
              <w:bottom w:val="single" w:sz="8" w:space="0" w:color="auto"/>
              <w:right w:val="single" w:sz="8" w:space="0" w:color="auto"/>
            </w:tcBorders>
            <w:shd w:val="clear" w:color="auto" w:fill="auto"/>
            <w:vAlign w:val="center"/>
            <w:hideMark/>
          </w:tcPr>
          <w:p w14:paraId="757A801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21.69</w:t>
            </w:r>
          </w:p>
        </w:tc>
        <w:tc>
          <w:tcPr>
            <w:tcW w:w="896" w:type="dxa"/>
            <w:tcBorders>
              <w:top w:val="nil"/>
              <w:left w:val="nil"/>
              <w:bottom w:val="single" w:sz="8" w:space="0" w:color="auto"/>
              <w:right w:val="single" w:sz="8" w:space="0" w:color="auto"/>
            </w:tcBorders>
            <w:shd w:val="clear" w:color="auto" w:fill="auto"/>
            <w:vAlign w:val="center"/>
            <w:hideMark/>
          </w:tcPr>
          <w:p w14:paraId="77904DF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760AE5E6"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03DE6BB2"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180216A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C11</w:t>
            </w:r>
          </w:p>
        </w:tc>
        <w:tc>
          <w:tcPr>
            <w:tcW w:w="889" w:type="dxa"/>
            <w:tcBorders>
              <w:top w:val="nil"/>
              <w:left w:val="nil"/>
              <w:bottom w:val="single" w:sz="8" w:space="0" w:color="auto"/>
              <w:right w:val="single" w:sz="8" w:space="0" w:color="auto"/>
            </w:tcBorders>
            <w:shd w:val="clear" w:color="auto" w:fill="auto"/>
            <w:vAlign w:val="center"/>
            <w:hideMark/>
          </w:tcPr>
          <w:p w14:paraId="232B7AEE"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17.22</w:t>
            </w:r>
          </w:p>
        </w:tc>
        <w:tc>
          <w:tcPr>
            <w:tcW w:w="1161" w:type="dxa"/>
            <w:tcBorders>
              <w:top w:val="nil"/>
              <w:left w:val="nil"/>
              <w:bottom w:val="single" w:sz="8" w:space="0" w:color="auto"/>
              <w:right w:val="single" w:sz="8" w:space="0" w:color="auto"/>
            </w:tcBorders>
            <w:shd w:val="clear" w:color="auto" w:fill="auto"/>
            <w:vAlign w:val="center"/>
            <w:hideMark/>
          </w:tcPr>
          <w:p w14:paraId="5617BEC5"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w:t>
            </w:r>
          </w:p>
        </w:tc>
        <w:tc>
          <w:tcPr>
            <w:tcW w:w="1017" w:type="dxa"/>
            <w:tcBorders>
              <w:top w:val="nil"/>
              <w:left w:val="nil"/>
              <w:bottom w:val="single" w:sz="8" w:space="0" w:color="auto"/>
              <w:right w:val="single" w:sz="8" w:space="0" w:color="auto"/>
            </w:tcBorders>
            <w:shd w:val="clear" w:color="auto" w:fill="auto"/>
            <w:vAlign w:val="center"/>
            <w:hideMark/>
          </w:tcPr>
          <w:p w14:paraId="67FE824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29D7C6A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132</w:t>
            </w:r>
          </w:p>
        </w:tc>
        <w:tc>
          <w:tcPr>
            <w:tcW w:w="1139" w:type="dxa"/>
            <w:tcBorders>
              <w:top w:val="nil"/>
              <w:left w:val="nil"/>
              <w:bottom w:val="single" w:sz="8" w:space="0" w:color="auto"/>
              <w:right w:val="single" w:sz="8" w:space="0" w:color="auto"/>
            </w:tcBorders>
            <w:shd w:val="clear" w:color="auto" w:fill="auto"/>
            <w:vAlign w:val="center"/>
            <w:hideMark/>
          </w:tcPr>
          <w:p w14:paraId="55ED336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20</w:t>
            </w:r>
          </w:p>
        </w:tc>
        <w:tc>
          <w:tcPr>
            <w:tcW w:w="1106" w:type="dxa"/>
            <w:tcBorders>
              <w:top w:val="nil"/>
              <w:left w:val="nil"/>
              <w:bottom w:val="single" w:sz="8" w:space="0" w:color="auto"/>
              <w:right w:val="single" w:sz="8" w:space="0" w:color="auto"/>
            </w:tcBorders>
            <w:shd w:val="clear" w:color="auto" w:fill="auto"/>
            <w:vAlign w:val="center"/>
            <w:hideMark/>
          </w:tcPr>
          <w:p w14:paraId="07DB14B3"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51.3</w:t>
            </w:r>
          </w:p>
        </w:tc>
        <w:tc>
          <w:tcPr>
            <w:tcW w:w="984" w:type="dxa"/>
            <w:tcBorders>
              <w:top w:val="nil"/>
              <w:left w:val="nil"/>
              <w:bottom w:val="single" w:sz="8" w:space="0" w:color="auto"/>
              <w:right w:val="single" w:sz="8" w:space="0" w:color="auto"/>
            </w:tcBorders>
            <w:shd w:val="clear" w:color="auto" w:fill="auto"/>
            <w:vAlign w:val="center"/>
            <w:hideMark/>
          </w:tcPr>
          <w:p w14:paraId="7AB5D5AA"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0.39</w:t>
            </w:r>
          </w:p>
        </w:tc>
        <w:tc>
          <w:tcPr>
            <w:tcW w:w="950" w:type="dxa"/>
            <w:tcBorders>
              <w:top w:val="nil"/>
              <w:left w:val="nil"/>
              <w:bottom w:val="single" w:sz="8" w:space="0" w:color="auto"/>
              <w:right w:val="single" w:sz="8" w:space="0" w:color="auto"/>
            </w:tcBorders>
            <w:shd w:val="clear" w:color="auto" w:fill="auto"/>
            <w:vAlign w:val="center"/>
            <w:hideMark/>
          </w:tcPr>
          <w:p w14:paraId="2CD2D54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15.2</w:t>
            </w:r>
          </w:p>
        </w:tc>
        <w:tc>
          <w:tcPr>
            <w:tcW w:w="1216" w:type="dxa"/>
            <w:tcBorders>
              <w:top w:val="nil"/>
              <w:left w:val="nil"/>
              <w:bottom w:val="single" w:sz="8" w:space="0" w:color="auto"/>
              <w:right w:val="single" w:sz="8" w:space="0" w:color="auto"/>
            </w:tcBorders>
            <w:shd w:val="clear" w:color="auto" w:fill="auto"/>
            <w:vAlign w:val="center"/>
            <w:hideMark/>
          </w:tcPr>
          <w:p w14:paraId="2F4C6AF2"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18.02</w:t>
            </w:r>
          </w:p>
        </w:tc>
        <w:tc>
          <w:tcPr>
            <w:tcW w:w="896" w:type="dxa"/>
            <w:tcBorders>
              <w:top w:val="nil"/>
              <w:left w:val="nil"/>
              <w:bottom w:val="single" w:sz="8" w:space="0" w:color="auto"/>
              <w:right w:val="single" w:sz="8" w:space="0" w:color="auto"/>
            </w:tcBorders>
            <w:shd w:val="clear" w:color="auto" w:fill="auto"/>
            <w:vAlign w:val="center"/>
            <w:hideMark/>
          </w:tcPr>
          <w:p w14:paraId="21AF863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&lt;0.001</w:t>
            </w:r>
          </w:p>
        </w:tc>
        <w:tc>
          <w:tcPr>
            <w:tcW w:w="222" w:type="dxa"/>
            <w:vAlign w:val="center"/>
            <w:hideMark/>
          </w:tcPr>
          <w:p w14:paraId="65BC4CE2"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r w:rsidR="00DD596B" w:rsidRPr="00DD596B" w14:paraId="4BD9516A" w14:textId="77777777" w:rsidTr="00DD596B">
        <w:trPr>
          <w:trHeight w:val="228"/>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06D64D3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C12</w:t>
            </w:r>
          </w:p>
        </w:tc>
        <w:tc>
          <w:tcPr>
            <w:tcW w:w="889" w:type="dxa"/>
            <w:tcBorders>
              <w:top w:val="nil"/>
              <w:left w:val="nil"/>
              <w:bottom w:val="single" w:sz="8" w:space="0" w:color="auto"/>
              <w:right w:val="single" w:sz="8" w:space="0" w:color="auto"/>
            </w:tcBorders>
            <w:shd w:val="clear" w:color="auto" w:fill="auto"/>
            <w:vAlign w:val="center"/>
            <w:hideMark/>
          </w:tcPr>
          <w:p w14:paraId="665D816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15.56</w:t>
            </w:r>
          </w:p>
        </w:tc>
        <w:tc>
          <w:tcPr>
            <w:tcW w:w="1161" w:type="dxa"/>
            <w:tcBorders>
              <w:top w:val="nil"/>
              <w:left w:val="nil"/>
              <w:bottom w:val="single" w:sz="8" w:space="0" w:color="auto"/>
              <w:right w:val="single" w:sz="8" w:space="0" w:color="auto"/>
            </w:tcBorders>
            <w:shd w:val="clear" w:color="auto" w:fill="auto"/>
            <w:vAlign w:val="center"/>
            <w:hideMark/>
          </w:tcPr>
          <w:p w14:paraId="2C3B779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6</w:t>
            </w:r>
          </w:p>
        </w:tc>
        <w:tc>
          <w:tcPr>
            <w:tcW w:w="1017" w:type="dxa"/>
            <w:tcBorders>
              <w:top w:val="nil"/>
              <w:left w:val="nil"/>
              <w:bottom w:val="single" w:sz="8" w:space="0" w:color="auto"/>
              <w:right w:val="single" w:sz="8" w:space="0" w:color="auto"/>
            </w:tcBorders>
            <w:shd w:val="clear" w:color="auto" w:fill="auto"/>
            <w:vAlign w:val="center"/>
            <w:hideMark/>
          </w:tcPr>
          <w:p w14:paraId="00677D6D"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1D438076"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187</w:t>
            </w:r>
          </w:p>
        </w:tc>
        <w:tc>
          <w:tcPr>
            <w:tcW w:w="1139" w:type="dxa"/>
            <w:tcBorders>
              <w:top w:val="nil"/>
              <w:left w:val="nil"/>
              <w:bottom w:val="single" w:sz="8" w:space="0" w:color="auto"/>
              <w:right w:val="single" w:sz="8" w:space="0" w:color="auto"/>
            </w:tcBorders>
            <w:shd w:val="clear" w:color="auto" w:fill="auto"/>
            <w:vAlign w:val="center"/>
            <w:hideMark/>
          </w:tcPr>
          <w:p w14:paraId="41A3FBB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0.55</w:t>
            </w:r>
          </w:p>
        </w:tc>
        <w:tc>
          <w:tcPr>
            <w:tcW w:w="1106" w:type="dxa"/>
            <w:tcBorders>
              <w:top w:val="nil"/>
              <w:left w:val="nil"/>
              <w:bottom w:val="single" w:sz="8" w:space="0" w:color="auto"/>
              <w:right w:val="single" w:sz="8" w:space="0" w:color="auto"/>
            </w:tcBorders>
            <w:shd w:val="clear" w:color="auto" w:fill="auto"/>
            <w:vAlign w:val="center"/>
            <w:hideMark/>
          </w:tcPr>
          <w:p w14:paraId="4AFD9E2F"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72.68</w:t>
            </w:r>
          </w:p>
        </w:tc>
        <w:tc>
          <w:tcPr>
            <w:tcW w:w="984" w:type="dxa"/>
            <w:tcBorders>
              <w:top w:val="nil"/>
              <w:left w:val="nil"/>
              <w:bottom w:val="single" w:sz="8" w:space="0" w:color="auto"/>
              <w:right w:val="single" w:sz="8" w:space="0" w:color="auto"/>
            </w:tcBorders>
            <w:shd w:val="clear" w:color="auto" w:fill="auto"/>
            <w:vAlign w:val="center"/>
            <w:hideMark/>
          </w:tcPr>
          <w:p w14:paraId="7EAA5C11"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0.55</w:t>
            </w:r>
          </w:p>
        </w:tc>
        <w:tc>
          <w:tcPr>
            <w:tcW w:w="950" w:type="dxa"/>
            <w:tcBorders>
              <w:top w:val="nil"/>
              <w:left w:val="nil"/>
              <w:bottom w:val="single" w:sz="8" w:space="0" w:color="auto"/>
              <w:right w:val="single" w:sz="8" w:space="0" w:color="auto"/>
            </w:tcBorders>
            <w:shd w:val="clear" w:color="auto" w:fill="auto"/>
            <w:vAlign w:val="center"/>
            <w:hideMark/>
          </w:tcPr>
          <w:p w14:paraId="689B0710"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21.4</w:t>
            </w:r>
          </w:p>
        </w:tc>
        <w:tc>
          <w:tcPr>
            <w:tcW w:w="1216" w:type="dxa"/>
            <w:tcBorders>
              <w:top w:val="nil"/>
              <w:left w:val="nil"/>
              <w:bottom w:val="single" w:sz="8" w:space="0" w:color="auto"/>
              <w:right w:val="single" w:sz="8" w:space="0" w:color="auto"/>
            </w:tcBorders>
            <w:shd w:val="clear" w:color="auto" w:fill="auto"/>
            <w:vAlign w:val="center"/>
            <w:hideMark/>
          </w:tcPr>
          <w:p w14:paraId="1E6AD9A4"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13.24</w:t>
            </w:r>
          </w:p>
        </w:tc>
        <w:tc>
          <w:tcPr>
            <w:tcW w:w="896" w:type="dxa"/>
            <w:tcBorders>
              <w:top w:val="nil"/>
              <w:left w:val="nil"/>
              <w:bottom w:val="single" w:sz="8" w:space="0" w:color="auto"/>
              <w:right w:val="single" w:sz="8" w:space="0" w:color="auto"/>
            </w:tcBorders>
            <w:shd w:val="clear" w:color="auto" w:fill="auto"/>
            <w:vAlign w:val="center"/>
            <w:hideMark/>
          </w:tcPr>
          <w:p w14:paraId="042C207B" w14:textId="77777777" w:rsidR="00B816B8" w:rsidRPr="00B816B8" w:rsidRDefault="00B816B8" w:rsidP="00B816B8">
            <w:pPr>
              <w:spacing w:after="0" w:line="240" w:lineRule="auto"/>
              <w:jc w:val="center"/>
              <w:rPr>
                <w:rFonts w:ascii="Arial" w:eastAsia="Times New Roman" w:hAnsi="Arial" w:cs="Arial"/>
                <w:color w:val="000000"/>
                <w:kern w:val="0"/>
                <w:sz w:val="22"/>
                <w:szCs w:val="22"/>
                <w14:ligatures w14:val="none"/>
              </w:rPr>
            </w:pPr>
            <w:r w:rsidRPr="00B816B8">
              <w:rPr>
                <w:rFonts w:ascii="Arial" w:eastAsia="Times New Roman" w:hAnsi="Arial" w:cs="Arial"/>
                <w:color w:val="000000"/>
                <w:kern w:val="0"/>
                <w:sz w:val="22"/>
                <w:szCs w:val="22"/>
                <w14:ligatures w14:val="none"/>
              </w:rPr>
              <w:t>0.002</w:t>
            </w:r>
          </w:p>
        </w:tc>
        <w:tc>
          <w:tcPr>
            <w:tcW w:w="222" w:type="dxa"/>
            <w:vAlign w:val="center"/>
            <w:hideMark/>
          </w:tcPr>
          <w:p w14:paraId="2BE6AF21" w14:textId="77777777" w:rsidR="00B816B8" w:rsidRPr="00B816B8" w:rsidRDefault="00B816B8" w:rsidP="00B816B8">
            <w:pPr>
              <w:spacing w:after="0" w:line="240" w:lineRule="auto"/>
              <w:rPr>
                <w:rFonts w:ascii="Times New Roman" w:eastAsia="Times New Roman" w:hAnsi="Times New Roman" w:cs="Times New Roman"/>
                <w:kern w:val="0"/>
                <w:sz w:val="22"/>
                <w:szCs w:val="22"/>
                <w14:ligatures w14:val="none"/>
              </w:rPr>
            </w:pPr>
          </w:p>
        </w:tc>
      </w:tr>
    </w:tbl>
    <w:p w14:paraId="2225F541" w14:textId="77777777" w:rsidR="00B816B8" w:rsidRPr="00DD596B" w:rsidRDefault="00B816B8" w:rsidP="00B816B8">
      <w:pPr>
        <w:rPr>
          <w:sz w:val="22"/>
          <w:szCs w:val="22"/>
        </w:rPr>
      </w:pPr>
    </w:p>
    <w:p w14:paraId="29010A76" w14:textId="489C62B7" w:rsidR="0016401D" w:rsidRPr="00DD596B" w:rsidRDefault="00FE6AF1" w:rsidP="00FE6AF1">
      <w:pPr>
        <w:jc w:val="both"/>
        <w:rPr>
          <w:rFonts w:ascii="Arial" w:hAnsi="Arial" w:cs="Arial"/>
          <w:sz w:val="22"/>
          <w:szCs w:val="22"/>
        </w:rPr>
      </w:pPr>
      <w:r w:rsidRPr="00DD596B">
        <w:rPr>
          <w:rFonts w:ascii="Arial" w:hAnsi="Arial" w:cs="Arial"/>
          <w:sz w:val="22"/>
          <w:szCs w:val="22"/>
        </w:rPr>
        <w:t xml:space="preserve">Table </w:t>
      </w:r>
      <w:r w:rsidRPr="00DD596B">
        <w:rPr>
          <w:rFonts w:ascii="Arial" w:hAnsi="Arial" w:cs="Arial"/>
          <w:sz w:val="22"/>
          <w:szCs w:val="22"/>
        </w:rPr>
        <w:t xml:space="preserve">3 </w:t>
      </w:r>
      <w:r w:rsidRPr="00DD596B">
        <w:rPr>
          <w:rFonts w:ascii="Arial" w:hAnsi="Arial" w:cs="Arial"/>
          <w:sz w:val="22"/>
          <w:szCs w:val="22"/>
        </w:rPr>
        <w:t xml:space="preserve">represents the spatial scan statistics </w:t>
      </w:r>
      <w:r w:rsidRPr="00DD596B">
        <w:rPr>
          <w:rFonts w:ascii="Arial" w:hAnsi="Arial" w:cs="Arial"/>
          <w:sz w:val="22"/>
          <w:szCs w:val="22"/>
        </w:rPr>
        <w:t xml:space="preserve">for clusters identified as significant clusters (p&lt;0.05) for high or normal blood pressure distribution in Nepal. </w:t>
      </w:r>
      <w:r w:rsidRPr="00DD596B">
        <w:rPr>
          <w:rFonts w:ascii="Arial" w:hAnsi="Arial" w:cs="Arial"/>
          <w:sz w:val="22"/>
          <w:szCs w:val="22"/>
        </w:rPr>
        <w:t>High-risk clusters (RR&gt;1.0) were identified in six locations C2, C3, C6, C7, C10, and C11, with relative risks ranging from 1.</w:t>
      </w:r>
      <w:r w:rsidRPr="00DD596B">
        <w:rPr>
          <w:rFonts w:ascii="Arial" w:hAnsi="Arial" w:cs="Arial"/>
          <w:sz w:val="22"/>
          <w:szCs w:val="22"/>
        </w:rPr>
        <w:t>28,</w:t>
      </w:r>
      <w:r w:rsidRPr="00DD596B">
        <w:rPr>
          <w:rFonts w:ascii="Arial" w:hAnsi="Arial" w:cs="Arial"/>
          <w:sz w:val="22"/>
          <w:szCs w:val="22"/>
        </w:rPr>
        <w:t>1</w:t>
      </w:r>
      <w:r w:rsidRPr="00DD596B">
        <w:rPr>
          <w:rFonts w:ascii="Arial" w:hAnsi="Arial" w:cs="Arial"/>
          <w:sz w:val="22"/>
          <w:szCs w:val="22"/>
        </w:rPr>
        <w:t>.</w:t>
      </w:r>
      <w:r w:rsidR="0016401D" w:rsidRPr="00DD596B">
        <w:rPr>
          <w:rFonts w:ascii="Arial" w:hAnsi="Arial" w:cs="Arial"/>
          <w:sz w:val="22"/>
          <w:szCs w:val="22"/>
        </w:rPr>
        <w:t>1</w:t>
      </w:r>
      <w:r w:rsidRPr="00DD596B">
        <w:rPr>
          <w:rFonts w:ascii="Arial" w:hAnsi="Arial" w:cs="Arial"/>
          <w:sz w:val="22"/>
          <w:szCs w:val="22"/>
        </w:rPr>
        <w:t>6</w:t>
      </w:r>
      <w:r w:rsidRPr="00DD596B">
        <w:rPr>
          <w:rFonts w:ascii="Arial" w:hAnsi="Arial" w:cs="Arial"/>
          <w:sz w:val="22"/>
          <w:szCs w:val="22"/>
        </w:rPr>
        <w:t>,</w:t>
      </w:r>
      <w:r w:rsidR="0016401D" w:rsidRPr="00DD596B">
        <w:rPr>
          <w:rFonts w:ascii="Arial" w:hAnsi="Arial" w:cs="Arial"/>
          <w:sz w:val="22"/>
          <w:szCs w:val="22"/>
        </w:rPr>
        <w:t xml:space="preserve"> 1.25, 1.27, 1.16 and 1.16 respectively</w:t>
      </w:r>
      <w:r w:rsidRPr="00DD596B">
        <w:rPr>
          <w:rFonts w:ascii="Arial" w:hAnsi="Arial" w:cs="Arial"/>
          <w:sz w:val="22"/>
          <w:szCs w:val="22"/>
        </w:rPr>
        <w:t>. Cluster C2 demonstrated the highest relative risk RR</w:t>
      </w:r>
      <w:r w:rsidR="0016401D" w:rsidRPr="00DD596B">
        <w:rPr>
          <w:rFonts w:ascii="Arial" w:hAnsi="Arial" w:cs="Arial"/>
          <w:sz w:val="22"/>
          <w:szCs w:val="22"/>
        </w:rPr>
        <w:t xml:space="preserve"> </w:t>
      </w:r>
      <w:r w:rsidRPr="00DD596B">
        <w:rPr>
          <w:rFonts w:ascii="Arial" w:hAnsi="Arial" w:cs="Arial"/>
          <w:sz w:val="22"/>
          <w:szCs w:val="22"/>
        </w:rPr>
        <w:t>1.28</w:t>
      </w:r>
      <w:r w:rsidR="0016401D" w:rsidRPr="00DD596B">
        <w:rPr>
          <w:rFonts w:ascii="Arial" w:hAnsi="Arial" w:cs="Arial"/>
          <w:sz w:val="22"/>
          <w:szCs w:val="22"/>
        </w:rPr>
        <w:t xml:space="preserve"> </w:t>
      </w:r>
      <w:r w:rsidRPr="00DD596B">
        <w:rPr>
          <w:rFonts w:ascii="Arial" w:hAnsi="Arial" w:cs="Arial"/>
          <w:sz w:val="22"/>
          <w:szCs w:val="22"/>
        </w:rPr>
        <w:t xml:space="preserve"> and case percentage</w:t>
      </w:r>
      <w:r w:rsidR="0016401D" w:rsidRPr="00DD596B">
        <w:rPr>
          <w:rFonts w:ascii="Arial" w:hAnsi="Arial" w:cs="Arial"/>
          <w:sz w:val="22"/>
          <w:szCs w:val="22"/>
        </w:rPr>
        <w:t xml:space="preserve"> of </w:t>
      </w:r>
      <w:r w:rsidRPr="00DD596B">
        <w:rPr>
          <w:rFonts w:ascii="Arial" w:hAnsi="Arial" w:cs="Arial"/>
          <w:sz w:val="22"/>
          <w:szCs w:val="22"/>
        </w:rPr>
        <w:t xml:space="preserve">68.2%, despite its </w:t>
      </w:r>
      <w:r w:rsidR="0016401D" w:rsidRPr="00DD596B">
        <w:rPr>
          <w:rFonts w:ascii="Arial" w:hAnsi="Arial" w:cs="Arial"/>
          <w:sz w:val="22"/>
          <w:szCs w:val="22"/>
        </w:rPr>
        <w:t>small</w:t>
      </w:r>
      <w:r w:rsidRPr="00DD596B">
        <w:rPr>
          <w:rFonts w:ascii="Arial" w:hAnsi="Arial" w:cs="Arial"/>
          <w:sz w:val="22"/>
          <w:szCs w:val="22"/>
        </w:rPr>
        <w:t xml:space="preserve"> spatial extent </w:t>
      </w:r>
      <w:r w:rsidR="0016401D" w:rsidRPr="00DD596B">
        <w:rPr>
          <w:rFonts w:ascii="Arial" w:hAnsi="Arial" w:cs="Arial"/>
          <w:sz w:val="22"/>
          <w:szCs w:val="22"/>
        </w:rPr>
        <w:t xml:space="preserve">with a </w:t>
      </w:r>
      <w:r w:rsidRPr="00DD596B">
        <w:rPr>
          <w:rFonts w:ascii="Arial" w:hAnsi="Arial" w:cs="Arial"/>
          <w:sz w:val="22"/>
          <w:szCs w:val="22"/>
        </w:rPr>
        <w:t>radius</w:t>
      </w:r>
      <w:r w:rsidR="0016401D" w:rsidRPr="00DD596B">
        <w:rPr>
          <w:rFonts w:ascii="Arial" w:hAnsi="Arial" w:cs="Arial"/>
          <w:sz w:val="22"/>
          <w:szCs w:val="22"/>
        </w:rPr>
        <w:t xml:space="preserve"> of </w:t>
      </w:r>
      <w:r w:rsidRPr="00DD596B">
        <w:rPr>
          <w:rFonts w:ascii="Arial" w:hAnsi="Arial" w:cs="Arial"/>
          <w:sz w:val="22"/>
          <w:szCs w:val="22"/>
        </w:rPr>
        <w:t xml:space="preserve">34.12 km. Cluster C3, the largest in terms of population coverage </w:t>
      </w:r>
      <w:r w:rsidR="0016401D" w:rsidRPr="00DD596B">
        <w:rPr>
          <w:rFonts w:ascii="Arial" w:hAnsi="Arial" w:cs="Arial"/>
          <w:sz w:val="22"/>
          <w:szCs w:val="22"/>
        </w:rPr>
        <w:t xml:space="preserve">where </w:t>
      </w:r>
      <w:r w:rsidRPr="00DD596B">
        <w:rPr>
          <w:rFonts w:ascii="Arial" w:hAnsi="Arial" w:cs="Arial"/>
          <w:sz w:val="22"/>
          <w:szCs w:val="22"/>
        </w:rPr>
        <w:t>n</w:t>
      </w:r>
      <w:r w:rsidR="0016401D" w:rsidRPr="00DD596B">
        <w:rPr>
          <w:rFonts w:ascii="Arial" w:hAnsi="Arial" w:cs="Arial"/>
          <w:sz w:val="22"/>
          <w:szCs w:val="22"/>
        </w:rPr>
        <w:t xml:space="preserve"> </w:t>
      </w:r>
      <w:r w:rsidRPr="00DD596B">
        <w:rPr>
          <w:rFonts w:ascii="Arial" w:hAnsi="Arial" w:cs="Arial"/>
          <w:sz w:val="22"/>
          <w:szCs w:val="22"/>
        </w:rPr>
        <w:t>=</w:t>
      </w:r>
      <w:r w:rsidR="0016401D" w:rsidRPr="00DD596B">
        <w:rPr>
          <w:rFonts w:ascii="Arial" w:hAnsi="Arial" w:cs="Arial"/>
          <w:sz w:val="22"/>
          <w:szCs w:val="22"/>
        </w:rPr>
        <w:t xml:space="preserve"> </w:t>
      </w:r>
      <w:r w:rsidRPr="00DD596B">
        <w:rPr>
          <w:rFonts w:ascii="Arial" w:hAnsi="Arial" w:cs="Arial"/>
          <w:sz w:val="22"/>
          <w:szCs w:val="22"/>
        </w:rPr>
        <w:t xml:space="preserve">1,769 and </w:t>
      </w:r>
      <w:r w:rsidR="0016401D" w:rsidRPr="00DD596B">
        <w:rPr>
          <w:rFonts w:ascii="Arial" w:hAnsi="Arial" w:cs="Arial"/>
          <w:sz w:val="22"/>
          <w:szCs w:val="22"/>
        </w:rPr>
        <w:t xml:space="preserve">a </w:t>
      </w:r>
      <w:r w:rsidRPr="00DD596B">
        <w:rPr>
          <w:rFonts w:ascii="Arial" w:hAnsi="Arial" w:cs="Arial"/>
          <w:sz w:val="22"/>
          <w:szCs w:val="22"/>
        </w:rPr>
        <w:t>number of locations n</w:t>
      </w:r>
      <w:r w:rsidR="0016401D" w:rsidRPr="00DD596B">
        <w:rPr>
          <w:rFonts w:ascii="Arial" w:hAnsi="Arial" w:cs="Arial"/>
          <w:sz w:val="22"/>
          <w:szCs w:val="22"/>
        </w:rPr>
        <w:t xml:space="preserve"> </w:t>
      </w:r>
      <w:r w:rsidRPr="00DD596B">
        <w:rPr>
          <w:rFonts w:ascii="Arial" w:hAnsi="Arial" w:cs="Arial"/>
          <w:sz w:val="22"/>
          <w:szCs w:val="22"/>
        </w:rPr>
        <w:t>=</w:t>
      </w:r>
      <w:r w:rsidR="0016401D" w:rsidRPr="00DD596B">
        <w:rPr>
          <w:rFonts w:ascii="Arial" w:hAnsi="Arial" w:cs="Arial"/>
          <w:sz w:val="22"/>
          <w:szCs w:val="22"/>
        </w:rPr>
        <w:t xml:space="preserve"> </w:t>
      </w:r>
      <w:r w:rsidRPr="00DD596B">
        <w:rPr>
          <w:rFonts w:ascii="Arial" w:hAnsi="Arial" w:cs="Arial"/>
          <w:sz w:val="22"/>
          <w:szCs w:val="22"/>
        </w:rPr>
        <w:t>59, showed a relative risk of 1.16 and contained 61.3% of cases within its boundary.</w:t>
      </w:r>
      <w:r w:rsidR="0016401D" w:rsidRPr="00DD596B">
        <w:rPr>
          <w:rFonts w:ascii="Arial" w:hAnsi="Arial" w:cs="Arial"/>
          <w:sz w:val="22"/>
          <w:szCs w:val="22"/>
        </w:rPr>
        <w:t xml:space="preserve"> Similarly, Low cluster areas where RR where &lt;1.0, were observed in five clusters C1, C4, C5, C8, and C9. </w:t>
      </w:r>
      <w:r w:rsidR="0016401D" w:rsidRPr="00DD596B">
        <w:rPr>
          <w:rFonts w:ascii="Arial" w:hAnsi="Arial" w:cs="Arial"/>
          <w:sz w:val="22"/>
          <w:szCs w:val="22"/>
        </w:rPr>
        <w:t>The smallest cluster, C9, encompassed only two locations within a 17.16 km radius and demonstrated the lowest relative risk (RR</w:t>
      </w:r>
      <w:r w:rsidR="00BC629D">
        <w:rPr>
          <w:rFonts w:ascii="Arial" w:hAnsi="Arial" w:cs="Arial"/>
          <w:sz w:val="22"/>
          <w:szCs w:val="22"/>
        </w:rPr>
        <w:t xml:space="preserve"> </w:t>
      </w:r>
      <w:r w:rsidR="0016401D" w:rsidRPr="00DD596B">
        <w:rPr>
          <w:rFonts w:ascii="Arial" w:hAnsi="Arial" w:cs="Arial"/>
          <w:sz w:val="22"/>
          <w:szCs w:val="22"/>
        </w:rPr>
        <w:t xml:space="preserve">0.53) with 28.6% of cases in the area. Notably, C1, despite having a larger radius </w:t>
      </w:r>
      <w:r w:rsidR="00BC629D">
        <w:rPr>
          <w:rFonts w:ascii="Arial" w:hAnsi="Arial" w:cs="Arial"/>
          <w:sz w:val="22"/>
          <w:szCs w:val="22"/>
        </w:rPr>
        <w:t xml:space="preserve">of </w:t>
      </w:r>
      <w:r w:rsidR="0016401D" w:rsidRPr="00DD596B">
        <w:rPr>
          <w:rFonts w:ascii="Arial" w:hAnsi="Arial" w:cs="Arial"/>
          <w:sz w:val="22"/>
          <w:szCs w:val="22"/>
        </w:rPr>
        <w:t>56.99 km and population (n</w:t>
      </w:r>
      <w:r w:rsidR="00BC629D">
        <w:rPr>
          <w:rFonts w:ascii="Arial" w:hAnsi="Arial" w:cs="Arial"/>
          <w:sz w:val="22"/>
          <w:szCs w:val="22"/>
        </w:rPr>
        <w:t xml:space="preserve"> </w:t>
      </w:r>
      <w:r w:rsidR="0016401D" w:rsidRPr="00DD596B">
        <w:rPr>
          <w:rFonts w:ascii="Arial" w:hAnsi="Arial" w:cs="Arial"/>
          <w:sz w:val="22"/>
          <w:szCs w:val="22"/>
        </w:rPr>
        <w:t>866), maintained a relatively low risk (RR</w:t>
      </w:r>
      <w:r w:rsidR="00BC629D">
        <w:rPr>
          <w:rFonts w:ascii="Arial" w:hAnsi="Arial" w:cs="Arial"/>
          <w:sz w:val="22"/>
          <w:szCs w:val="22"/>
        </w:rPr>
        <w:t xml:space="preserve"> </w:t>
      </w:r>
      <w:r w:rsidR="0016401D" w:rsidRPr="00DD596B">
        <w:rPr>
          <w:rFonts w:ascii="Arial" w:hAnsi="Arial" w:cs="Arial"/>
          <w:sz w:val="22"/>
          <w:szCs w:val="22"/>
        </w:rPr>
        <w:t>0.73).</w:t>
      </w:r>
      <w:r w:rsidR="0016401D" w:rsidRPr="00DD596B">
        <w:rPr>
          <w:rFonts w:ascii="Arial" w:hAnsi="Arial" w:cs="Arial"/>
          <w:sz w:val="22"/>
          <w:szCs w:val="22"/>
        </w:rPr>
        <w:t xml:space="preserve"> Moreover, </w:t>
      </w:r>
      <w:r w:rsidR="0016401D" w:rsidRPr="00DD596B">
        <w:rPr>
          <w:rFonts w:ascii="Arial" w:hAnsi="Arial" w:cs="Arial"/>
          <w:sz w:val="22"/>
          <w:szCs w:val="22"/>
        </w:rPr>
        <w:t>Spatial overlap was observed among several clusters C1 overlapped with C4 and C9, while C3 showed overlap with C6</w:t>
      </w:r>
      <w:r w:rsidR="0016401D" w:rsidRPr="00DD596B">
        <w:rPr>
          <w:rFonts w:ascii="Arial" w:hAnsi="Arial" w:cs="Arial"/>
          <w:sz w:val="22"/>
          <w:szCs w:val="22"/>
        </w:rPr>
        <w:t>, C11,</w:t>
      </w:r>
      <w:r w:rsidR="0016401D" w:rsidRPr="00DD596B">
        <w:rPr>
          <w:rFonts w:ascii="Arial" w:hAnsi="Arial" w:cs="Arial"/>
          <w:sz w:val="22"/>
          <w:szCs w:val="22"/>
        </w:rPr>
        <w:t xml:space="preserve"> </w:t>
      </w:r>
      <w:r w:rsidR="0016401D" w:rsidRPr="00DD596B">
        <w:rPr>
          <w:rFonts w:ascii="Arial" w:hAnsi="Arial" w:cs="Arial"/>
          <w:sz w:val="22"/>
          <w:szCs w:val="22"/>
        </w:rPr>
        <w:t xml:space="preserve">and </w:t>
      </w:r>
      <w:r w:rsidR="0016401D" w:rsidRPr="00DD596B">
        <w:rPr>
          <w:rFonts w:ascii="Arial" w:hAnsi="Arial" w:cs="Arial"/>
          <w:sz w:val="22"/>
          <w:szCs w:val="22"/>
        </w:rPr>
        <w:t>C</w:t>
      </w:r>
      <w:r w:rsidR="0016401D" w:rsidRPr="00DD596B">
        <w:rPr>
          <w:rFonts w:ascii="Arial" w:hAnsi="Arial" w:cs="Arial"/>
          <w:sz w:val="22"/>
          <w:szCs w:val="22"/>
        </w:rPr>
        <w:t>23</w:t>
      </w:r>
      <w:r w:rsidR="004D5DAF" w:rsidRPr="00DD596B">
        <w:rPr>
          <w:rFonts w:ascii="Arial" w:hAnsi="Arial" w:cs="Arial"/>
          <w:sz w:val="22"/>
          <w:szCs w:val="22"/>
        </w:rPr>
        <w:t xml:space="preserve"> </w:t>
      </w:r>
      <w:r w:rsidR="0016401D" w:rsidRPr="00DD596B">
        <w:rPr>
          <w:rFonts w:ascii="Arial" w:hAnsi="Arial" w:cs="Arial"/>
          <w:sz w:val="22"/>
          <w:szCs w:val="22"/>
        </w:rPr>
        <w:t xml:space="preserve">(which was not a significant cluster), C4 with C1, C6, and C11 on C3. </w:t>
      </w:r>
    </w:p>
    <w:p w14:paraId="68F91805" w14:textId="77777777" w:rsidR="00DC354A" w:rsidRPr="00DD596B" w:rsidRDefault="00DC354A" w:rsidP="00FE6AF1">
      <w:pPr>
        <w:jc w:val="both"/>
        <w:rPr>
          <w:rFonts w:ascii="Arial" w:hAnsi="Arial" w:cs="Arial"/>
          <w:sz w:val="22"/>
          <w:szCs w:val="22"/>
        </w:rPr>
      </w:pPr>
    </w:p>
    <w:p w14:paraId="65559980" w14:textId="3450F8E0" w:rsidR="00FE6AF1" w:rsidRPr="00DD596B" w:rsidRDefault="00FE6AF1" w:rsidP="00FE6AF1">
      <w:pPr>
        <w:pStyle w:val="Caption"/>
        <w:rPr>
          <w:rFonts w:ascii="Arial" w:hAnsi="Arial" w:cs="Arial"/>
          <w:b/>
          <w:bCs/>
          <w:color w:val="auto"/>
          <w:sz w:val="22"/>
          <w:szCs w:val="22"/>
        </w:rPr>
      </w:pPr>
      <w:r w:rsidRPr="00DD596B">
        <w:rPr>
          <w:rFonts w:ascii="Arial" w:hAnsi="Arial" w:cs="Arial"/>
          <w:b/>
          <w:bCs/>
          <w:color w:val="auto"/>
          <w:sz w:val="22"/>
          <w:szCs w:val="22"/>
        </w:rPr>
        <w:t xml:space="preserve">Table </w:t>
      </w:r>
      <w:r w:rsidRPr="00DD596B">
        <w:rPr>
          <w:rFonts w:ascii="Arial" w:hAnsi="Arial" w:cs="Arial"/>
          <w:b/>
          <w:bCs/>
          <w:color w:val="auto"/>
          <w:sz w:val="22"/>
          <w:szCs w:val="22"/>
        </w:rPr>
        <w:fldChar w:fldCharType="begin"/>
      </w:r>
      <w:r w:rsidRPr="00DD596B">
        <w:rPr>
          <w:rFonts w:ascii="Arial" w:hAnsi="Arial" w:cs="Arial"/>
          <w:b/>
          <w:bCs/>
          <w:color w:val="auto"/>
          <w:sz w:val="22"/>
          <w:szCs w:val="22"/>
        </w:rPr>
        <w:instrText xml:space="preserve"> SEQ Table \* ARABIC </w:instrText>
      </w:r>
      <w:r w:rsidRPr="00DD596B">
        <w:rPr>
          <w:rFonts w:ascii="Arial" w:hAnsi="Arial" w:cs="Arial"/>
          <w:b/>
          <w:bCs/>
          <w:color w:val="auto"/>
          <w:sz w:val="22"/>
          <w:szCs w:val="22"/>
        </w:rPr>
        <w:fldChar w:fldCharType="separate"/>
      </w:r>
      <w:r w:rsidR="00DF7F17">
        <w:rPr>
          <w:rFonts w:ascii="Arial" w:hAnsi="Arial" w:cs="Arial"/>
          <w:b/>
          <w:bCs/>
          <w:noProof/>
          <w:color w:val="auto"/>
          <w:sz w:val="22"/>
          <w:szCs w:val="22"/>
        </w:rPr>
        <w:t>3</w:t>
      </w:r>
      <w:r w:rsidRPr="00DD596B">
        <w:rPr>
          <w:rFonts w:ascii="Arial" w:hAnsi="Arial" w:cs="Arial"/>
          <w:b/>
          <w:bCs/>
          <w:color w:val="auto"/>
          <w:sz w:val="22"/>
          <w:szCs w:val="22"/>
        </w:rPr>
        <w:fldChar w:fldCharType="end"/>
      </w:r>
      <w:r w:rsidRPr="00DD596B">
        <w:rPr>
          <w:rFonts w:ascii="Arial" w:hAnsi="Arial" w:cs="Arial"/>
          <w:b/>
          <w:bCs/>
          <w:color w:val="auto"/>
          <w:sz w:val="22"/>
          <w:szCs w:val="22"/>
        </w:rPr>
        <w:t xml:space="preserve"> Spatial Clustering Analysis of High or Normal Blood Pressure Distribution.</w:t>
      </w:r>
    </w:p>
    <w:tbl>
      <w:tblPr>
        <w:tblW w:w="11841" w:type="dxa"/>
        <w:tblInd w:w="-1090" w:type="dxa"/>
        <w:tblLook w:val="04A0" w:firstRow="1" w:lastRow="0" w:firstColumn="1" w:lastColumn="0" w:noHBand="0" w:noVBand="1"/>
      </w:tblPr>
      <w:tblGrid>
        <w:gridCol w:w="1017"/>
        <w:gridCol w:w="883"/>
        <w:gridCol w:w="1161"/>
        <w:gridCol w:w="1017"/>
        <w:gridCol w:w="1250"/>
        <w:gridCol w:w="1139"/>
        <w:gridCol w:w="1106"/>
        <w:gridCol w:w="984"/>
        <w:gridCol w:w="950"/>
        <w:gridCol w:w="1216"/>
        <w:gridCol w:w="896"/>
        <w:gridCol w:w="222"/>
      </w:tblGrid>
      <w:tr w:rsidR="00DD596B" w:rsidRPr="00DD596B" w14:paraId="5F6471DD" w14:textId="77777777" w:rsidTr="00DD596B">
        <w:trPr>
          <w:gridAfter w:val="1"/>
          <w:wAfter w:w="222" w:type="dxa"/>
          <w:trHeight w:val="972"/>
        </w:trPr>
        <w:tc>
          <w:tcPr>
            <w:tcW w:w="1017"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1868584C"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bookmarkStart w:id="0" w:name="RANGE!E4"/>
            <w:r w:rsidRPr="00FE6AF1">
              <w:rPr>
                <w:rFonts w:ascii="Arial" w:eastAsia="Times New Roman" w:hAnsi="Arial" w:cs="Arial"/>
                <w:b/>
                <w:bCs/>
                <w:color w:val="000000"/>
                <w:kern w:val="0"/>
                <w:sz w:val="20"/>
                <w:szCs w:val="20"/>
                <w14:ligatures w14:val="none"/>
              </w:rPr>
              <w:t>Clusters</w:t>
            </w:r>
            <w:bookmarkEnd w:id="0"/>
          </w:p>
        </w:tc>
        <w:tc>
          <w:tcPr>
            <w:tcW w:w="883"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76102AE1"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Radius (km)</w:t>
            </w:r>
          </w:p>
        </w:tc>
        <w:tc>
          <w:tcPr>
            <w:tcW w:w="1161"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54A00AF"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Number of Locations</w:t>
            </w:r>
          </w:p>
        </w:tc>
        <w:tc>
          <w:tcPr>
            <w:tcW w:w="1017"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30918A8"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Overlap With Clusters</w:t>
            </w:r>
          </w:p>
        </w:tc>
        <w:tc>
          <w:tcPr>
            <w:tcW w:w="1250"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F03D220"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 xml:space="preserve">Population </w:t>
            </w:r>
          </w:p>
        </w:tc>
        <w:tc>
          <w:tcPr>
            <w:tcW w:w="1139"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0A10173"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Observed Cases</w:t>
            </w:r>
          </w:p>
        </w:tc>
        <w:tc>
          <w:tcPr>
            <w:tcW w:w="1106"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3BC15AF1"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Expected Cases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3CA91F1"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Relative Risk</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D4D86F2"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Percent cases in the area</w:t>
            </w:r>
          </w:p>
        </w:tc>
        <w:tc>
          <w:tcPr>
            <w:tcW w:w="1216"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723EB4D3"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Log-Likelihood Ratio</w:t>
            </w:r>
          </w:p>
        </w:tc>
        <w:tc>
          <w:tcPr>
            <w:tcW w:w="896" w:type="dxa"/>
            <w:vMerge w:val="restart"/>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AABE45B" w14:textId="77777777" w:rsidR="00FE6AF1" w:rsidRPr="00FE6AF1" w:rsidRDefault="00FE6AF1" w:rsidP="00FE6AF1">
            <w:pPr>
              <w:spacing w:after="0" w:line="240" w:lineRule="auto"/>
              <w:jc w:val="center"/>
              <w:rPr>
                <w:rFonts w:ascii="Arial" w:eastAsia="Times New Roman" w:hAnsi="Arial" w:cs="Arial"/>
                <w:b/>
                <w:bCs/>
                <w:color w:val="000000"/>
                <w:kern w:val="0"/>
                <w:sz w:val="20"/>
                <w:szCs w:val="20"/>
                <w14:ligatures w14:val="none"/>
              </w:rPr>
            </w:pPr>
            <w:r w:rsidRPr="00FE6AF1">
              <w:rPr>
                <w:rFonts w:ascii="Arial" w:eastAsia="Times New Roman" w:hAnsi="Arial" w:cs="Arial"/>
                <w:b/>
                <w:bCs/>
                <w:color w:val="000000"/>
                <w:kern w:val="0"/>
                <w:sz w:val="20"/>
                <w:szCs w:val="20"/>
                <w14:ligatures w14:val="none"/>
              </w:rPr>
              <w:t>P-Value</w:t>
            </w:r>
          </w:p>
        </w:tc>
      </w:tr>
      <w:tr w:rsidR="00DD596B" w:rsidRPr="00DD596B" w14:paraId="6385DB60" w14:textId="77777777" w:rsidTr="00DD596B">
        <w:trPr>
          <w:trHeight w:val="42"/>
        </w:trPr>
        <w:tc>
          <w:tcPr>
            <w:tcW w:w="1017"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2B712053"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883"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2DF1DF5A"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1161"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33125950"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1017"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1F90ED4"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1250"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2ABAC0C5"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1139"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598212AB"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1106"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E130070"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984"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A04AC1D"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950"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504BD63C"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1216"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0866A5C0"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896" w:type="dxa"/>
            <w:vMerge/>
            <w:tcBorders>
              <w:top w:val="single" w:sz="8" w:space="0" w:color="auto"/>
              <w:left w:val="single" w:sz="8" w:space="0" w:color="auto"/>
              <w:bottom w:val="single" w:sz="8" w:space="0" w:color="000000"/>
              <w:right w:val="single" w:sz="8" w:space="0" w:color="auto"/>
            </w:tcBorders>
            <w:shd w:val="clear" w:color="auto" w:fill="A6A6A6" w:themeFill="background1" w:themeFillShade="A6"/>
            <w:vAlign w:val="center"/>
            <w:hideMark/>
          </w:tcPr>
          <w:p w14:paraId="64F16414" w14:textId="77777777" w:rsidR="00FE6AF1" w:rsidRPr="00FE6AF1" w:rsidRDefault="00FE6AF1" w:rsidP="00FE6AF1">
            <w:pPr>
              <w:spacing w:after="0" w:line="240" w:lineRule="auto"/>
              <w:rPr>
                <w:rFonts w:ascii="Arial" w:eastAsia="Times New Roman" w:hAnsi="Arial" w:cs="Arial"/>
                <w:b/>
                <w:bCs/>
                <w:color w:val="000000"/>
                <w:kern w:val="0"/>
                <w:sz w:val="22"/>
                <w:szCs w:val="22"/>
                <w14:ligatures w14:val="none"/>
              </w:rPr>
            </w:pPr>
          </w:p>
        </w:tc>
        <w:tc>
          <w:tcPr>
            <w:tcW w:w="222" w:type="dxa"/>
            <w:tcBorders>
              <w:top w:val="nil"/>
              <w:left w:val="nil"/>
              <w:bottom w:val="nil"/>
              <w:right w:val="nil"/>
            </w:tcBorders>
            <w:shd w:val="clear" w:color="auto" w:fill="auto"/>
            <w:noWrap/>
            <w:vAlign w:val="bottom"/>
            <w:hideMark/>
          </w:tcPr>
          <w:p w14:paraId="1B994F59" w14:textId="77777777" w:rsidR="00FE6AF1" w:rsidRPr="00FE6AF1" w:rsidRDefault="00FE6AF1" w:rsidP="00FE6AF1">
            <w:pPr>
              <w:spacing w:after="0" w:line="240" w:lineRule="auto"/>
              <w:jc w:val="center"/>
              <w:rPr>
                <w:rFonts w:ascii="Arial" w:eastAsia="Times New Roman" w:hAnsi="Arial" w:cs="Arial"/>
                <w:b/>
                <w:bCs/>
                <w:color w:val="000000"/>
                <w:kern w:val="0"/>
                <w:sz w:val="22"/>
                <w:szCs w:val="22"/>
                <w14:ligatures w14:val="none"/>
              </w:rPr>
            </w:pPr>
          </w:p>
        </w:tc>
      </w:tr>
      <w:tr w:rsidR="00DD596B" w:rsidRPr="00DD596B" w14:paraId="20085084"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213DEE1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C1</w:t>
            </w:r>
          </w:p>
        </w:tc>
        <w:tc>
          <w:tcPr>
            <w:tcW w:w="883" w:type="dxa"/>
            <w:tcBorders>
              <w:top w:val="nil"/>
              <w:left w:val="nil"/>
              <w:bottom w:val="single" w:sz="8" w:space="0" w:color="auto"/>
              <w:right w:val="single" w:sz="8" w:space="0" w:color="auto"/>
            </w:tcBorders>
            <w:shd w:val="clear" w:color="auto" w:fill="auto"/>
            <w:vAlign w:val="center"/>
            <w:hideMark/>
          </w:tcPr>
          <w:p w14:paraId="5FE461C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56.99</w:t>
            </w:r>
          </w:p>
        </w:tc>
        <w:tc>
          <w:tcPr>
            <w:tcW w:w="1161" w:type="dxa"/>
            <w:tcBorders>
              <w:top w:val="nil"/>
              <w:left w:val="nil"/>
              <w:bottom w:val="single" w:sz="8" w:space="0" w:color="auto"/>
              <w:right w:val="single" w:sz="8" w:space="0" w:color="auto"/>
            </w:tcBorders>
            <w:shd w:val="clear" w:color="auto" w:fill="auto"/>
            <w:vAlign w:val="center"/>
            <w:hideMark/>
          </w:tcPr>
          <w:p w14:paraId="5788765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30</w:t>
            </w:r>
          </w:p>
        </w:tc>
        <w:tc>
          <w:tcPr>
            <w:tcW w:w="1017" w:type="dxa"/>
            <w:tcBorders>
              <w:top w:val="nil"/>
              <w:left w:val="nil"/>
              <w:bottom w:val="single" w:sz="8" w:space="0" w:color="auto"/>
              <w:right w:val="single" w:sz="8" w:space="0" w:color="auto"/>
            </w:tcBorders>
            <w:shd w:val="clear" w:color="auto" w:fill="auto"/>
            <w:vAlign w:val="center"/>
            <w:hideMark/>
          </w:tcPr>
          <w:p w14:paraId="2931FB3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4, 9</w:t>
            </w:r>
          </w:p>
        </w:tc>
        <w:tc>
          <w:tcPr>
            <w:tcW w:w="1250" w:type="dxa"/>
            <w:tcBorders>
              <w:top w:val="nil"/>
              <w:left w:val="nil"/>
              <w:bottom w:val="single" w:sz="8" w:space="0" w:color="auto"/>
              <w:right w:val="single" w:sz="8" w:space="0" w:color="auto"/>
            </w:tcBorders>
            <w:shd w:val="clear" w:color="auto" w:fill="auto"/>
            <w:vAlign w:val="center"/>
            <w:hideMark/>
          </w:tcPr>
          <w:p w14:paraId="7D806677"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866</w:t>
            </w:r>
          </w:p>
        </w:tc>
        <w:tc>
          <w:tcPr>
            <w:tcW w:w="1139" w:type="dxa"/>
            <w:tcBorders>
              <w:top w:val="nil"/>
              <w:left w:val="nil"/>
              <w:bottom w:val="single" w:sz="8" w:space="0" w:color="auto"/>
              <w:right w:val="single" w:sz="8" w:space="0" w:color="auto"/>
            </w:tcBorders>
            <w:shd w:val="clear" w:color="auto" w:fill="auto"/>
            <w:vAlign w:val="center"/>
            <w:hideMark/>
          </w:tcPr>
          <w:p w14:paraId="41E7E77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349</w:t>
            </w:r>
          </w:p>
        </w:tc>
        <w:tc>
          <w:tcPr>
            <w:tcW w:w="1106" w:type="dxa"/>
            <w:tcBorders>
              <w:top w:val="nil"/>
              <w:left w:val="nil"/>
              <w:bottom w:val="single" w:sz="8" w:space="0" w:color="auto"/>
              <w:right w:val="single" w:sz="8" w:space="0" w:color="auto"/>
            </w:tcBorders>
            <w:shd w:val="clear" w:color="auto" w:fill="auto"/>
            <w:vAlign w:val="center"/>
            <w:hideMark/>
          </w:tcPr>
          <w:p w14:paraId="78A82416"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467.41</w:t>
            </w:r>
          </w:p>
        </w:tc>
        <w:tc>
          <w:tcPr>
            <w:tcW w:w="984" w:type="dxa"/>
            <w:tcBorders>
              <w:top w:val="nil"/>
              <w:left w:val="nil"/>
              <w:bottom w:val="single" w:sz="8" w:space="0" w:color="auto"/>
              <w:right w:val="single" w:sz="8" w:space="0" w:color="auto"/>
            </w:tcBorders>
            <w:shd w:val="clear" w:color="auto" w:fill="auto"/>
            <w:vAlign w:val="center"/>
            <w:hideMark/>
          </w:tcPr>
          <w:p w14:paraId="657D47FE"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0.73</w:t>
            </w:r>
          </w:p>
        </w:tc>
        <w:tc>
          <w:tcPr>
            <w:tcW w:w="950" w:type="dxa"/>
            <w:tcBorders>
              <w:top w:val="nil"/>
              <w:left w:val="nil"/>
              <w:bottom w:val="single" w:sz="8" w:space="0" w:color="auto"/>
              <w:right w:val="single" w:sz="8" w:space="0" w:color="auto"/>
            </w:tcBorders>
            <w:shd w:val="clear" w:color="auto" w:fill="auto"/>
            <w:vAlign w:val="center"/>
            <w:hideMark/>
          </w:tcPr>
          <w:p w14:paraId="123FB99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40.3</w:t>
            </w:r>
          </w:p>
        </w:tc>
        <w:tc>
          <w:tcPr>
            <w:tcW w:w="1216" w:type="dxa"/>
            <w:tcBorders>
              <w:top w:val="nil"/>
              <w:left w:val="nil"/>
              <w:bottom w:val="single" w:sz="8" w:space="0" w:color="auto"/>
              <w:right w:val="single" w:sz="8" w:space="0" w:color="auto"/>
            </w:tcBorders>
            <w:shd w:val="clear" w:color="auto" w:fill="auto"/>
            <w:vAlign w:val="center"/>
            <w:hideMark/>
          </w:tcPr>
          <w:p w14:paraId="31C0637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34.75</w:t>
            </w:r>
          </w:p>
        </w:tc>
        <w:tc>
          <w:tcPr>
            <w:tcW w:w="896" w:type="dxa"/>
            <w:tcBorders>
              <w:top w:val="nil"/>
              <w:left w:val="nil"/>
              <w:bottom w:val="single" w:sz="8" w:space="0" w:color="auto"/>
              <w:right w:val="single" w:sz="8" w:space="0" w:color="auto"/>
            </w:tcBorders>
            <w:shd w:val="clear" w:color="auto" w:fill="auto"/>
            <w:vAlign w:val="center"/>
            <w:hideMark/>
          </w:tcPr>
          <w:p w14:paraId="3CB3FB15"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&lt;0.001</w:t>
            </w:r>
          </w:p>
        </w:tc>
        <w:tc>
          <w:tcPr>
            <w:tcW w:w="222" w:type="dxa"/>
            <w:vAlign w:val="center"/>
            <w:hideMark/>
          </w:tcPr>
          <w:p w14:paraId="5FB43955"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779B19B3"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7A059B3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C2</w:t>
            </w:r>
          </w:p>
        </w:tc>
        <w:tc>
          <w:tcPr>
            <w:tcW w:w="883" w:type="dxa"/>
            <w:tcBorders>
              <w:top w:val="nil"/>
              <w:left w:val="nil"/>
              <w:bottom w:val="single" w:sz="8" w:space="0" w:color="auto"/>
              <w:right w:val="single" w:sz="8" w:space="0" w:color="auto"/>
            </w:tcBorders>
            <w:shd w:val="clear" w:color="auto" w:fill="auto"/>
            <w:vAlign w:val="center"/>
            <w:hideMark/>
          </w:tcPr>
          <w:p w14:paraId="4421515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34.12</w:t>
            </w:r>
          </w:p>
        </w:tc>
        <w:tc>
          <w:tcPr>
            <w:tcW w:w="1161" w:type="dxa"/>
            <w:tcBorders>
              <w:top w:val="nil"/>
              <w:left w:val="nil"/>
              <w:bottom w:val="single" w:sz="8" w:space="0" w:color="auto"/>
              <w:right w:val="single" w:sz="8" w:space="0" w:color="auto"/>
            </w:tcBorders>
            <w:shd w:val="clear" w:color="auto" w:fill="auto"/>
            <w:vAlign w:val="center"/>
            <w:hideMark/>
          </w:tcPr>
          <w:p w14:paraId="4D3A833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19</w:t>
            </w:r>
          </w:p>
        </w:tc>
        <w:tc>
          <w:tcPr>
            <w:tcW w:w="1017" w:type="dxa"/>
            <w:tcBorders>
              <w:top w:val="nil"/>
              <w:left w:val="nil"/>
              <w:bottom w:val="single" w:sz="8" w:space="0" w:color="auto"/>
              <w:right w:val="single" w:sz="8" w:space="0" w:color="auto"/>
            </w:tcBorders>
            <w:shd w:val="clear" w:color="auto" w:fill="auto"/>
            <w:vAlign w:val="center"/>
            <w:hideMark/>
          </w:tcPr>
          <w:p w14:paraId="58C9DF67"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538C524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519</w:t>
            </w:r>
          </w:p>
        </w:tc>
        <w:tc>
          <w:tcPr>
            <w:tcW w:w="1139" w:type="dxa"/>
            <w:tcBorders>
              <w:top w:val="nil"/>
              <w:left w:val="nil"/>
              <w:bottom w:val="single" w:sz="8" w:space="0" w:color="auto"/>
              <w:right w:val="single" w:sz="8" w:space="0" w:color="auto"/>
            </w:tcBorders>
            <w:shd w:val="clear" w:color="auto" w:fill="auto"/>
            <w:vAlign w:val="center"/>
            <w:hideMark/>
          </w:tcPr>
          <w:p w14:paraId="493C474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354</w:t>
            </w:r>
          </w:p>
        </w:tc>
        <w:tc>
          <w:tcPr>
            <w:tcW w:w="1106" w:type="dxa"/>
            <w:tcBorders>
              <w:top w:val="nil"/>
              <w:left w:val="nil"/>
              <w:bottom w:val="single" w:sz="8" w:space="0" w:color="auto"/>
              <w:right w:val="single" w:sz="8" w:space="0" w:color="auto"/>
            </w:tcBorders>
            <w:shd w:val="clear" w:color="auto" w:fill="auto"/>
            <w:vAlign w:val="center"/>
            <w:hideMark/>
          </w:tcPr>
          <w:p w14:paraId="28883DF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280.12</w:t>
            </w:r>
          </w:p>
        </w:tc>
        <w:tc>
          <w:tcPr>
            <w:tcW w:w="984" w:type="dxa"/>
            <w:tcBorders>
              <w:top w:val="nil"/>
              <w:left w:val="nil"/>
              <w:bottom w:val="single" w:sz="8" w:space="0" w:color="auto"/>
              <w:right w:val="single" w:sz="8" w:space="0" w:color="auto"/>
            </w:tcBorders>
            <w:shd w:val="clear" w:color="auto" w:fill="auto"/>
            <w:vAlign w:val="center"/>
            <w:hideMark/>
          </w:tcPr>
          <w:p w14:paraId="0DBD591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1.28</w:t>
            </w:r>
          </w:p>
        </w:tc>
        <w:tc>
          <w:tcPr>
            <w:tcW w:w="950" w:type="dxa"/>
            <w:tcBorders>
              <w:top w:val="nil"/>
              <w:left w:val="nil"/>
              <w:bottom w:val="single" w:sz="8" w:space="0" w:color="auto"/>
              <w:right w:val="single" w:sz="8" w:space="0" w:color="auto"/>
            </w:tcBorders>
            <w:shd w:val="clear" w:color="auto" w:fill="auto"/>
            <w:vAlign w:val="center"/>
            <w:hideMark/>
          </w:tcPr>
          <w:p w14:paraId="34106C1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68.2</w:t>
            </w:r>
          </w:p>
        </w:tc>
        <w:tc>
          <w:tcPr>
            <w:tcW w:w="1216" w:type="dxa"/>
            <w:tcBorders>
              <w:top w:val="nil"/>
              <w:left w:val="nil"/>
              <w:bottom w:val="single" w:sz="8" w:space="0" w:color="auto"/>
              <w:right w:val="single" w:sz="8" w:space="0" w:color="auto"/>
            </w:tcBorders>
            <w:shd w:val="clear" w:color="auto" w:fill="auto"/>
            <w:vAlign w:val="center"/>
            <w:hideMark/>
          </w:tcPr>
          <w:p w14:paraId="750FEE9E"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22.65</w:t>
            </w:r>
          </w:p>
        </w:tc>
        <w:tc>
          <w:tcPr>
            <w:tcW w:w="896" w:type="dxa"/>
            <w:tcBorders>
              <w:top w:val="nil"/>
              <w:left w:val="nil"/>
              <w:bottom w:val="single" w:sz="8" w:space="0" w:color="auto"/>
              <w:right w:val="single" w:sz="8" w:space="0" w:color="auto"/>
            </w:tcBorders>
            <w:shd w:val="clear" w:color="auto" w:fill="auto"/>
            <w:vAlign w:val="center"/>
            <w:hideMark/>
          </w:tcPr>
          <w:p w14:paraId="7F42270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&lt;0.001</w:t>
            </w:r>
          </w:p>
        </w:tc>
        <w:tc>
          <w:tcPr>
            <w:tcW w:w="222" w:type="dxa"/>
            <w:vAlign w:val="center"/>
            <w:hideMark/>
          </w:tcPr>
          <w:p w14:paraId="27E0D6BF"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2B1853ED"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1435F0B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C3</w:t>
            </w:r>
          </w:p>
        </w:tc>
        <w:tc>
          <w:tcPr>
            <w:tcW w:w="883" w:type="dxa"/>
            <w:tcBorders>
              <w:top w:val="nil"/>
              <w:left w:val="nil"/>
              <w:bottom w:val="single" w:sz="8" w:space="0" w:color="auto"/>
              <w:right w:val="single" w:sz="8" w:space="0" w:color="auto"/>
            </w:tcBorders>
            <w:shd w:val="clear" w:color="auto" w:fill="auto"/>
            <w:vAlign w:val="center"/>
            <w:hideMark/>
          </w:tcPr>
          <w:p w14:paraId="745FC27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67.9</w:t>
            </w:r>
          </w:p>
        </w:tc>
        <w:tc>
          <w:tcPr>
            <w:tcW w:w="1161" w:type="dxa"/>
            <w:tcBorders>
              <w:top w:val="nil"/>
              <w:left w:val="nil"/>
              <w:bottom w:val="single" w:sz="8" w:space="0" w:color="auto"/>
              <w:right w:val="single" w:sz="8" w:space="0" w:color="auto"/>
            </w:tcBorders>
            <w:shd w:val="clear" w:color="auto" w:fill="auto"/>
            <w:vAlign w:val="center"/>
            <w:hideMark/>
          </w:tcPr>
          <w:p w14:paraId="18B52FD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59</w:t>
            </w:r>
          </w:p>
        </w:tc>
        <w:tc>
          <w:tcPr>
            <w:tcW w:w="1017" w:type="dxa"/>
            <w:tcBorders>
              <w:top w:val="nil"/>
              <w:left w:val="nil"/>
              <w:bottom w:val="single" w:sz="8" w:space="0" w:color="auto"/>
              <w:right w:val="single" w:sz="8" w:space="0" w:color="auto"/>
            </w:tcBorders>
            <w:shd w:val="clear" w:color="auto" w:fill="auto"/>
            <w:vAlign w:val="center"/>
            <w:hideMark/>
          </w:tcPr>
          <w:p w14:paraId="79F943D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6, 11, 23</w:t>
            </w:r>
          </w:p>
        </w:tc>
        <w:tc>
          <w:tcPr>
            <w:tcW w:w="1250" w:type="dxa"/>
            <w:tcBorders>
              <w:top w:val="nil"/>
              <w:left w:val="nil"/>
              <w:bottom w:val="single" w:sz="8" w:space="0" w:color="auto"/>
              <w:right w:val="single" w:sz="8" w:space="0" w:color="auto"/>
            </w:tcBorders>
            <w:shd w:val="clear" w:color="auto" w:fill="auto"/>
            <w:vAlign w:val="center"/>
            <w:hideMark/>
          </w:tcPr>
          <w:p w14:paraId="6AAB744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1769</w:t>
            </w:r>
          </w:p>
        </w:tc>
        <w:tc>
          <w:tcPr>
            <w:tcW w:w="1139" w:type="dxa"/>
            <w:tcBorders>
              <w:top w:val="nil"/>
              <w:left w:val="nil"/>
              <w:bottom w:val="single" w:sz="8" w:space="0" w:color="auto"/>
              <w:right w:val="single" w:sz="8" w:space="0" w:color="auto"/>
            </w:tcBorders>
            <w:shd w:val="clear" w:color="auto" w:fill="auto"/>
            <w:vAlign w:val="center"/>
            <w:hideMark/>
          </w:tcPr>
          <w:p w14:paraId="4E99A3F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1085</w:t>
            </w:r>
          </w:p>
        </w:tc>
        <w:tc>
          <w:tcPr>
            <w:tcW w:w="1106" w:type="dxa"/>
            <w:tcBorders>
              <w:top w:val="nil"/>
              <w:left w:val="nil"/>
              <w:bottom w:val="single" w:sz="8" w:space="0" w:color="auto"/>
              <w:right w:val="single" w:sz="8" w:space="0" w:color="auto"/>
            </w:tcBorders>
            <w:shd w:val="clear" w:color="auto" w:fill="auto"/>
            <w:vAlign w:val="center"/>
            <w:hideMark/>
          </w:tcPr>
          <w:p w14:paraId="7734D79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954.79</w:t>
            </w:r>
          </w:p>
        </w:tc>
        <w:tc>
          <w:tcPr>
            <w:tcW w:w="984" w:type="dxa"/>
            <w:tcBorders>
              <w:top w:val="nil"/>
              <w:left w:val="nil"/>
              <w:bottom w:val="single" w:sz="8" w:space="0" w:color="auto"/>
              <w:right w:val="single" w:sz="8" w:space="0" w:color="auto"/>
            </w:tcBorders>
            <w:shd w:val="clear" w:color="auto" w:fill="auto"/>
            <w:vAlign w:val="center"/>
            <w:hideMark/>
          </w:tcPr>
          <w:p w14:paraId="4140461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1.16</w:t>
            </w:r>
          </w:p>
        </w:tc>
        <w:tc>
          <w:tcPr>
            <w:tcW w:w="950" w:type="dxa"/>
            <w:tcBorders>
              <w:top w:val="nil"/>
              <w:left w:val="nil"/>
              <w:bottom w:val="single" w:sz="8" w:space="0" w:color="auto"/>
              <w:right w:val="single" w:sz="8" w:space="0" w:color="auto"/>
            </w:tcBorders>
            <w:shd w:val="clear" w:color="auto" w:fill="auto"/>
            <w:vAlign w:val="center"/>
            <w:hideMark/>
          </w:tcPr>
          <w:p w14:paraId="59CD2EF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61.3</w:t>
            </w:r>
          </w:p>
        </w:tc>
        <w:tc>
          <w:tcPr>
            <w:tcW w:w="1216" w:type="dxa"/>
            <w:tcBorders>
              <w:top w:val="nil"/>
              <w:left w:val="nil"/>
              <w:bottom w:val="single" w:sz="8" w:space="0" w:color="auto"/>
              <w:right w:val="single" w:sz="8" w:space="0" w:color="auto"/>
            </w:tcBorders>
            <w:shd w:val="clear" w:color="auto" w:fill="auto"/>
            <w:vAlign w:val="center"/>
            <w:hideMark/>
          </w:tcPr>
          <w:p w14:paraId="2F90122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22.41</w:t>
            </w:r>
          </w:p>
        </w:tc>
        <w:tc>
          <w:tcPr>
            <w:tcW w:w="896" w:type="dxa"/>
            <w:tcBorders>
              <w:top w:val="nil"/>
              <w:left w:val="nil"/>
              <w:bottom w:val="single" w:sz="8" w:space="0" w:color="auto"/>
              <w:right w:val="single" w:sz="8" w:space="0" w:color="auto"/>
            </w:tcBorders>
            <w:shd w:val="clear" w:color="auto" w:fill="auto"/>
            <w:vAlign w:val="center"/>
            <w:hideMark/>
          </w:tcPr>
          <w:p w14:paraId="45141F4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&lt;0.001</w:t>
            </w:r>
          </w:p>
        </w:tc>
        <w:tc>
          <w:tcPr>
            <w:tcW w:w="222" w:type="dxa"/>
            <w:vAlign w:val="center"/>
            <w:hideMark/>
          </w:tcPr>
          <w:p w14:paraId="3000D5D7"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4B0DBE6D"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5F58752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lastRenderedPageBreak/>
              <w:t>C4</w:t>
            </w:r>
          </w:p>
        </w:tc>
        <w:tc>
          <w:tcPr>
            <w:tcW w:w="883" w:type="dxa"/>
            <w:tcBorders>
              <w:top w:val="nil"/>
              <w:left w:val="nil"/>
              <w:bottom w:val="single" w:sz="8" w:space="0" w:color="auto"/>
              <w:right w:val="single" w:sz="8" w:space="0" w:color="auto"/>
            </w:tcBorders>
            <w:shd w:val="clear" w:color="auto" w:fill="auto"/>
            <w:vAlign w:val="center"/>
            <w:hideMark/>
          </w:tcPr>
          <w:p w14:paraId="5F923825"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40.84</w:t>
            </w:r>
          </w:p>
        </w:tc>
        <w:tc>
          <w:tcPr>
            <w:tcW w:w="1161" w:type="dxa"/>
            <w:tcBorders>
              <w:top w:val="nil"/>
              <w:left w:val="nil"/>
              <w:bottom w:val="single" w:sz="8" w:space="0" w:color="auto"/>
              <w:right w:val="single" w:sz="8" w:space="0" w:color="auto"/>
            </w:tcBorders>
            <w:shd w:val="clear" w:color="auto" w:fill="auto"/>
            <w:vAlign w:val="center"/>
            <w:hideMark/>
          </w:tcPr>
          <w:p w14:paraId="0780D66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22</w:t>
            </w:r>
          </w:p>
        </w:tc>
        <w:tc>
          <w:tcPr>
            <w:tcW w:w="1017" w:type="dxa"/>
            <w:tcBorders>
              <w:top w:val="nil"/>
              <w:left w:val="nil"/>
              <w:bottom w:val="single" w:sz="8" w:space="0" w:color="auto"/>
              <w:right w:val="single" w:sz="8" w:space="0" w:color="auto"/>
            </w:tcBorders>
            <w:shd w:val="clear" w:color="auto" w:fill="auto"/>
            <w:vAlign w:val="center"/>
            <w:hideMark/>
          </w:tcPr>
          <w:p w14:paraId="74AD398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w:t>
            </w:r>
          </w:p>
        </w:tc>
        <w:tc>
          <w:tcPr>
            <w:tcW w:w="1250" w:type="dxa"/>
            <w:tcBorders>
              <w:top w:val="nil"/>
              <w:left w:val="nil"/>
              <w:bottom w:val="single" w:sz="8" w:space="0" w:color="auto"/>
              <w:right w:val="single" w:sz="8" w:space="0" w:color="auto"/>
            </w:tcBorders>
            <w:shd w:val="clear" w:color="auto" w:fill="auto"/>
            <w:vAlign w:val="center"/>
            <w:hideMark/>
          </w:tcPr>
          <w:p w14:paraId="3483E3C7"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580</w:t>
            </w:r>
          </w:p>
        </w:tc>
        <w:tc>
          <w:tcPr>
            <w:tcW w:w="1139" w:type="dxa"/>
            <w:tcBorders>
              <w:top w:val="nil"/>
              <w:left w:val="nil"/>
              <w:bottom w:val="single" w:sz="8" w:space="0" w:color="auto"/>
              <w:right w:val="single" w:sz="8" w:space="0" w:color="auto"/>
            </w:tcBorders>
            <w:shd w:val="clear" w:color="auto" w:fill="auto"/>
            <w:vAlign w:val="center"/>
            <w:hideMark/>
          </w:tcPr>
          <w:p w14:paraId="42C621E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235</w:t>
            </w:r>
          </w:p>
        </w:tc>
        <w:tc>
          <w:tcPr>
            <w:tcW w:w="1106" w:type="dxa"/>
            <w:tcBorders>
              <w:top w:val="nil"/>
              <w:left w:val="nil"/>
              <w:bottom w:val="single" w:sz="8" w:space="0" w:color="auto"/>
              <w:right w:val="single" w:sz="8" w:space="0" w:color="auto"/>
            </w:tcBorders>
            <w:shd w:val="clear" w:color="auto" w:fill="auto"/>
            <w:vAlign w:val="center"/>
            <w:hideMark/>
          </w:tcPr>
          <w:p w14:paraId="4610A31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313.05</w:t>
            </w:r>
          </w:p>
        </w:tc>
        <w:tc>
          <w:tcPr>
            <w:tcW w:w="984" w:type="dxa"/>
            <w:tcBorders>
              <w:top w:val="nil"/>
              <w:left w:val="nil"/>
              <w:bottom w:val="single" w:sz="8" w:space="0" w:color="auto"/>
              <w:right w:val="single" w:sz="8" w:space="0" w:color="auto"/>
            </w:tcBorders>
            <w:shd w:val="clear" w:color="auto" w:fill="auto"/>
            <w:vAlign w:val="center"/>
            <w:hideMark/>
          </w:tcPr>
          <w:p w14:paraId="074D9E5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0.74</w:t>
            </w:r>
          </w:p>
        </w:tc>
        <w:tc>
          <w:tcPr>
            <w:tcW w:w="950" w:type="dxa"/>
            <w:tcBorders>
              <w:top w:val="nil"/>
              <w:left w:val="nil"/>
              <w:bottom w:val="single" w:sz="8" w:space="0" w:color="auto"/>
              <w:right w:val="single" w:sz="8" w:space="0" w:color="auto"/>
            </w:tcBorders>
            <w:shd w:val="clear" w:color="auto" w:fill="auto"/>
            <w:vAlign w:val="center"/>
            <w:hideMark/>
          </w:tcPr>
          <w:p w14:paraId="47BF7805"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40.5</w:t>
            </w:r>
          </w:p>
        </w:tc>
        <w:tc>
          <w:tcPr>
            <w:tcW w:w="1216" w:type="dxa"/>
            <w:tcBorders>
              <w:top w:val="nil"/>
              <w:left w:val="nil"/>
              <w:bottom w:val="single" w:sz="8" w:space="0" w:color="auto"/>
              <w:right w:val="single" w:sz="8" w:space="0" w:color="auto"/>
            </w:tcBorders>
            <w:shd w:val="clear" w:color="auto" w:fill="auto"/>
            <w:vAlign w:val="center"/>
            <w:hideMark/>
          </w:tcPr>
          <w:p w14:paraId="176C358E"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22.03</w:t>
            </w:r>
          </w:p>
        </w:tc>
        <w:tc>
          <w:tcPr>
            <w:tcW w:w="896" w:type="dxa"/>
            <w:tcBorders>
              <w:top w:val="nil"/>
              <w:left w:val="nil"/>
              <w:bottom w:val="single" w:sz="8" w:space="0" w:color="auto"/>
              <w:right w:val="single" w:sz="8" w:space="0" w:color="auto"/>
            </w:tcBorders>
            <w:shd w:val="clear" w:color="auto" w:fill="auto"/>
            <w:vAlign w:val="center"/>
            <w:hideMark/>
          </w:tcPr>
          <w:p w14:paraId="2D4F44F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&lt;0.001</w:t>
            </w:r>
          </w:p>
        </w:tc>
        <w:tc>
          <w:tcPr>
            <w:tcW w:w="222" w:type="dxa"/>
            <w:vAlign w:val="center"/>
            <w:hideMark/>
          </w:tcPr>
          <w:p w14:paraId="55161418"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02C08DEB"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694F300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C5</w:t>
            </w:r>
          </w:p>
        </w:tc>
        <w:tc>
          <w:tcPr>
            <w:tcW w:w="883" w:type="dxa"/>
            <w:tcBorders>
              <w:top w:val="nil"/>
              <w:left w:val="nil"/>
              <w:bottom w:val="single" w:sz="8" w:space="0" w:color="auto"/>
              <w:right w:val="single" w:sz="8" w:space="0" w:color="auto"/>
            </w:tcBorders>
            <w:shd w:val="clear" w:color="auto" w:fill="auto"/>
            <w:vAlign w:val="center"/>
            <w:hideMark/>
          </w:tcPr>
          <w:p w14:paraId="1DF2E4A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35.14</w:t>
            </w:r>
          </w:p>
        </w:tc>
        <w:tc>
          <w:tcPr>
            <w:tcW w:w="1161" w:type="dxa"/>
            <w:tcBorders>
              <w:top w:val="nil"/>
              <w:left w:val="nil"/>
              <w:bottom w:val="single" w:sz="8" w:space="0" w:color="auto"/>
              <w:right w:val="single" w:sz="8" w:space="0" w:color="auto"/>
            </w:tcBorders>
            <w:shd w:val="clear" w:color="auto" w:fill="auto"/>
            <w:vAlign w:val="center"/>
            <w:hideMark/>
          </w:tcPr>
          <w:p w14:paraId="0A3B69B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19</w:t>
            </w:r>
          </w:p>
        </w:tc>
        <w:tc>
          <w:tcPr>
            <w:tcW w:w="1017" w:type="dxa"/>
            <w:tcBorders>
              <w:top w:val="nil"/>
              <w:left w:val="nil"/>
              <w:bottom w:val="single" w:sz="8" w:space="0" w:color="auto"/>
              <w:right w:val="single" w:sz="8" w:space="0" w:color="auto"/>
            </w:tcBorders>
            <w:shd w:val="clear" w:color="auto" w:fill="auto"/>
            <w:vAlign w:val="center"/>
            <w:hideMark/>
          </w:tcPr>
          <w:p w14:paraId="24523831"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01426C9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629</w:t>
            </w:r>
          </w:p>
        </w:tc>
        <w:tc>
          <w:tcPr>
            <w:tcW w:w="1139" w:type="dxa"/>
            <w:tcBorders>
              <w:top w:val="nil"/>
              <w:left w:val="nil"/>
              <w:bottom w:val="single" w:sz="8" w:space="0" w:color="auto"/>
              <w:right w:val="single" w:sz="8" w:space="0" w:color="auto"/>
            </w:tcBorders>
            <w:shd w:val="clear" w:color="auto" w:fill="auto"/>
            <w:vAlign w:val="center"/>
            <w:hideMark/>
          </w:tcPr>
          <w:p w14:paraId="6C4BDC6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266</w:t>
            </w:r>
          </w:p>
        </w:tc>
        <w:tc>
          <w:tcPr>
            <w:tcW w:w="1106" w:type="dxa"/>
            <w:tcBorders>
              <w:top w:val="nil"/>
              <w:left w:val="nil"/>
              <w:bottom w:val="single" w:sz="8" w:space="0" w:color="auto"/>
              <w:right w:val="single" w:sz="8" w:space="0" w:color="auto"/>
            </w:tcBorders>
            <w:shd w:val="clear" w:color="auto" w:fill="auto"/>
            <w:vAlign w:val="center"/>
            <w:hideMark/>
          </w:tcPr>
          <w:p w14:paraId="3554351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339.49</w:t>
            </w:r>
          </w:p>
        </w:tc>
        <w:tc>
          <w:tcPr>
            <w:tcW w:w="984" w:type="dxa"/>
            <w:tcBorders>
              <w:top w:val="nil"/>
              <w:left w:val="nil"/>
              <w:bottom w:val="single" w:sz="8" w:space="0" w:color="auto"/>
              <w:right w:val="single" w:sz="8" w:space="0" w:color="auto"/>
            </w:tcBorders>
            <w:shd w:val="clear" w:color="auto" w:fill="auto"/>
            <w:vAlign w:val="center"/>
            <w:hideMark/>
          </w:tcPr>
          <w:p w14:paraId="7A8488BE"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0.78</w:t>
            </w:r>
          </w:p>
        </w:tc>
        <w:tc>
          <w:tcPr>
            <w:tcW w:w="950" w:type="dxa"/>
            <w:tcBorders>
              <w:top w:val="nil"/>
              <w:left w:val="nil"/>
              <w:bottom w:val="single" w:sz="8" w:space="0" w:color="auto"/>
              <w:right w:val="single" w:sz="8" w:space="0" w:color="auto"/>
            </w:tcBorders>
            <w:shd w:val="clear" w:color="auto" w:fill="auto"/>
            <w:vAlign w:val="center"/>
            <w:hideMark/>
          </w:tcPr>
          <w:p w14:paraId="497ECA5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42.3</w:t>
            </w:r>
          </w:p>
        </w:tc>
        <w:tc>
          <w:tcPr>
            <w:tcW w:w="1216" w:type="dxa"/>
            <w:tcBorders>
              <w:top w:val="nil"/>
              <w:left w:val="nil"/>
              <w:bottom w:val="single" w:sz="8" w:space="0" w:color="auto"/>
              <w:right w:val="single" w:sz="8" w:space="0" w:color="auto"/>
            </w:tcBorders>
            <w:shd w:val="clear" w:color="auto" w:fill="auto"/>
            <w:vAlign w:val="center"/>
            <w:hideMark/>
          </w:tcPr>
          <w:p w14:paraId="20268757"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18.06</w:t>
            </w:r>
          </w:p>
        </w:tc>
        <w:tc>
          <w:tcPr>
            <w:tcW w:w="896" w:type="dxa"/>
            <w:tcBorders>
              <w:top w:val="nil"/>
              <w:left w:val="nil"/>
              <w:bottom w:val="single" w:sz="8" w:space="0" w:color="auto"/>
              <w:right w:val="single" w:sz="8" w:space="0" w:color="auto"/>
            </w:tcBorders>
            <w:shd w:val="clear" w:color="auto" w:fill="auto"/>
            <w:vAlign w:val="center"/>
            <w:hideMark/>
          </w:tcPr>
          <w:p w14:paraId="0122CC8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&lt;0.001</w:t>
            </w:r>
          </w:p>
        </w:tc>
        <w:tc>
          <w:tcPr>
            <w:tcW w:w="222" w:type="dxa"/>
            <w:vAlign w:val="center"/>
            <w:hideMark/>
          </w:tcPr>
          <w:p w14:paraId="2F0C37AC"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3BA26101"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3011137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C6</w:t>
            </w:r>
          </w:p>
        </w:tc>
        <w:tc>
          <w:tcPr>
            <w:tcW w:w="883" w:type="dxa"/>
            <w:tcBorders>
              <w:top w:val="nil"/>
              <w:left w:val="nil"/>
              <w:bottom w:val="single" w:sz="8" w:space="0" w:color="auto"/>
              <w:right w:val="single" w:sz="8" w:space="0" w:color="auto"/>
            </w:tcBorders>
            <w:shd w:val="clear" w:color="auto" w:fill="auto"/>
            <w:vAlign w:val="center"/>
            <w:hideMark/>
          </w:tcPr>
          <w:p w14:paraId="1A24F9C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27.11</w:t>
            </w:r>
          </w:p>
        </w:tc>
        <w:tc>
          <w:tcPr>
            <w:tcW w:w="1161" w:type="dxa"/>
            <w:tcBorders>
              <w:top w:val="nil"/>
              <w:left w:val="nil"/>
              <w:bottom w:val="single" w:sz="8" w:space="0" w:color="auto"/>
              <w:right w:val="single" w:sz="8" w:space="0" w:color="auto"/>
            </w:tcBorders>
            <w:shd w:val="clear" w:color="auto" w:fill="auto"/>
            <w:vAlign w:val="center"/>
            <w:hideMark/>
          </w:tcPr>
          <w:p w14:paraId="178E9D26"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14</w:t>
            </w:r>
          </w:p>
        </w:tc>
        <w:tc>
          <w:tcPr>
            <w:tcW w:w="1017" w:type="dxa"/>
            <w:tcBorders>
              <w:top w:val="nil"/>
              <w:left w:val="nil"/>
              <w:bottom w:val="single" w:sz="8" w:space="0" w:color="auto"/>
              <w:right w:val="single" w:sz="8" w:space="0" w:color="auto"/>
            </w:tcBorders>
            <w:shd w:val="clear" w:color="auto" w:fill="auto"/>
            <w:vAlign w:val="center"/>
            <w:hideMark/>
          </w:tcPr>
          <w:p w14:paraId="552F7AD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w:t>
            </w:r>
          </w:p>
        </w:tc>
        <w:tc>
          <w:tcPr>
            <w:tcW w:w="1250" w:type="dxa"/>
            <w:tcBorders>
              <w:top w:val="nil"/>
              <w:left w:val="nil"/>
              <w:bottom w:val="single" w:sz="8" w:space="0" w:color="auto"/>
              <w:right w:val="single" w:sz="8" w:space="0" w:color="auto"/>
            </w:tcBorders>
            <w:shd w:val="clear" w:color="auto" w:fill="auto"/>
            <w:vAlign w:val="center"/>
            <w:hideMark/>
          </w:tcPr>
          <w:p w14:paraId="19880C2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462</w:t>
            </w:r>
          </w:p>
        </w:tc>
        <w:tc>
          <w:tcPr>
            <w:tcW w:w="1139" w:type="dxa"/>
            <w:tcBorders>
              <w:top w:val="nil"/>
              <w:left w:val="nil"/>
              <w:bottom w:val="single" w:sz="8" w:space="0" w:color="auto"/>
              <w:right w:val="single" w:sz="8" w:space="0" w:color="auto"/>
            </w:tcBorders>
            <w:shd w:val="clear" w:color="auto" w:fill="auto"/>
            <w:vAlign w:val="center"/>
            <w:hideMark/>
          </w:tcPr>
          <w:p w14:paraId="1347940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310</w:t>
            </w:r>
          </w:p>
        </w:tc>
        <w:tc>
          <w:tcPr>
            <w:tcW w:w="1106" w:type="dxa"/>
            <w:tcBorders>
              <w:top w:val="nil"/>
              <w:left w:val="nil"/>
              <w:bottom w:val="single" w:sz="8" w:space="0" w:color="auto"/>
              <w:right w:val="single" w:sz="8" w:space="0" w:color="auto"/>
            </w:tcBorders>
            <w:shd w:val="clear" w:color="auto" w:fill="auto"/>
            <w:vAlign w:val="center"/>
            <w:hideMark/>
          </w:tcPr>
          <w:p w14:paraId="3C07AD0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249.36</w:t>
            </w:r>
          </w:p>
        </w:tc>
        <w:tc>
          <w:tcPr>
            <w:tcW w:w="984" w:type="dxa"/>
            <w:tcBorders>
              <w:top w:val="nil"/>
              <w:left w:val="nil"/>
              <w:bottom w:val="single" w:sz="8" w:space="0" w:color="auto"/>
              <w:right w:val="single" w:sz="8" w:space="0" w:color="auto"/>
            </w:tcBorders>
            <w:shd w:val="clear" w:color="auto" w:fill="auto"/>
            <w:vAlign w:val="center"/>
            <w:hideMark/>
          </w:tcPr>
          <w:p w14:paraId="0D8604D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1.25</w:t>
            </w:r>
          </w:p>
        </w:tc>
        <w:tc>
          <w:tcPr>
            <w:tcW w:w="950" w:type="dxa"/>
            <w:tcBorders>
              <w:top w:val="nil"/>
              <w:left w:val="nil"/>
              <w:bottom w:val="single" w:sz="8" w:space="0" w:color="auto"/>
              <w:right w:val="single" w:sz="8" w:space="0" w:color="auto"/>
            </w:tcBorders>
            <w:shd w:val="clear" w:color="auto" w:fill="auto"/>
            <w:vAlign w:val="center"/>
            <w:hideMark/>
          </w:tcPr>
          <w:p w14:paraId="69748C6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67.1</w:t>
            </w:r>
          </w:p>
        </w:tc>
        <w:tc>
          <w:tcPr>
            <w:tcW w:w="1216" w:type="dxa"/>
            <w:tcBorders>
              <w:top w:val="nil"/>
              <w:left w:val="nil"/>
              <w:bottom w:val="single" w:sz="8" w:space="0" w:color="auto"/>
              <w:right w:val="single" w:sz="8" w:space="0" w:color="auto"/>
            </w:tcBorders>
            <w:shd w:val="clear" w:color="auto" w:fill="auto"/>
            <w:vAlign w:val="center"/>
            <w:hideMark/>
          </w:tcPr>
          <w:p w14:paraId="373A9B77"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17.01</w:t>
            </w:r>
          </w:p>
        </w:tc>
        <w:tc>
          <w:tcPr>
            <w:tcW w:w="896" w:type="dxa"/>
            <w:tcBorders>
              <w:top w:val="nil"/>
              <w:left w:val="nil"/>
              <w:bottom w:val="single" w:sz="8" w:space="0" w:color="auto"/>
              <w:right w:val="single" w:sz="8" w:space="0" w:color="auto"/>
            </w:tcBorders>
            <w:shd w:val="clear" w:color="auto" w:fill="auto"/>
            <w:vAlign w:val="center"/>
            <w:hideMark/>
          </w:tcPr>
          <w:p w14:paraId="5E6AF47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&lt;0.001</w:t>
            </w:r>
          </w:p>
        </w:tc>
        <w:tc>
          <w:tcPr>
            <w:tcW w:w="222" w:type="dxa"/>
            <w:vAlign w:val="center"/>
            <w:hideMark/>
          </w:tcPr>
          <w:p w14:paraId="4831DAC4"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0D1DE329"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5F7027F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C7</w:t>
            </w:r>
          </w:p>
        </w:tc>
        <w:tc>
          <w:tcPr>
            <w:tcW w:w="883" w:type="dxa"/>
            <w:tcBorders>
              <w:top w:val="nil"/>
              <w:left w:val="nil"/>
              <w:bottom w:val="single" w:sz="8" w:space="0" w:color="auto"/>
              <w:right w:val="single" w:sz="8" w:space="0" w:color="auto"/>
            </w:tcBorders>
            <w:shd w:val="clear" w:color="auto" w:fill="auto"/>
            <w:vAlign w:val="center"/>
            <w:hideMark/>
          </w:tcPr>
          <w:p w14:paraId="6CBB4A2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34.83</w:t>
            </w:r>
          </w:p>
        </w:tc>
        <w:tc>
          <w:tcPr>
            <w:tcW w:w="1161" w:type="dxa"/>
            <w:tcBorders>
              <w:top w:val="nil"/>
              <w:left w:val="nil"/>
              <w:bottom w:val="single" w:sz="8" w:space="0" w:color="auto"/>
              <w:right w:val="single" w:sz="8" w:space="0" w:color="auto"/>
            </w:tcBorders>
            <w:shd w:val="clear" w:color="auto" w:fill="auto"/>
            <w:vAlign w:val="center"/>
            <w:hideMark/>
          </w:tcPr>
          <w:p w14:paraId="6818EFA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9</w:t>
            </w:r>
          </w:p>
        </w:tc>
        <w:tc>
          <w:tcPr>
            <w:tcW w:w="1017" w:type="dxa"/>
            <w:tcBorders>
              <w:top w:val="nil"/>
              <w:left w:val="nil"/>
              <w:bottom w:val="single" w:sz="8" w:space="0" w:color="auto"/>
              <w:right w:val="single" w:sz="8" w:space="0" w:color="auto"/>
            </w:tcBorders>
            <w:shd w:val="clear" w:color="auto" w:fill="auto"/>
            <w:vAlign w:val="center"/>
            <w:hideMark/>
          </w:tcPr>
          <w:p w14:paraId="1FAE646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004DDC7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272</w:t>
            </w:r>
          </w:p>
        </w:tc>
        <w:tc>
          <w:tcPr>
            <w:tcW w:w="1139" w:type="dxa"/>
            <w:tcBorders>
              <w:top w:val="nil"/>
              <w:left w:val="nil"/>
              <w:bottom w:val="single" w:sz="8" w:space="0" w:color="auto"/>
              <w:right w:val="single" w:sz="8" w:space="0" w:color="auto"/>
            </w:tcBorders>
            <w:shd w:val="clear" w:color="auto" w:fill="auto"/>
            <w:vAlign w:val="center"/>
            <w:hideMark/>
          </w:tcPr>
          <w:p w14:paraId="460FAB67"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186</w:t>
            </w:r>
          </w:p>
        </w:tc>
        <w:tc>
          <w:tcPr>
            <w:tcW w:w="1106" w:type="dxa"/>
            <w:tcBorders>
              <w:top w:val="nil"/>
              <w:left w:val="nil"/>
              <w:bottom w:val="single" w:sz="8" w:space="0" w:color="auto"/>
              <w:right w:val="single" w:sz="8" w:space="0" w:color="auto"/>
            </w:tcBorders>
            <w:shd w:val="clear" w:color="auto" w:fill="auto"/>
            <w:vAlign w:val="center"/>
            <w:hideMark/>
          </w:tcPr>
          <w:p w14:paraId="622F770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146.81</w:t>
            </w:r>
          </w:p>
        </w:tc>
        <w:tc>
          <w:tcPr>
            <w:tcW w:w="984" w:type="dxa"/>
            <w:tcBorders>
              <w:top w:val="nil"/>
              <w:left w:val="nil"/>
              <w:bottom w:val="single" w:sz="8" w:space="0" w:color="auto"/>
              <w:right w:val="single" w:sz="8" w:space="0" w:color="auto"/>
            </w:tcBorders>
            <w:shd w:val="clear" w:color="auto" w:fill="auto"/>
            <w:vAlign w:val="center"/>
            <w:hideMark/>
          </w:tcPr>
          <w:p w14:paraId="51F5D28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1.27</w:t>
            </w:r>
          </w:p>
        </w:tc>
        <w:tc>
          <w:tcPr>
            <w:tcW w:w="950" w:type="dxa"/>
            <w:tcBorders>
              <w:top w:val="nil"/>
              <w:left w:val="nil"/>
              <w:bottom w:val="single" w:sz="8" w:space="0" w:color="auto"/>
              <w:right w:val="single" w:sz="8" w:space="0" w:color="auto"/>
            </w:tcBorders>
            <w:shd w:val="clear" w:color="auto" w:fill="auto"/>
            <w:vAlign w:val="center"/>
            <w:hideMark/>
          </w:tcPr>
          <w:p w14:paraId="5E9B865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68.4</w:t>
            </w:r>
          </w:p>
        </w:tc>
        <w:tc>
          <w:tcPr>
            <w:tcW w:w="1216" w:type="dxa"/>
            <w:tcBorders>
              <w:top w:val="nil"/>
              <w:left w:val="nil"/>
              <w:bottom w:val="single" w:sz="8" w:space="0" w:color="auto"/>
              <w:right w:val="single" w:sz="8" w:space="0" w:color="auto"/>
            </w:tcBorders>
            <w:shd w:val="clear" w:color="auto" w:fill="auto"/>
            <w:vAlign w:val="center"/>
            <w:hideMark/>
          </w:tcPr>
          <w:p w14:paraId="0F7CF7D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11.95</w:t>
            </w:r>
          </w:p>
        </w:tc>
        <w:tc>
          <w:tcPr>
            <w:tcW w:w="896" w:type="dxa"/>
            <w:tcBorders>
              <w:top w:val="nil"/>
              <w:left w:val="nil"/>
              <w:bottom w:val="single" w:sz="8" w:space="0" w:color="auto"/>
              <w:right w:val="single" w:sz="8" w:space="0" w:color="auto"/>
            </w:tcBorders>
            <w:shd w:val="clear" w:color="auto" w:fill="auto"/>
            <w:vAlign w:val="center"/>
            <w:hideMark/>
          </w:tcPr>
          <w:p w14:paraId="483CDD3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0.005</w:t>
            </w:r>
          </w:p>
        </w:tc>
        <w:tc>
          <w:tcPr>
            <w:tcW w:w="222" w:type="dxa"/>
            <w:vAlign w:val="center"/>
            <w:hideMark/>
          </w:tcPr>
          <w:p w14:paraId="61FEF585"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770E9D92"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4EA0485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C8</w:t>
            </w:r>
          </w:p>
        </w:tc>
        <w:tc>
          <w:tcPr>
            <w:tcW w:w="883" w:type="dxa"/>
            <w:tcBorders>
              <w:top w:val="nil"/>
              <w:left w:val="nil"/>
              <w:bottom w:val="single" w:sz="8" w:space="0" w:color="auto"/>
              <w:right w:val="single" w:sz="8" w:space="0" w:color="auto"/>
            </w:tcBorders>
            <w:shd w:val="clear" w:color="auto" w:fill="auto"/>
            <w:vAlign w:val="center"/>
            <w:hideMark/>
          </w:tcPr>
          <w:p w14:paraId="76038D56"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40.26</w:t>
            </w:r>
          </w:p>
        </w:tc>
        <w:tc>
          <w:tcPr>
            <w:tcW w:w="1161" w:type="dxa"/>
            <w:tcBorders>
              <w:top w:val="nil"/>
              <w:left w:val="nil"/>
              <w:bottom w:val="single" w:sz="8" w:space="0" w:color="auto"/>
              <w:right w:val="single" w:sz="8" w:space="0" w:color="auto"/>
            </w:tcBorders>
            <w:shd w:val="clear" w:color="auto" w:fill="auto"/>
            <w:vAlign w:val="center"/>
            <w:hideMark/>
          </w:tcPr>
          <w:p w14:paraId="01521FB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12</w:t>
            </w:r>
          </w:p>
        </w:tc>
        <w:tc>
          <w:tcPr>
            <w:tcW w:w="1017" w:type="dxa"/>
            <w:tcBorders>
              <w:top w:val="nil"/>
              <w:left w:val="nil"/>
              <w:bottom w:val="single" w:sz="8" w:space="0" w:color="auto"/>
              <w:right w:val="single" w:sz="8" w:space="0" w:color="auto"/>
            </w:tcBorders>
            <w:shd w:val="clear" w:color="auto" w:fill="auto"/>
            <w:vAlign w:val="center"/>
            <w:hideMark/>
          </w:tcPr>
          <w:p w14:paraId="46988D7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65781F71"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345</w:t>
            </w:r>
          </w:p>
        </w:tc>
        <w:tc>
          <w:tcPr>
            <w:tcW w:w="1139" w:type="dxa"/>
            <w:tcBorders>
              <w:top w:val="nil"/>
              <w:left w:val="nil"/>
              <w:bottom w:val="single" w:sz="8" w:space="0" w:color="auto"/>
              <w:right w:val="single" w:sz="8" w:space="0" w:color="auto"/>
            </w:tcBorders>
            <w:shd w:val="clear" w:color="auto" w:fill="auto"/>
            <w:vAlign w:val="center"/>
            <w:hideMark/>
          </w:tcPr>
          <w:p w14:paraId="4C5B181A"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143</w:t>
            </w:r>
          </w:p>
        </w:tc>
        <w:tc>
          <w:tcPr>
            <w:tcW w:w="1106" w:type="dxa"/>
            <w:tcBorders>
              <w:top w:val="nil"/>
              <w:left w:val="nil"/>
              <w:bottom w:val="single" w:sz="8" w:space="0" w:color="auto"/>
              <w:right w:val="single" w:sz="8" w:space="0" w:color="auto"/>
            </w:tcBorders>
            <w:shd w:val="clear" w:color="auto" w:fill="auto"/>
            <w:vAlign w:val="center"/>
            <w:hideMark/>
          </w:tcPr>
          <w:p w14:paraId="5DB8866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186.21</w:t>
            </w:r>
          </w:p>
        </w:tc>
        <w:tc>
          <w:tcPr>
            <w:tcW w:w="984" w:type="dxa"/>
            <w:tcBorders>
              <w:top w:val="nil"/>
              <w:left w:val="nil"/>
              <w:bottom w:val="single" w:sz="8" w:space="0" w:color="auto"/>
              <w:right w:val="single" w:sz="8" w:space="0" w:color="auto"/>
            </w:tcBorders>
            <w:shd w:val="clear" w:color="auto" w:fill="auto"/>
            <w:vAlign w:val="center"/>
            <w:hideMark/>
          </w:tcPr>
          <w:p w14:paraId="0B09A31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0.76</w:t>
            </w:r>
          </w:p>
        </w:tc>
        <w:tc>
          <w:tcPr>
            <w:tcW w:w="950" w:type="dxa"/>
            <w:tcBorders>
              <w:top w:val="nil"/>
              <w:left w:val="nil"/>
              <w:bottom w:val="single" w:sz="8" w:space="0" w:color="auto"/>
              <w:right w:val="single" w:sz="8" w:space="0" w:color="auto"/>
            </w:tcBorders>
            <w:shd w:val="clear" w:color="auto" w:fill="auto"/>
            <w:vAlign w:val="center"/>
            <w:hideMark/>
          </w:tcPr>
          <w:p w14:paraId="0BC1A81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41.4</w:t>
            </w:r>
          </w:p>
        </w:tc>
        <w:tc>
          <w:tcPr>
            <w:tcW w:w="1216" w:type="dxa"/>
            <w:tcBorders>
              <w:top w:val="nil"/>
              <w:left w:val="nil"/>
              <w:bottom w:val="single" w:sz="8" w:space="0" w:color="auto"/>
              <w:right w:val="single" w:sz="8" w:space="0" w:color="auto"/>
            </w:tcBorders>
            <w:shd w:val="clear" w:color="auto" w:fill="auto"/>
            <w:vAlign w:val="center"/>
            <w:hideMark/>
          </w:tcPr>
          <w:p w14:paraId="1F5AE0F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11.14</w:t>
            </w:r>
          </w:p>
        </w:tc>
        <w:tc>
          <w:tcPr>
            <w:tcW w:w="896" w:type="dxa"/>
            <w:tcBorders>
              <w:top w:val="nil"/>
              <w:left w:val="nil"/>
              <w:bottom w:val="single" w:sz="8" w:space="0" w:color="auto"/>
              <w:right w:val="single" w:sz="8" w:space="0" w:color="auto"/>
            </w:tcBorders>
            <w:shd w:val="clear" w:color="auto" w:fill="auto"/>
            <w:vAlign w:val="center"/>
            <w:hideMark/>
          </w:tcPr>
          <w:p w14:paraId="7C7600D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0.01</w:t>
            </w:r>
          </w:p>
        </w:tc>
        <w:tc>
          <w:tcPr>
            <w:tcW w:w="222" w:type="dxa"/>
            <w:vAlign w:val="center"/>
            <w:hideMark/>
          </w:tcPr>
          <w:p w14:paraId="560ACAB0"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1E391B2B"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06BFEFD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C9</w:t>
            </w:r>
          </w:p>
        </w:tc>
        <w:tc>
          <w:tcPr>
            <w:tcW w:w="883" w:type="dxa"/>
            <w:tcBorders>
              <w:top w:val="nil"/>
              <w:left w:val="nil"/>
              <w:bottom w:val="single" w:sz="8" w:space="0" w:color="auto"/>
              <w:right w:val="single" w:sz="8" w:space="0" w:color="auto"/>
            </w:tcBorders>
            <w:shd w:val="clear" w:color="auto" w:fill="auto"/>
            <w:vAlign w:val="center"/>
            <w:hideMark/>
          </w:tcPr>
          <w:p w14:paraId="0C61B4A6"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17.16</w:t>
            </w:r>
          </w:p>
        </w:tc>
        <w:tc>
          <w:tcPr>
            <w:tcW w:w="1161" w:type="dxa"/>
            <w:tcBorders>
              <w:top w:val="nil"/>
              <w:left w:val="nil"/>
              <w:bottom w:val="single" w:sz="8" w:space="0" w:color="auto"/>
              <w:right w:val="single" w:sz="8" w:space="0" w:color="auto"/>
            </w:tcBorders>
            <w:shd w:val="clear" w:color="auto" w:fill="auto"/>
            <w:vAlign w:val="center"/>
            <w:hideMark/>
          </w:tcPr>
          <w:p w14:paraId="1B5C031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w:t>
            </w:r>
          </w:p>
        </w:tc>
        <w:tc>
          <w:tcPr>
            <w:tcW w:w="1017" w:type="dxa"/>
            <w:tcBorders>
              <w:top w:val="nil"/>
              <w:left w:val="nil"/>
              <w:bottom w:val="single" w:sz="8" w:space="0" w:color="auto"/>
              <w:right w:val="single" w:sz="8" w:space="0" w:color="auto"/>
            </w:tcBorders>
            <w:shd w:val="clear" w:color="auto" w:fill="auto"/>
            <w:vAlign w:val="center"/>
            <w:hideMark/>
          </w:tcPr>
          <w:p w14:paraId="33EF91C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w:t>
            </w:r>
          </w:p>
        </w:tc>
        <w:tc>
          <w:tcPr>
            <w:tcW w:w="1250" w:type="dxa"/>
            <w:tcBorders>
              <w:top w:val="nil"/>
              <w:left w:val="nil"/>
              <w:bottom w:val="single" w:sz="8" w:space="0" w:color="auto"/>
              <w:right w:val="single" w:sz="8" w:space="0" w:color="auto"/>
            </w:tcBorders>
            <w:shd w:val="clear" w:color="auto" w:fill="auto"/>
            <w:vAlign w:val="center"/>
            <w:hideMark/>
          </w:tcPr>
          <w:p w14:paraId="08B93666"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77</w:t>
            </w:r>
          </w:p>
        </w:tc>
        <w:tc>
          <w:tcPr>
            <w:tcW w:w="1139" w:type="dxa"/>
            <w:tcBorders>
              <w:top w:val="nil"/>
              <w:left w:val="nil"/>
              <w:bottom w:val="single" w:sz="8" w:space="0" w:color="auto"/>
              <w:right w:val="single" w:sz="8" w:space="0" w:color="auto"/>
            </w:tcBorders>
            <w:shd w:val="clear" w:color="auto" w:fill="auto"/>
            <w:vAlign w:val="center"/>
            <w:hideMark/>
          </w:tcPr>
          <w:p w14:paraId="4468A12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22</w:t>
            </w:r>
          </w:p>
        </w:tc>
        <w:tc>
          <w:tcPr>
            <w:tcW w:w="1106" w:type="dxa"/>
            <w:tcBorders>
              <w:top w:val="nil"/>
              <w:left w:val="nil"/>
              <w:bottom w:val="single" w:sz="8" w:space="0" w:color="auto"/>
              <w:right w:val="single" w:sz="8" w:space="0" w:color="auto"/>
            </w:tcBorders>
            <w:shd w:val="clear" w:color="auto" w:fill="auto"/>
            <w:vAlign w:val="center"/>
            <w:hideMark/>
          </w:tcPr>
          <w:p w14:paraId="7CFA19B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41.56</w:t>
            </w:r>
          </w:p>
        </w:tc>
        <w:tc>
          <w:tcPr>
            <w:tcW w:w="984" w:type="dxa"/>
            <w:tcBorders>
              <w:top w:val="nil"/>
              <w:left w:val="nil"/>
              <w:bottom w:val="single" w:sz="8" w:space="0" w:color="auto"/>
              <w:right w:val="single" w:sz="8" w:space="0" w:color="auto"/>
            </w:tcBorders>
            <w:shd w:val="clear" w:color="auto" w:fill="auto"/>
            <w:vAlign w:val="center"/>
            <w:hideMark/>
          </w:tcPr>
          <w:p w14:paraId="21B8B00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0.53</w:t>
            </w:r>
          </w:p>
        </w:tc>
        <w:tc>
          <w:tcPr>
            <w:tcW w:w="950" w:type="dxa"/>
            <w:tcBorders>
              <w:top w:val="nil"/>
              <w:left w:val="nil"/>
              <w:bottom w:val="single" w:sz="8" w:space="0" w:color="auto"/>
              <w:right w:val="single" w:sz="8" w:space="0" w:color="auto"/>
            </w:tcBorders>
            <w:shd w:val="clear" w:color="auto" w:fill="auto"/>
            <w:vAlign w:val="center"/>
            <w:hideMark/>
          </w:tcPr>
          <w:p w14:paraId="4546122D"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28.6</w:t>
            </w:r>
          </w:p>
        </w:tc>
        <w:tc>
          <w:tcPr>
            <w:tcW w:w="1216" w:type="dxa"/>
            <w:tcBorders>
              <w:top w:val="nil"/>
              <w:left w:val="nil"/>
              <w:bottom w:val="single" w:sz="8" w:space="0" w:color="auto"/>
              <w:right w:val="single" w:sz="8" w:space="0" w:color="auto"/>
            </w:tcBorders>
            <w:shd w:val="clear" w:color="auto" w:fill="auto"/>
            <w:vAlign w:val="center"/>
            <w:hideMark/>
          </w:tcPr>
          <w:p w14:paraId="2C34181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10.23</w:t>
            </w:r>
          </w:p>
        </w:tc>
        <w:tc>
          <w:tcPr>
            <w:tcW w:w="896" w:type="dxa"/>
            <w:tcBorders>
              <w:top w:val="nil"/>
              <w:left w:val="nil"/>
              <w:bottom w:val="single" w:sz="8" w:space="0" w:color="auto"/>
              <w:right w:val="single" w:sz="8" w:space="0" w:color="auto"/>
            </w:tcBorders>
            <w:shd w:val="clear" w:color="auto" w:fill="auto"/>
            <w:vAlign w:val="center"/>
            <w:hideMark/>
          </w:tcPr>
          <w:p w14:paraId="658C4E91"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0.023</w:t>
            </w:r>
          </w:p>
        </w:tc>
        <w:tc>
          <w:tcPr>
            <w:tcW w:w="222" w:type="dxa"/>
            <w:vAlign w:val="center"/>
            <w:hideMark/>
          </w:tcPr>
          <w:p w14:paraId="52AEFD52"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2DDABF7C"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0FD3F51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C10</w:t>
            </w:r>
          </w:p>
        </w:tc>
        <w:tc>
          <w:tcPr>
            <w:tcW w:w="883" w:type="dxa"/>
            <w:tcBorders>
              <w:top w:val="nil"/>
              <w:left w:val="nil"/>
              <w:bottom w:val="single" w:sz="8" w:space="0" w:color="auto"/>
              <w:right w:val="single" w:sz="8" w:space="0" w:color="auto"/>
            </w:tcBorders>
            <w:shd w:val="clear" w:color="auto" w:fill="auto"/>
            <w:vAlign w:val="center"/>
            <w:hideMark/>
          </w:tcPr>
          <w:p w14:paraId="516D931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44.26</w:t>
            </w:r>
          </w:p>
        </w:tc>
        <w:tc>
          <w:tcPr>
            <w:tcW w:w="1161" w:type="dxa"/>
            <w:tcBorders>
              <w:top w:val="nil"/>
              <w:left w:val="nil"/>
              <w:bottom w:val="single" w:sz="8" w:space="0" w:color="auto"/>
              <w:right w:val="single" w:sz="8" w:space="0" w:color="auto"/>
            </w:tcBorders>
            <w:shd w:val="clear" w:color="auto" w:fill="auto"/>
            <w:vAlign w:val="center"/>
            <w:hideMark/>
          </w:tcPr>
          <w:p w14:paraId="73B00A14"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24</w:t>
            </w:r>
          </w:p>
        </w:tc>
        <w:tc>
          <w:tcPr>
            <w:tcW w:w="1017" w:type="dxa"/>
            <w:tcBorders>
              <w:top w:val="nil"/>
              <w:left w:val="nil"/>
              <w:bottom w:val="single" w:sz="8" w:space="0" w:color="auto"/>
              <w:right w:val="single" w:sz="8" w:space="0" w:color="auto"/>
            </w:tcBorders>
            <w:shd w:val="clear" w:color="auto" w:fill="auto"/>
            <w:vAlign w:val="center"/>
            <w:hideMark/>
          </w:tcPr>
          <w:p w14:paraId="437F9AB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w:t>
            </w:r>
          </w:p>
        </w:tc>
        <w:tc>
          <w:tcPr>
            <w:tcW w:w="1250" w:type="dxa"/>
            <w:tcBorders>
              <w:top w:val="nil"/>
              <w:left w:val="nil"/>
              <w:bottom w:val="single" w:sz="8" w:space="0" w:color="auto"/>
              <w:right w:val="single" w:sz="8" w:space="0" w:color="auto"/>
            </w:tcBorders>
            <w:shd w:val="clear" w:color="auto" w:fill="auto"/>
            <w:vAlign w:val="center"/>
            <w:hideMark/>
          </w:tcPr>
          <w:p w14:paraId="115F95FC"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646</w:t>
            </w:r>
          </w:p>
        </w:tc>
        <w:tc>
          <w:tcPr>
            <w:tcW w:w="1139" w:type="dxa"/>
            <w:tcBorders>
              <w:top w:val="nil"/>
              <w:left w:val="nil"/>
              <w:bottom w:val="single" w:sz="8" w:space="0" w:color="auto"/>
              <w:right w:val="single" w:sz="8" w:space="0" w:color="auto"/>
            </w:tcBorders>
            <w:shd w:val="clear" w:color="auto" w:fill="auto"/>
            <w:vAlign w:val="center"/>
            <w:hideMark/>
          </w:tcPr>
          <w:p w14:paraId="1B0991CE"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403</w:t>
            </w:r>
          </w:p>
        </w:tc>
        <w:tc>
          <w:tcPr>
            <w:tcW w:w="1106" w:type="dxa"/>
            <w:tcBorders>
              <w:top w:val="nil"/>
              <w:left w:val="nil"/>
              <w:bottom w:val="single" w:sz="8" w:space="0" w:color="auto"/>
              <w:right w:val="single" w:sz="8" w:space="0" w:color="auto"/>
            </w:tcBorders>
            <w:shd w:val="clear" w:color="auto" w:fill="auto"/>
            <w:vAlign w:val="center"/>
            <w:hideMark/>
          </w:tcPr>
          <w:p w14:paraId="592B5A96"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348.67</w:t>
            </w:r>
          </w:p>
        </w:tc>
        <w:tc>
          <w:tcPr>
            <w:tcW w:w="984" w:type="dxa"/>
            <w:tcBorders>
              <w:top w:val="nil"/>
              <w:left w:val="nil"/>
              <w:bottom w:val="single" w:sz="8" w:space="0" w:color="auto"/>
              <w:right w:val="single" w:sz="8" w:space="0" w:color="auto"/>
            </w:tcBorders>
            <w:shd w:val="clear" w:color="auto" w:fill="auto"/>
            <w:vAlign w:val="center"/>
            <w:hideMark/>
          </w:tcPr>
          <w:p w14:paraId="6F3F02A8"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1.16</w:t>
            </w:r>
          </w:p>
        </w:tc>
        <w:tc>
          <w:tcPr>
            <w:tcW w:w="950" w:type="dxa"/>
            <w:tcBorders>
              <w:top w:val="nil"/>
              <w:left w:val="nil"/>
              <w:bottom w:val="single" w:sz="8" w:space="0" w:color="auto"/>
              <w:right w:val="single" w:sz="8" w:space="0" w:color="auto"/>
            </w:tcBorders>
            <w:shd w:val="clear" w:color="auto" w:fill="auto"/>
            <w:vAlign w:val="center"/>
            <w:hideMark/>
          </w:tcPr>
          <w:p w14:paraId="5F55E2E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62.4</w:t>
            </w:r>
          </w:p>
        </w:tc>
        <w:tc>
          <w:tcPr>
            <w:tcW w:w="1216" w:type="dxa"/>
            <w:tcBorders>
              <w:top w:val="nil"/>
              <w:left w:val="nil"/>
              <w:bottom w:val="single" w:sz="8" w:space="0" w:color="auto"/>
              <w:right w:val="single" w:sz="8" w:space="0" w:color="auto"/>
            </w:tcBorders>
            <w:shd w:val="clear" w:color="auto" w:fill="auto"/>
            <w:vAlign w:val="center"/>
            <w:hideMark/>
          </w:tcPr>
          <w:p w14:paraId="7CEE020B"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9.78</w:t>
            </w:r>
          </w:p>
        </w:tc>
        <w:tc>
          <w:tcPr>
            <w:tcW w:w="896" w:type="dxa"/>
            <w:tcBorders>
              <w:top w:val="nil"/>
              <w:left w:val="nil"/>
              <w:bottom w:val="single" w:sz="8" w:space="0" w:color="auto"/>
              <w:right w:val="single" w:sz="8" w:space="0" w:color="auto"/>
            </w:tcBorders>
            <w:shd w:val="clear" w:color="auto" w:fill="auto"/>
            <w:vAlign w:val="center"/>
            <w:hideMark/>
          </w:tcPr>
          <w:p w14:paraId="51D1493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0.033</w:t>
            </w:r>
          </w:p>
        </w:tc>
        <w:tc>
          <w:tcPr>
            <w:tcW w:w="222" w:type="dxa"/>
            <w:vAlign w:val="center"/>
            <w:hideMark/>
          </w:tcPr>
          <w:p w14:paraId="64F1DDE6"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r w:rsidR="00DD596B" w:rsidRPr="00DD596B" w14:paraId="302D097A" w14:textId="77777777" w:rsidTr="00DD596B">
        <w:trPr>
          <w:trHeight w:val="353"/>
        </w:trPr>
        <w:tc>
          <w:tcPr>
            <w:tcW w:w="1017" w:type="dxa"/>
            <w:tcBorders>
              <w:top w:val="nil"/>
              <w:left w:val="single" w:sz="8" w:space="0" w:color="auto"/>
              <w:bottom w:val="single" w:sz="8" w:space="0" w:color="auto"/>
              <w:right w:val="single" w:sz="8" w:space="0" w:color="auto"/>
            </w:tcBorders>
            <w:shd w:val="clear" w:color="auto" w:fill="auto"/>
            <w:vAlign w:val="center"/>
            <w:hideMark/>
          </w:tcPr>
          <w:p w14:paraId="3BF0C659"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C11</w:t>
            </w:r>
          </w:p>
        </w:tc>
        <w:tc>
          <w:tcPr>
            <w:tcW w:w="883" w:type="dxa"/>
            <w:tcBorders>
              <w:top w:val="nil"/>
              <w:left w:val="nil"/>
              <w:bottom w:val="single" w:sz="8" w:space="0" w:color="auto"/>
              <w:right w:val="single" w:sz="8" w:space="0" w:color="auto"/>
            </w:tcBorders>
            <w:shd w:val="clear" w:color="auto" w:fill="auto"/>
            <w:vAlign w:val="center"/>
            <w:hideMark/>
          </w:tcPr>
          <w:p w14:paraId="1EF6170E"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59.63</w:t>
            </w:r>
          </w:p>
        </w:tc>
        <w:tc>
          <w:tcPr>
            <w:tcW w:w="1161" w:type="dxa"/>
            <w:tcBorders>
              <w:top w:val="nil"/>
              <w:left w:val="nil"/>
              <w:bottom w:val="single" w:sz="8" w:space="0" w:color="auto"/>
              <w:right w:val="single" w:sz="8" w:space="0" w:color="auto"/>
            </w:tcBorders>
            <w:shd w:val="clear" w:color="auto" w:fill="auto"/>
            <w:vAlign w:val="center"/>
            <w:hideMark/>
          </w:tcPr>
          <w:p w14:paraId="61DF3BF1"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24</w:t>
            </w:r>
          </w:p>
        </w:tc>
        <w:tc>
          <w:tcPr>
            <w:tcW w:w="1017" w:type="dxa"/>
            <w:tcBorders>
              <w:top w:val="nil"/>
              <w:left w:val="nil"/>
              <w:bottom w:val="single" w:sz="8" w:space="0" w:color="auto"/>
              <w:right w:val="single" w:sz="8" w:space="0" w:color="auto"/>
            </w:tcBorders>
            <w:shd w:val="clear" w:color="auto" w:fill="auto"/>
            <w:vAlign w:val="center"/>
            <w:hideMark/>
          </w:tcPr>
          <w:p w14:paraId="4C0B6DCF"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w:t>
            </w:r>
          </w:p>
        </w:tc>
        <w:tc>
          <w:tcPr>
            <w:tcW w:w="1250" w:type="dxa"/>
            <w:tcBorders>
              <w:top w:val="nil"/>
              <w:left w:val="nil"/>
              <w:bottom w:val="single" w:sz="8" w:space="0" w:color="auto"/>
              <w:right w:val="single" w:sz="8" w:space="0" w:color="auto"/>
            </w:tcBorders>
            <w:shd w:val="clear" w:color="auto" w:fill="auto"/>
            <w:vAlign w:val="center"/>
            <w:hideMark/>
          </w:tcPr>
          <w:p w14:paraId="6D806F3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671</w:t>
            </w:r>
          </w:p>
        </w:tc>
        <w:tc>
          <w:tcPr>
            <w:tcW w:w="1139" w:type="dxa"/>
            <w:tcBorders>
              <w:top w:val="nil"/>
              <w:left w:val="nil"/>
              <w:bottom w:val="single" w:sz="8" w:space="0" w:color="auto"/>
              <w:right w:val="single" w:sz="8" w:space="0" w:color="auto"/>
            </w:tcBorders>
            <w:shd w:val="clear" w:color="auto" w:fill="auto"/>
            <w:vAlign w:val="center"/>
            <w:hideMark/>
          </w:tcPr>
          <w:p w14:paraId="7336B890"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417</w:t>
            </w:r>
          </w:p>
        </w:tc>
        <w:tc>
          <w:tcPr>
            <w:tcW w:w="1106" w:type="dxa"/>
            <w:tcBorders>
              <w:top w:val="nil"/>
              <w:left w:val="nil"/>
              <w:bottom w:val="single" w:sz="8" w:space="0" w:color="auto"/>
              <w:right w:val="single" w:sz="8" w:space="0" w:color="auto"/>
            </w:tcBorders>
            <w:shd w:val="clear" w:color="auto" w:fill="auto"/>
            <w:vAlign w:val="center"/>
            <w:hideMark/>
          </w:tcPr>
          <w:p w14:paraId="15535FA1"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362.16</w:t>
            </w:r>
          </w:p>
        </w:tc>
        <w:tc>
          <w:tcPr>
            <w:tcW w:w="984" w:type="dxa"/>
            <w:tcBorders>
              <w:top w:val="nil"/>
              <w:left w:val="nil"/>
              <w:bottom w:val="single" w:sz="8" w:space="0" w:color="auto"/>
              <w:right w:val="single" w:sz="8" w:space="0" w:color="auto"/>
            </w:tcBorders>
            <w:shd w:val="clear" w:color="auto" w:fill="auto"/>
            <w:vAlign w:val="center"/>
            <w:hideMark/>
          </w:tcPr>
          <w:p w14:paraId="3A886BF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1.16</w:t>
            </w:r>
          </w:p>
        </w:tc>
        <w:tc>
          <w:tcPr>
            <w:tcW w:w="950" w:type="dxa"/>
            <w:tcBorders>
              <w:top w:val="nil"/>
              <w:left w:val="nil"/>
              <w:bottom w:val="single" w:sz="8" w:space="0" w:color="auto"/>
              <w:right w:val="single" w:sz="8" w:space="0" w:color="auto"/>
            </w:tcBorders>
            <w:shd w:val="clear" w:color="auto" w:fill="auto"/>
            <w:vAlign w:val="center"/>
            <w:hideMark/>
          </w:tcPr>
          <w:p w14:paraId="1EA1EF32"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62.1</w:t>
            </w:r>
          </w:p>
        </w:tc>
        <w:tc>
          <w:tcPr>
            <w:tcW w:w="1216" w:type="dxa"/>
            <w:tcBorders>
              <w:top w:val="nil"/>
              <w:left w:val="nil"/>
              <w:bottom w:val="single" w:sz="8" w:space="0" w:color="auto"/>
              <w:right w:val="single" w:sz="8" w:space="0" w:color="auto"/>
            </w:tcBorders>
            <w:shd w:val="clear" w:color="auto" w:fill="auto"/>
            <w:vAlign w:val="center"/>
            <w:hideMark/>
          </w:tcPr>
          <w:p w14:paraId="45620131"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9.61</w:t>
            </w:r>
          </w:p>
        </w:tc>
        <w:tc>
          <w:tcPr>
            <w:tcW w:w="896" w:type="dxa"/>
            <w:tcBorders>
              <w:top w:val="nil"/>
              <w:left w:val="nil"/>
              <w:bottom w:val="single" w:sz="8" w:space="0" w:color="auto"/>
              <w:right w:val="single" w:sz="8" w:space="0" w:color="auto"/>
            </w:tcBorders>
            <w:shd w:val="clear" w:color="auto" w:fill="auto"/>
            <w:vAlign w:val="center"/>
            <w:hideMark/>
          </w:tcPr>
          <w:p w14:paraId="5BD49F33" w14:textId="77777777" w:rsidR="00FE6AF1" w:rsidRPr="00FE6AF1" w:rsidRDefault="00FE6AF1" w:rsidP="00FE6AF1">
            <w:pPr>
              <w:spacing w:after="0" w:line="240" w:lineRule="auto"/>
              <w:jc w:val="center"/>
              <w:rPr>
                <w:rFonts w:ascii="Arial" w:eastAsia="Times New Roman" w:hAnsi="Arial" w:cs="Arial"/>
                <w:color w:val="000000"/>
                <w:kern w:val="0"/>
                <w:sz w:val="22"/>
                <w:szCs w:val="22"/>
                <w14:ligatures w14:val="none"/>
              </w:rPr>
            </w:pPr>
            <w:r w:rsidRPr="00FE6AF1">
              <w:rPr>
                <w:rFonts w:ascii="Arial" w:eastAsia="Times New Roman" w:hAnsi="Arial" w:cs="Arial"/>
                <w:color w:val="000000"/>
                <w:kern w:val="0"/>
                <w:sz w:val="22"/>
                <w:szCs w:val="22"/>
                <w14:ligatures w14:val="none"/>
              </w:rPr>
              <w:t>0.043</w:t>
            </w:r>
          </w:p>
        </w:tc>
        <w:tc>
          <w:tcPr>
            <w:tcW w:w="222" w:type="dxa"/>
            <w:vAlign w:val="center"/>
            <w:hideMark/>
          </w:tcPr>
          <w:p w14:paraId="06EC3EAC" w14:textId="77777777" w:rsidR="00FE6AF1" w:rsidRPr="00FE6AF1" w:rsidRDefault="00FE6AF1" w:rsidP="00FE6AF1">
            <w:pPr>
              <w:spacing w:after="0" w:line="240" w:lineRule="auto"/>
              <w:rPr>
                <w:rFonts w:ascii="Arial" w:eastAsia="Times New Roman" w:hAnsi="Arial" w:cs="Arial"/>
                <w:kern w:val="0"/>
                <w:sz w:val="22"/>
                <w:szCs w:val="22"/>
                <w14:ligatures w14:val="none"/>
              </w:rPr>
            </w:pPr>
          </w:p>
        </w:tc>
      </w:tr>
    </w:tbl>
    <w:p w14:paraId="11150C29" w14:textId="77777777" w:rsidR="00FE6AF1" w:rsidRPr="00DD596B" w:rsidRDefault="00FE6AF1" w:rsidP="00FE6AF1">
      <w:pPr>
        <w:rPr>
          <w:sz w:val="22"/>
          <w:szCs w:val="22"/>
        </w:rPr>
      </w:pPr>
    </w:p>
    <w:p w14:paraId="6CDB442A" w14:textId="215C4589" w:rsidR="00DD596B" w:rsidRPr="00161CD8" w:rsidRDefault="00161CD8" w:rsidP="00161CD8">
      <w:pPr>
        <w:jc w:val="both"/>
        <w:rPr>
          <w:rFonts w:ascii="Arial" w:hAnsi="Arial" w:cs="Arial"/>
          <w:sz w:val="22"/>
          <w:szCs w:val="22"/>
        </w:rPr>
      </w:pPr>
      <w:r w:rsidRPr="00161CD8">
        <w:rPr>
          <w:rFonts w:ascii="Arial" w:hAnsi="Arial" w:cs="Arial"/>
          <w:sz w:val="22"/>
          <w:szCs w:val="22"/>
        </w:rPr>
        <w:t>Table 4 represents results from our first logistic model for</w:t>
      </w:r>
      <w:r w:rsidR="009151A6">
        <w:rPr>
          <w:rFonts w:ascii="Arial" w:hAnsi="Arial" w:cs="Arial"/>
          <w:sz w:val="22"/>
          <w:szCs w:val="22"/>
        </w:rPr>
        <w:t xml:space="preserve"> </w:t>
      </w:r>
      <w:r w:rsidR="009151A6" w:rsidRPr="00161CD8">
        <w:rPr>
          <w:rFonts w:ascii="Arial" w:hAnsi="Arial" w:cs="Arial"/>
          <w:sz w:val="22"/>
          <w:szCs w:val="22"/>
        </w:rPr>
        <w:t>BMI</w:t>
      </w:r>
      <w:r w:rsidRPr="00161CD8">
        <w:rPr>
          <w:rFonts w:ascii="Arial" w:hAnsi="Arial" w:cs="Arial"/>
          <w:sz w:val="22"/>
          <w:szCs w:val="22"/>
        </w:rPr>
        <w:t xml:space="preserve"> and its associated factors, the results (</w:t>
      </w:r>
      <w:r w:rsidRPr="00161CD8">
        <w:rPr>
          <w:rFonts w:ascii="Arial" w:hAnsi="Arial" w:cs="Arial"/>
          <w:sz w:val="22"/>
          <w:szCs w:val="22"/>
        </w:rPr>
        <w:t xml:space="preserve">intercept = -3.26903) revealed several significant socio-demographic, economic, and geographic determinants of </w:t>
      </w:r>
      <w:r w:rsidR="009151A6">
        <w:rPr>
          <w:rFonts w:ascii="Arial" w:hAnsi="Arial" w:cs="Arial"/>
          <w:sz w:val="22"/>
          <w:szCs w:val="22"/>
        </w:rPr>
        <w:t xml:space="preserve">being </w:t>
      </w:r>
      <w:r w:rsidR="009151A6">
        <w:rPr>
          <w:rFonts w:ascii="Arial" w:hAnsi="Arial" w:cs="Arial"/>
          <w:sz w:val="22"/>
          <w:szCs w:val="22"/>
        </w:rPr>
        <w:t>obese/overweight</w:t>
      </w:r>
      <w:r w:rsidR="009151A6">
        <w:rPr>
          <w:rFonts w:ascii="Arial" w:hAnsi="Arial" w:cs="Arial"/>
          <w:sz w:val="22"/>
          <w:szCs w:val="22"/>
        </w:rPr>
        <w:t xml:space="preserve"> among</w:t>
      </w:r>
      <w:r w:rsidRPr="00161CD8">
        <w:rPr>
          <w:rFonts w:ascii="Arial" w:hAnsi="Arial" w:cs="Arial"/>
          <w:sz w:val="22"/>
          <w:szCs w:val="22"/>
        </w:rPr>
        <w:t xml:space="preserve"> study participants. </w:t>
      </w:r>
      <w:r w:rsidRPr="00161CD8">
        <w:rPr>
          <w:rFonts w:ascii="Arial" w:hAnsi="Arial" w:cs="Arial"/>
          <w:sz w:val="22"/>
          <w:szCs w:val="22"/>
        </w:rPr>
        <w:t xml:space="preserve">Gender shows </w:t>
      </w:r>
      <w:r w:rsidRPr="00161CD8">
        <w:rPr>
          <w:rFonts w:ascii="Arial" w:hAnsi="Arial" w:cs="Arial"/>
          <w:sz w:val="22"/>
          <w:szCs w:val="22"/>
        </w:rPr>
        <w:t xml:space="preserve">a </w:t>
      </w:r>
      <w:r w:rsidRPr="00161CD8">
        <w:rPr>
          <w:rFonts w:ascii="Arial" w:hAnsi="Arial" w:cs="Arial"/>
          <w:sz w:val="22"/>
          <w:szCs w:val="22"/>
        </w:rPr>
        <w:t xml:space="preserve">significant association, with females having 23% higher odds </w:t>
      </w:r>
      <w:r w:rsidRPr="00161CD8">
        <w:rPr>
          <w:rFonts w:ascii="Arial" w:hAnsi="Arial" w:cs="Arial"/>
          <w:sz w:val="22"/>
          <w:szCs w:val="22"/>
        </w:rPr>
        <w:t>of being obese/overweight</w:t>
      </w:r>
      <w:r w:rsidRPr="00161CD8">
        <w:rPr>
          <w:rFonts w:ascii="Arial" w:hAnsi="Arial" w:cs="Arial"/>
          <w:sz w:val="22"/>
          <w:szCs w:val="22"/>
        </w:rPr>
        <w:t xml:space="preserve"> compared to males (OR</w:t>
      </w:r>
      <w:r w:rsidRPr="00161CD8">
        <w:rPr>
          <w:rFonts w:ascii="Arial" w:hAnsi="Arial" w:cs="Arial"/>
          <w:sz w:val="22"/>
          <w:szCs w:val="22"/>
        </w:rPr>
        <w:t xml:space="preserve"> </w:t>
      </w:r>
      <w:r w:rsidRPr="00161CD8">
        <w:rPr>
          <w:rFonts w:ascii="Arial" w:hAnsi="Arial" w:cs="Arial"/>
          <w:sz w:val="22"/>
          <w:szCs w:val="22"/>
        </w:rPr>
        <w:t>1.23, 95% CI: 1.10-1.38, p&lt;0.001)</w:t>
      </w:r>
      <w:r w:rsidRPr="00161CD8">
        <w:rPr>
          <w:rFonts w:ascii="Arial" w:hAnsi="Arial" w:cs="Arial"/>
          <w:sz w:val="22"/>
          <w:szCs w:val="22"/>
        </w:rPr>
        <w:t xml:space="preserve">, Similarly, middle age grouped adults </w:t>
      </w:r>
      <w:r w:rsidRPr="00161CD8">
        <w:rPr>
          <w:rFonts w:ascii="Arial" w:hAnsi="Arial" w:cs="Arial"/>
          <w:sz w:val="22"/>
          <w:szCs w:val="22"/>
        </w:rPr>
        <w:t>40-59 years have 47% higher odds (OR</w:t>
      </w:r>
      <w:r w:rsidR="00BC629D">
        <w:rPr>
          <w:rFonts w:ascii="Arial" w:hAnsi="Arial" w:cs="Arial"/>
          <w:sz w:val="22"/>
          <w:szCs w:val="22"/>
        </w:rPr>
        <w:t xml:space="preserve"> </w:t>
      </w:r>
      <w:r w:rsidRPr="00161CD8">
        <w:rPr>
          <w:rFonts w:ascii="Arial" w:hAnsi="Arial" w:cs="Arial"/>
          <w:sz w:val="22"/>
          <w:szCs w:val="22"/>
        </w:rPr>
        <w:t xml:space="preserve">1.47, CI: 1.28-1.68, p&lt;0.001), while </w:t>
      </w:r>
      <w:r w:rsidRPr="00161CD8">
        <w:rPr>
          <w:rFonts w:ascii="Arial" w:hAnsi="Arial" w:cs="Arial"/>
          <w:sz w:val="22"/>
          <w:szCs w:val="22"/>
        </w:rPr>
        <w:t>old</w:t>
      </w:r>
      <w:r w:rsidRPr="00161CD8">
        <w:rPr>
          <w:rFonts w:ascii="Arial" w:hAnsi="Arial" w:cs="Arial"/>
          <w:sz w:val="22"/>
          <w:szCs w:val="22"/>
        </w:rPr>
        <w:t xml:space="preserve"> individuals 60+ years show 28% lower odds (OR</w:t>
      </w:r>
      <w:r w:rsidR="00BC629D">
        <w:rPr>
          <w:rFonts w:ascii="Arial" w:hAnsi="Arial" w:cs="Arial"/>
          <w:sz w:val="22"/>
          <w:szCs w:val="22"/>
        </w:rPr>
        <w:t xml:space="preserve"> </w:t>
      </w:r>
      <w:r w:rsidRPr="00161CD8">
        <w:rPr>
          <w:rFonts w:ascii="Arial" w:hAnsi="Arial" w:cs="Arial"/>
          <w:sz w:val="22"/>
          <w:szCs w:val="22"/>
        </w:rPr>
        <w:t xml:space="preserve">0.72, CI: 0.60-0.87, p=0.001) compared to </w:t>
      </w:r>
      <w:r w:rsidRPr="00161CD8">
        <w:rPr>
          <w:rFonts w:ascii="Arial" w:hAnsi="Arial" w:cs="Arial"/>
          <w:sz w:val="22"/>
          <w:szCs w:val="22"/>
        </w:rPr>
        <w:t>age group 16-39 years of being obese/overweight.</w:t>
      </w:r>
      <w:r w:rsidR="009151A6">
        <w:rPr>
          <w:rFonts w:ascii="Arial" w:hAnsi="Arial" w:cs="Arial"/>
          <w:sz w:val="22"/>
          <w:szCs w:val="22"/>
        </w:rPr>
        <w:t xml:space="preserve"> Being married showed remarkably higher odds OR 4.23 (3.52 – 5.08) compared to unmarried individuals, and being </w:t>
      </w:r>
      <w:r w:rsidR="009151A6" w:rsidRPr="009151A6">
        <w:rPr>
          <w:rFonts w:ascii="Arial" w:hAnsi="Arial" w:cs="Arial"/>
          <w:sz w:val="22"/>
          <w:szCs w:val="22"/>
        </w:rPr>
        <w:t>divorced/separated/widowed</w:t>
      </w:r>
      <w:r w:rsidR="009151A6">
        <w:rPr>
          <w:rFonts w:ascii="Arial" w:hAnsi="Arial" w:cs="Arial"/>
          <w:sz w:val="22"/>
          <w:szCs w:val="22"/>
        </w:rPr>
        <w:t xml:space="preserve"> also shows substantially higher odds of being obese/overweight with OR 3.58 (2.66-4.83) with p-value &lt;0.001.</w:t>
      </w:r>
    </w:p>
    <w:p w14:paraId="1FB81CFA" w14:textId="4249547B" w:rsidR="00161CD8" w:rsidRPr="00161CD8" w:rsidRDefault="009151A6" w:rsidP="00161CD8">
      <w:pPr>
        <w:jc w:val="both"/>
        <w:rPr>
          <w:rFonts w:ascii="Arial" w:hAnsi="Arial" w:cs="Arial"/>
          <w:sz w:val="22"/>
          <w:szCs w:val="22"/>
        </w:rPr>
      </w:pPr>
      <w:r>
        <w:rPr>
          <w:rFonts w:ascii="Arial" w:hAnsi="Arial" w:cs="Arial"/>
          <w:sz w:val="22"/>
          <w:szCs w:val="22"/>
        </w:rPr>
        <w:t>Furthermore, the model also revealed that having b</w:t>
      </w:r>
      <w:r w:rsidRPr="009151A6">
        <w:rPr>
          <w:rFonts w:ascii="Arial" w:hAnsi="Arial" w:cs="Arial"/>
          <w:sz w:val="22"/>
          <w:szCs w:val="22"/>
        </w:rPr>
        <w:t xml:space="preserve">asic education increases </w:t>
      </w:r>
      <w:r>
        <w:rPr>
          <w:rFonts w:ascii="Arial" w:hAnsi="Arial" w:cs="Arial"/>
          <w:sz w:val="22"/>
          <w:szCs w:val="22"/>
        </w:rPr>
        <w:t xml:space="preserve">the </w:t>
      </w:r>
      <w:r w:rsidRPr="009151A6">
        <w:rPr>
          <w:rFonts w:ascii="Arial" w:hAnsi="Arial" w:cs="Arial"/>
          <w:sz w:val="22"/>
          <w:szCs w:val="22"/>
        </w:rPr>
        <w:t xml:space="preserve">odds </w:t>
      </w:r>
      <w:r>
        <w:rPr>
          <w:rFonts w:ascii="Arial" w:hAnsi="Arial" w:cs="Arial"/>
          <w:sz w:val="22"/>
          <w:szCs w:val="22"/>
        </w:rPr>
        <w:t xml:space="preserve">of being obese/overweight </w:t>
      </w:r>
      <w:r w:rsidRPr="009151A6">
        <w:rPr>
          <w:rFonts w:ascii="Arial" w:hAnsi="Arial" w:cs="Arial"/>
          <w:sz w:val="22"/>
          <w:szCs w:val="22"/>
        </w:rPr>
        <w:t>by 30% (OR</w:t>
      </w:r>
      <w:r w:rsidR="00BC629D">
        <w:rPr>
          <w:rFonts w:ascii="Arial" w:hAnsi="Arial" w:cs="Arial"/>
          <w:sz w:val="22"/>
          <w:szCs w:val="22"/>
        </w:rPr>
        <w:t xml:space="preserve"> </w:t>
      </w:r>
      <w:r w:rsidRPr="009151A6">
        <w:rPr>
          <w:rFonts w:ascii="Arial" w:hAnsi="Arial" w:cs="Arial"/>
          <w:sz w:val="22"/>
          <w:szCs w:val="22"/>
        </w:rPr>
        <w:t>1.30, 95% CI: 1.13-1.51, p&lt;0.001)</w:t>
      </w:r>
      <w:r>
        <w:rPr>
          <w:rFonts w:ascii="Arial" w:hAnsi="Arial" w:cs="Arial"/>
          <w:sz w:val="22"/>
          <w:szCs w:val="22"/>
        </w:rPr>
        <w:t xml:space="preserve">, and having </w:t>
      </w:r>
      <w:r w:rsidRPr="009151A6">
        <w:rPr>
          <w:rFonts w:ascii="Arial" w:hAnsi="Arial" w:cs="Arial"/>
          <w:sz w:val="22"/>
          <w:szCs w:val="22"/>
        </w:rPr>
        <w:t xml:space="preserve">Secondary or higher education increases </w:t>
      </w:r>
      <w:r>
        <w:rPr>
          <w:rFonts w:ascii="Arial" w:hAnsi="Arial" w:cs="Arial"/>
          <w:sz w:val="22"/>
          <w:szCs w:val="22"/>
        </w:rPr>
        <w:t xml:space="preserve">the </w:t>
      </w:r>
      <w:r w:rsidRPr="009151A6">
        <w:rPr>
          <w:rFonts w:ascii="Arial" w:hAnsi="Arial" w:cs="Arial"/>
          <w:sz w:val="22"/>
          <w:szCs w:val="22"/>
        </w:rPr>
        <w:t xml:space="preserve">odds </w:t>
      </w:r>
      <w:r>
        <w:rPr>
          <w:rFonts w:ascii="Arial" w:hAnsi="Arial" w:cs="Arial"/>
          <w:sz w:val="22"/>
          <w:szCs w:val="22"/>
        </w:rPr>
        <w:t xml:space="preserve">of </w:t>
      </w:r>
      <w:r>
        <w:rPr>
          <w:rFonts w:ascii="Arial" w:hAnsi="Arial" w:cs="Arial"/>
          <w:sz w:val="22"/>
          <w:szCs w:val="22"/>
        </w:rPr>
        <w:t xml:space="preserve">obese/overweight </w:t>
      </w:r>
      <w:r w:rsidRPr="009151A6">
        <w:rPr>
          <w:rFonts w:ascii="Arial" w:hAnsi="Arial" w:cs="Arial"/>
          <w:sz w:val="22"/>
          <w:szCs w:val="22"/>
        </w:rPr>
        <w:t>by 52% (OR</w:t>
      </w:r>
      <w:r w:rsidR="00BC629D">
        <w:rPr>
          <w:rFonts w:ascii="Arial" w:hAnsi="Arial" w:cs="Arial"/>
          <w:sz w:val="22"/>
          <w:szCs w:val="22"/>
        </w:rPr>
        <w:t xml:space="preserve"> </w:t>
      </w:r>
      <w:r w:rsidRPr="009151A6">
        <w:rPr>
          <w:rFonts w:ascii="Arial" w:hAnsi="Arial" w:cs="Arial"/>
          <w:sz w:val="22"/>
          <w:szCs w:val="22"/>
        </w:rPr>
        <w:t>1.52, 95% CI: 1.28-1.81, p&lt;0.001)</w:t>
      </w:r>
      <w:r>
        <w:rPr>
          <w:rFonts w:ascii="Arial" w:hAnsi="Arial" w:cs="Arial"/>
          <w:sz w:val="22"/>
          <w:szCs w:val="22"/>
        </w:rPr>
        <w:t xml:space="preserve">. Being wealthy nearly doubled the odds of being obese/overweight and being rich demonstrates four times higher odds with </w:t>
      </w:r>
      <w:r w:rsidRPr="009151A6">
        <w:rPr>
          <w:rFonts w:ascii="Arial" w:hAnsi="Arial" w:cs="Arial"/>
          <w:sz w:val="22"/>
          <w:szCs w:val="22"/>
        </w:rPr>
        <w:t>OR</w:t>
      </w:r>
      <w:r>
        <w:rPr>
          <w:rFonts w:ascii="Arial" w:hAnsi="Arial" w:cs="Arial"/>
          <w:sz w:val="22"/>
          <w:szCs w:val="22"/>
        </w:rPr>
        <w:t xml:space="preserve"> </w:t>
      </w:r>
      <w:r w:rsidRPr="009151A6">
        <w:rPr>
          <w:rFonts w:ascii="Arial" w:hAnsi="Arial" w:cs="Arial"/>
          <w:sz w:val="22"/>
          <w:szCs w:val="22"/>
        </w:rPr>
        <w:t>4.09</w:t>
      </w:r>
      <w:r>
        <w:rPr>
          <w:rFonts w:ascii="Arial" w:hAnsi="Arial" w:cs="Arial"/>
          <w:sz w:val="22"/>
          <w:szCs w:val="22"/>
        </w:rPr>
        <w:t xml:space="preserve"> (</w:t>
      </w:r>
      <w:r w:rsidRPr="009151A6">
        <w:rPr>
          <w:rFonts w:ascii="Arial" w:hAnsi="Arial" w:cs="Arial"/>
          <w:sz w:val="22"/>
          <w:szCs w:val="22"/>
        </w:rPr>
        <w:t>3.52-4.74</w:t>
      </w:r>
      <w:r>
        <w:rPr>
          <w:rFonts w:ascii="Arial" w:hAnsi="Arial" w:cs="Arial"/>
          <w:sz w:val="22"/>
          <w:szCs w:val="22"/>
        </w:rPr>
        <w:t>) and</w:t>
      </w:r>
      <w:r w:rsidRPr="009151A6">
        <w:rPr>
          <w:rFonts w:ascii="Arial" w:hAnsi="Arial" w:cs="Arial"/>
          <w:sz w:val="22"/>
          <w:szCs w:val="22"/>
        </w:rPr>
        <w:t xml:space="preserve"> p&lt;0.001</w:t>
      </w:r>
      <w:r>
        <w:rPr>
          <w:rFonts w:ascii="Arial" w:hAnsi="Arial" w:cs="Arial"/>
          <w:sz w:val="22"/>
          <w:szCs w:val="22"/>
        </w:rPr>
        <w:t xml:space="preserve">. Moreover, hypertensive </w:t>
      </w:r>
      <w:r w:rsidR="009F0E5A">
        <w:rPr>
          <w:rFonts w:ascii="Arial" w:hAnsi="Arial" w:cs="Arial"/>
          <w:sz w:val="22"/>
          <w:szCs w:val="22"/>
        </w:rPr>
        <w:t>individuals</w:t>
      </w:r>
      <w:r>
        <w:rPr>
          <w:rFonts w:ascii="Arial" w:hAnsi="Arial" w:cs="Arial"/>
          <w:sz w:val="22"/>
          <w:szCs w:val="22"/>
        </w:rPr>
        <w:t xml:space="preserve"> </w:t>
      </w:r>
      <w:r w:rsidR="009F0E5A">
        <w:rPr>
          <w:rFonts w:ascii="Arial" w:hAnsi="Arial" w:cs="Arial"/>
          <w:sz w:val="22"/>
          <w:szCs w:val="22"/>
        </w:rPr>
        <w:t>show a statistically significant</w:t>
      </w:r>
      <w:r>
        <w:rPr>
          <w:rFonts w:ascii="Arial" w:hAnsi="Arial" w:cs="Arial"/>
          <w:sz w:val="22"/>
          <w:szCs w:val="22"/>
        </w:rPr>
        <w:t xml:space="preserve"> </w:t>
      </w:r>
      <w:r w:rsidR="009F0E5A" w:rsidRPr="009F0E5A">
        <w:rPr>
          <w:rFonts w:ascii="Arial" w:hAnsi="Arial" w:cs="Arial"/>
          <w:sz w:val="22"/>
          <w:szCs w:val="22"/>
        </w:rPr>
        <w:t>144% higher odds</w:t>
      </w:r>
      <w:r w:rsidR="009F0E5A">
        <w:rPr>
          <w:rFonts w:ascii="Arial" w:hAnsi="Arial" w:cs="Arial"/>
          <w:sz w:val="22"/>
          <w:szCs w:val="22"/>
        </w:rPr>
        <w:t xml:space="preserve"> of being obese/overweight with </w:t>
      </w:r>
      <w:r w:rsidR="009F0E5A" w:rsidRPr="009F0E5A">
        <w:rPr>
          <w:rFonts w:ascii="Arial" w:hAnsi="Arial" w:cs="Arial"/>
          <w:sz w:val="22"/>
          <w:szCs w:val="22"/>
        </w:rPr>
        <w:t>p&lt;0.001</w:t>
      </w:r>
      <w:r w:rsidR="009F0E5A">
        <w:rPr>
          <w:rFonts w:ascii="Arial" w:hAnsi="Arial" w:cs="Arial"/>
          <w:sz w:val="22"/>
          <w:szCs w:val="22"/>
        </w:rPr>
        <w:t xml:space="preserve">. Being a rural resident shows a protective effect with </w:t>
      </w:r>
      <w:r w:rsidR="009F0E5A" w:rsidRPr="009F0E5A">
        <w:rPr>
          <w:rFonts w:ascii="Arial" w:hAnsi="Arial" w:cs="Arial"/>
          <w:sz w:val="22"/>
          <w:szCs w:val="22"/>
        </w:rPr>
        <w:t xml:space="preserve">16% lower odds compared to urban residents </w:t>
      </w:r>
      <w:r w:rsidR="009F0E5A">
        <w:rPr>
          <w:rFonts w:ascii="Arial" w:hAnsi="Arial" w:cs="Arial"/>
          <w:sz w:val="22"/>
          <w:szCs w:val="22"/>
        </w:rPr>
        <w:t xml:space="preserve">of being obese/overweight with OR 0.84 (0.73-0.96) </w:t>
      </w:r>
      <w:r w:rsidR="00BC629D">
        <w:rPr>
          <w:rFonts w:ascii="Arial" w:hAnsi="Arial" w:cs="Arial"/>
          <w:sz w:val="22"/>
          <w:szCs w:val="22"/>
        </w:rPr>
        <w:t>p-value of</w:t>
      </w:r>
      <w:r w:rsidR="009F0E5A">
        <w:rPr>
          <w:rFonts w:ascii="Arial" w:hAnsi="Arial" w:cs="Arial"/>
          <w:sz w:val="22"/>
          <w:szCs w:val="22"/>
        </w:rPr>
        <w:t xml:space="preserve"> 0.012. Similarly, if we compare it to the terai region residing in a mountain region </w:t>
      </w:r>
      <w:r w:rsidR="009F0E5A" w:rsidRPr="009F0E5A">
        <w:rPr>
          <w:rFonts w:ascii="Arial" w:hAnsi="Arial" w:cs="Arial"/>
          <w:sz w:val="22"/>
          <w:szCs w:val="22"/>
        </w:rPr>
        <w:t>Mountain regions have 56% higher odds</w:t>
      </w:r>
      <w:r w:rsidR="009F0E5A">
        <w:rPr>
          <w:rFonts w:ascii="Arial" w:hAnsi="Arial" w:cs="Arial"/>
          <w:sz w:val="22"/>
          <w:szCs w:val="22"/>
        </w:rPr>
        <w:t xml:space="preserve"> of being obese/overweight with a statistically significant p-value of 0.002, and </w:t>
      </w:r>
      <w:r w:rsidR="009F0E5A" w:rsidRPr="009F0E5A">
        <w:rPr>
          <w:rFonts w:ascii="Arial" w:hAnsi="Arial" w:cs="Arial"/>
          <w:sz w:val="22"/>
          <w:szCs w:val="22"/>
        </w:rPr>
        <w:t>Hill regions show 94% higher odds (OR</w:t>
      </w:r>
      <w:r w:rsidR="00BC629D">
        <w:rPr>
          <w:rFonts w:ascii="Arial" w:hAnsi="Arial" w:cs="Arial"/>
          <w:sz w:val="22"/>
          <w:szCs w:val="22"/>
        </w:rPr>
        <w:t xml:space="preserve"> </w:t>
      </w:r>
      <w:r w:rsidR="009F0E5A" w:rsidRPr="009F0E5A">
        <w:rPr>
          <w:rFonts w:ascii="Arial" w:hAnsi="Arial" w:cs="Arial"/>
          <w:sz w:val="22"/>
          <w:szCs w:val="22"/>
        </w:rPr>
        <w:t>1.94, 95% CI: 1.68-2.24, p&lt;0.001)</w:t>
      </w:r>
      <w:r w:rsidR="009F0E5A">
        <w:rPr>
          <w:rFonts w:ascii="Arial" w:hAnsi="Arial" w:cs="Arial"/>
          <w:sz w:val="22"/>
          <w:szCs w:val="22"/>
        </w:rPr>
        <w:t xml:space="preserve">. </w:t>
      </w:r>
      <w:r w:rsidR="009F0E5A" w:rsidRPr="009F0E5A">
        <w:rPr>
          <w:rFonts w:ascii="Arial" w:hAnsi="Arial" w:cs="Arial"/>
          <w:sz w:val="22"/>
          <w:szCs w:val="22"/>
        </w:rPr>
        <w:t>These findings indicate that BMI status in Nepal is significantly influenced by multiple socio-demographic and geographic factors, with particularly strong associations observed for marital status, wealth category, and hypertension</w:t>
      </w:r>
      <w:r w:rsidR="009F0E5A">
        <w:rPr>
          <w:rFonts w:ascii="Arial" w:hAnsi="Arial" w:cs="Arial"/>
          <w:sz w:val="22"/>
          <w:szCs w:val="22"/>
        </w:rPr>
        <w:t>.</w:t>
      </w:r>
    </w:p>
    <w:p w14:paraId="62127576" w14:textId="77777777" w:rsidR="00DD596B" w:rsidRPr="00161CD8" w:rsidRDefault="00DD596B" w:rsidP="00161CD8">
      <w:pPr>
        <w:jc w:val="both"/>
        <w:rPr>
          <w:rFonts w:ascii="Arial" w:hAnsi="Arial" w:cs="Arial"/>
          <w:sz w:val="22"/>
          <w:szCs w:val="22"/>
        </w:rPr>
      </w:pPr>
    </w:p>
    <w:p w14:paraId="694596D0" w14:textId="77777777" w:rsidR="00DD596B" w:rsidRPr="00161CD8" w:rsidRDefault="00DD596B" w:rsidP="00161CD8">
      <w:pPr>
        <w:jc w:val="both"/>
        <w:rPr>
          <w:rFonts w:ascii="Arial" w:hAnsi="Arial" w:cs="Arial"/>
          <w:sz w:val="22"/>
          <w:szCs w:val="22"/>
        </w:rPr>
      </w:pPr>
    </w:p>
    <w:p w14:paraId="7604C365" w14:textId="77777777" w:rsidR="00DD596B" w:rsidRPr="00161CD8" w:rsidRDefault="00DD596B" w:rsidP="00161CD8">
      <w:pPr>
        <w:jc w:val="both"/>
        <w:rPr>
          <w:rFonts w:ascii="Arial" w:hAnsi="Arial" w:cs="Arial"/>
          <w:sz w:val="22"/>
          <w:szCs w:val="22"/>
        </w:rPr>
      </w:pPr>
    </w:p>
    <w:p w14:paraId="4B026521" w14:textId="77777777" w:rsidR="00DD596B" w:rsidRPr="00161CD8" w:rsidRDefault="00DD596B" w:rsidP="00161CD8">
      <w:pPr>
        <w:jc w:val="both"/>
        <w:rPr>
          <w:rFonts w:ascii="Arial" w:hAnsi="Arial" w:cs="Arial"/>
          <w:sz w:val="22"/>
          <w:szCs w:val="22"/>
        </w:rPr>
      </w:pPr>
    </w:p>
    <w:p w14:paraId="25B143BF" w14:textId="4AE61A5E" w:rsidR="00FE6AF1" w:rsidRPr="00161CD8" w:rsidRDefault="00DD596B" w:rsidP="00161CD8">
      <w:pPr>
        <w:pStyle w:val="Caption"/>
        <w:rPr>
          <w:rFonts w:ascii="Arial" w:hAnsi="Arial" w:cs="Arial"/>
          <w:b/>
          <w:bCs/>
          <w:color w:val="auto"/>
          <w:sz w:val="22"/>
          <w:szCs w:val="22"/>
        </w:rPr>
      </w:pPr>
      <w:r w:rsidRPr="00161CD8">
        <w:rPr>
          <w:rFonts w:ascii="Arial" w:hAnsi="Arial" w:cs="Arial"/>
          <w:b/>
          <w:bCs/>
          <w:color w:val="auto"/>
          <w:sz w:val="22"/>
          <w:szCs w:val="22"/>
        </w:rPr>
        <w:lastRenderedPageBreak/>
        <w:t xml:space="preserve">Table </w:t>
      </w:r>
      <w:r w:rsidRPr="00161CD8">
        <w:rPr>
          <w:rFonts w:ascii="Arial" w:hAnsi="Arial" w:cs="Arial"/>
          <w:b/>
          <w:bCs/>
          <w:color w:val="auto"/>
          <w:sz w:val="22"/>
          <w:szCs w:val="22"/>
        </w:rPr>
        <w:fldChar w:fldCharType="begin"/>
      </w:r>
      <w:r w:rsidRPr="00161CD8">
        <w:rPr>
          <w:rFonts w:ascii="Arial" w:hAnsi="Arial" w:cs="Arial"/>
          <w:b/>
          <w:bCs/>
          <w:color w:val="auto"/>
          <w:sz w:val="22"/>
          <w:szCs w:val="22"/>
        </w:rPr>
        <w:instrText xml:space="preserve"> SEQ Table \* ARABIC </w:instrText>
      </w:r>
      <w:r w:rsidRPr="00161CD8">
        <w:rPr>
          <w:rFonts w:ascii="Arial" w:hAnsi="Arial" w:cs="Arial"/>
          <w:b/>
          <w:bCs/>
          <w:color w:val="auto"/>
          <w:sz w:val="22"/>
          <w:szCs w:val="22"/>
        </w:rPr>
        <w:fldChar w:fldCharType="separate"/>
      </w:r>
      <w:r w:rsidR="00DF7F17">
        <w:rPr>
          <w:rFonts w:ascii="Arial" w:hAnsi="Arial" w:cs="Arial"/>
          <w:b/>
          <w:bCs/>
          <w:noProof/>
          <w:color w:val="auto"/>
          <w:sz w:val="22"/>
          <w:szCs w:val="22"/>
        </w:rPr>
        <w:t>4</w:t>
      </w:r>
      <w:r w:rsidRPr="00161CD8">
        <w:rPr>
          <w:rFonts w:ascii="Arial" w:hAnsi="Arial" w:cs="Arial"/>
          <w:b/>
          <w:bCs/>
          <w:color w:val="auto"/>
          <w:sz w:val="22"/>
          <w:szCs w:val="22"/>
        </w:rPr>
        <w:fldChar w:fldCharType="end"/>
      </w:r>
      <w:r w:rsidRPr="00161CD8">
        <w:rPr>
          <w:rFonts w:ascii="Arial" w:hAnsi="Arial" w:cs="Arial"/>
          <w:b/>
          <w:bCs/>
          <w:color w:val="auto"/>
          <w:sz w:val="22"/>
          <w:szCs w:val="22"/>
        </w:rPr>
        <w:t xml:space="preserve">  Logistic Regression </w:t>
      </w:r>
      <w:r w:rsidR="00161CD8" w:rsidRPr="00161CD8">
        <w:rPr>
          <w:rFonts w:ascii="Arial" w:hAnsi="Arial" w:cs="Arial"/>
          <w:b/>
          <w:bCs/>
          <w:color w:val="auto"/>
          <w:sz w:val="22"/>
          <w:szCs w:val="22"/>
        </w:rPr>
        <w:t>Results</w:t>
      </w:r>
      <w:r w:rsidRPr="00161CD8">
        <w:rPr>
          <w:rFonts w:ascii="Arial" w:hAnsi="Arial" w:cs="Arial"/>
          <w:b/>
          <w:bCs/>
          <w:color w:val="auto"/>
          <w:sz w:val="22"/>
          <w:szCs w:val="22"/>
        </w:rPr>
        <w:t xml:space="preserve"> </w:t>
      </w:r>
      <w:r w:rsidR="00161CD8" w:rsidRPr="00161CD8">
        <w:rPr>
          <w:rFonts w:ascii="Arial" w:hAnsi="Arial" w:cs="Arial"/>
          <w:b/>
          <w:bCs/>
          <w:color w:val="auto"/>
          <w:sz w:val="22"/>
          <w:szCs w:val="22"/>
        </w:rPr>
        <w:t>Factors Associated with High Body Mass Index</w:t>
      </w:r>
      <w:r w:rsidR="00161CD8" w:rsidRPr="00161CD8">
        <w:rPr>
          <w:rFonts w:ascii="Arial" w:hAnsi="Arial" w:cs="Arial"/>
          <w:b/>
          <w:bCs/>
          <w:color w:val="auto"/>
          <w:sz w:val="22"/>
          <w:szCs w:val="22"/>
        </w:rPr>
        <w:t xml:space="preserve"> (</w:t>
      </w:r>
      <w:r w:rsidRPr="00161CD8">
        <w:rPr>
          <w:rFonts w:ascii="Arial" w:hAnsi="Arial" w:cs="Arial"/>
          <w:b/>
          <w:bCs/>
          <w:color w:val="auto"/>
          <w:sz w:val="22"/>
          <w:szCs w:val="22"/>
        </w:rPr>
        <w:t>BMI</w:t>
      </w:r>
      <w:r w:rsidR="00161CD8" w:rsidRPr="00161CD8">
        <w:rPr>
          <w:rFonts w:ascii="Arial" w:hAnsi="Arial" w:cs="Arial"/>
          <w:b/>
          <w:bCs/>
          <w:color w:val="auto"/>
          <w:sz w:val="22"/>
          <w:szCs w:val="22"/>
        </w:rPr>
        <w:t>)</w:t>
      </w:r>
    </w:p>
    <w:tbl>
      <w:tblPr>
        <w:tblW w:w="8560" w:type="dxa"/>
        <w:tblLook w:val="04A0" w:firstRow="1" w:lastRow="0" w:firstColumn="1" w:lastColumn="0" w:noHBand="0" w:noVBand="1"/>
      </w:tblPr>
      <w:tblGrid>
        <w:gridCol w:w="4306"/>
        <w:gridCol w:w="1097"/>
        <w:gridCol w:w="2156"/>
        <w:gridCol w:w="1001"/>
      </w:tblGrid>
      <w:tr w:rsidR="00DD596B" w:rsidRPr="00DD596B" w14:paraId="64B51E3B"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0ADD3E8B" w14:textId="77777777" w:rsidR="00DD596B" w:rsidRPr="00DD596B" w:rsidRDefault="00DD596B" w:rsidP="00161CD8">
            <w:pPr>
              <w:jc w:val="both"/>
              <w:rPr>
                <w:rFonts w:ascii="Arial" w:hAnsi="Arial" w:cs="Arial"/>
                <w:sz w:val="22"/>
                <w:szCs w:val="22"/>
              </w:rPr>
            </w:pPr>
            <w:r w:rsidRPr="00DD596B">
              <w:rPr>
                <w:rFonts w:ascii="Arial" w:hAnsi="Arial" w:cs="Arial"/>
                <w:sz w:val="22"/>
                <w:szCs w:val="22"/>
              </w:rPr>
              <w:t>BMI Models Result</w:t>
            </w:r>
          </w:p>
        </w:tc>
      </w:tr>
      <w:tr w:rsidR="00DD596B" w:rsidRPr="00DD596B" w14:paraId="26297739"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13559F11"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Model Intercept</w:t>
            </w:r>
          </w:p>
        </w:tc>
        <w:tc>
          <w:tcPr>
            <w:tcW w:w="1097" w:type="dxa"/>
            <w:tcBorders>
              <w:top w:val="nil"/>
              <w:left w:val="nil"/>
              <w:bottom w:val="single" w:sz="4" w:space="0" w:color="auto"/>
              <w:right w:val="single" w:sz="4" w:space="0" w:color="auto"/>
            </w:tcBorders>
            <w:shd w:val="clear" w:color="auto" w:fill="auto"/>
            <w:noWrap/>
            <w:vAlign w:val="bottom"/>
            <w:hideMark/>
          </w:tcPr>
          <w:p w14:paraId="56C41CA7"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-3.26903</w:t>
            </w:r>
          </w:p>
        </w:tc>
        <w:tc>
          <w:tcPr>
            <w:tcW w:w="2156" w:type="dxa"/>
            <w:tcBorders>
              <w:top w:val="nil"/>
              <w:left w:val="nil"/>
              <w:bottom w:val="single" w:sz="4" w:space="0" w:color="auto"/>
              <w:right w:val="single" w:sz="4" w:space="0" w:color="auto"/>
            </w:tcBorders>
            <w:shd w:val="clear" w:color="000000" w:fill="FFFFFF"/>
            <w:noWrap/>
            <w:vAlign w:val="bottom"/>
            <w:hideMark/>
          </w:tcPr>
          <w:p w14:paraId="3C8C0577"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OR(95% CI)</w:t>
            </w:r>
          </w:p>
        </w:tc>
        <w:tc>
          <w:tcPr>
            <w:tcW w:w="1001" w:type="dxa"/>
            <w:tcBorders>
              <w:top w:val="nil"/>
              <w:left w:val="nil"/>
              <w:bottom w:val="single" w:sz="4" w:space="0" w:color="auto"/>
              <w:right w:val="single" w:sz="4" w:space="0" w:color="auto"/>
            </w:tcBorders>
            <w:shd w:val="clear" w:color="000000" w:fill="FFFFFF"/>
            <w:noWrap/>
            <w:vAlign w:val="bottom"/>
            <w:hideMark/>
          </w:tcPr>
          <w:p w14:paraId="62BA750E"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p-value</w:t>
            </w:r>
          </w:p>
        </w:tc>
      </w:tr>
      <w:tr w:rsidR="00DD596B" w:rsidRPr="00DD596B" w14:paraId="0C87D34D" w14:textId="77777777" w:rsidTr="00DD596B">
        <w:trPr>
          <w:trHeight w:val="280"/>
        </w:trPr>
        <w:tc>
          <w:tcPr>
            <w:tcW w:w="4306" w:type="dxa"/>
            <w:tcBorders>
              <w:top w:val="nil"/>
              <w:left w:val="single" w:sz="4" w:space="0" w:color="auto"/>
              <w:bottom w:val="single" w:sz="4" w:space="0" w:color="auto"/>
              <w:right w:val="single" w:sz="4" w:space="0" w:color="auto"/>
            </w:tcBorders>
            <w:shd w:val="clear" w:color="000000" w:fill="ADADAD"/>
            <w:noWrap/>
            <w:vAlign w:val="bottom"/>
            <w:hideMark/>
          </w:tcPr>
          <w:p w14:paraId="1FCF9715"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Gender</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9E3BE24" w14:textId="77777777" w:rsidR="00DD596B" w:rsidRPr="00DD596B" w:rsidRDefault="00DD596B" w:rsidP="00DD596B">
            <w:pPr>
              <w:spacing w:after="0" w:line="240" w:lineRule="auto"/>
              <w:jc w:val="center"/>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 </w:t>
            </w:r>
          </w:p>
        </w:tc>
        <w:tc>
          <w:tcPr>
            <w:tcW w:w="2156" w:type="dxa"/>
            <w:tcBorders>
              <w:top w:val="nil"/>
              <w:left w:val="nil"/>
              <w:bottom w:val="single" w:sz="4" w:space="0" w:color="auto"/>
              <w:right w:val="single" w:sz="4" w:space="0" w:color="auto"/>
            </w:tcBorders>
            <w:shd w:val="clear" w:color="000000" w:fill="ADADAD"/>
            <w:noWrap/>
            <w:vAlign w:val="bottom"/>
            <w:hideMark/>
          </w:tcPr>
          <w:p w14:paraId="31027027"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1001" w:type="dxa"/>
            <w:tcBorders>
              <w:top w:val="nil"/>
              <w:left w:val="nil"/>
              <w:bottom w:val="single" w:sz="4" w:space="0" w:color="auto"/>
              <w:right w:val="single" w:sz="4" w:space="0" w:color="auto"/>
            </w:tcBorders>
            <w:shd w:val="clear" w:color="000000" w:fill="ADADAD"/>
            <w:noWrap/>
            <w:vAlign w:val="bottom"/>
            <w:hideMark/>
          </w:tcPr>
          <w:p w14:paraId="4595526C" w14:textId="77777777" w:rsidR="00DD596B" w:rsidRPr="00DD596B" w:rsidRDefault="00DD596B" w:rsidP="00DD596B">
            <w:pPr>
              <w:spacing w:after="0" w:line="240" w:lineRule="auto"/>
              <w:jc w:val="right"/>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r>
      <w:tr w:rsidR="00DD596B" w:rsidRPr="00DD596B" w14:paraId="48E6CC51"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51C1F12F"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Male</w:t>
            </w:r>
          </w:p>
        </w:tc>
        <w:tc>
          <w:tcPr>
            <w:tcW w:w="1097" w:type="dxa"/>
            <w:vMerge/>
            <w:tcBorders>
              <w:top w:val="nil"/>
              <w:left w:val="single" w:sz="4" w:space="0" w:color="auto"/>
              <w:bottom w:val="single" w:sz="4" w:space="0" w:color="auto"/>
              <w:right w:val="single" w:sz="4" w:space="0" w:color="auto"/>
            </w:tcBorders>
            <w:vAlign w:val="center"/>
            <w:hideMark/>
          </w:tcPr>
          <w:p w14:paraId="184E8B77"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8492395"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786AF23F"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59391A50"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Female</w:t>
            </w:r>
          </w:p>
        </w:tc>
        <w:tc>
          <w:tcPr>
            <w:tcW w:w="1097" w:type="dxa"/>
            <w:vMerge/>
            <w:tcBorders>
              <w:top w:val="nil"/>
              <w:left w:val="single" w:sz="4" w:space="0" w:color="auto"/>
              <w:bottom w:val="single" w:sz="4" w:space="0" w:color="auto"/>
              <w:right w:val="single" w:sz="4" w:space="0" w:color="auto"/>
            </w:tcBorders>
            <w:vAlign w:val="center"/>
            <w:hideMark/>
          </w:tcPr>
          <w:p w14:paraId="7EB35590"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40E661BC"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1.23 (1.10–1.38)</w:t>
            </w:r>
          </w:p>
        </w:tc>
        <w:tc>
          <w:tcPr>
            <w:tcW w:w="1001" w:type="dxa"/>
            <w:tcBorders>
              <w:top w:val="nil"/>
              <w:left w:val="nil"/>
              <w:bottom w:val="single" w:sz="4" w:space="0" w:color="auto"/>
              <w:right w:val="single" w:sz="4" w:space="0" w:color="auto"/>
            </w:tcBorders>
            <w:shd w:val="clear" w:color="auto" w:fill="auto"/>
            <w:noWrap/>
            <w:vAlign w:val="bottom"/>
            <w:hideMark/>
          </w:tcPr>
          <w:p w14:paraId="61403CD7"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55B09253"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39DC5B8A"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Age Group</w:t>
            </w:r>
          </w:p>
        </w:tc>
      </w:tr>
      <w:tr w:rsidR="00DD596B" w:rsidRPr="00DD596B" w14:paraId="3AEC75FA"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71EA6825"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16-39</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AA4628"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249F7"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53481EF0"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1C76CB38"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40-59</w:t>
            </w:r>
          </w:p>
        </w:tc>
        <w:tc>
          <w:tcPr>
            <w:tcW w:w="1097" w:type="dxa"/>
            <w:vMerge/>
            <w:tcBorders>
              <w:top w:val="nil"/>
              <w:left w:val="single" w:sz="4" w:space="0" w:color="auto"/>
              <w:bottom w:val="single" w:sz="4" w:space="0" w:color="auto"/>
              <w:right w:val="single" w:sz="4" w:space="0" w:color="auto"/>
            </w:tcBorders>
            <w:vAlign w:val="center"/>
            <w:hideMark/>
          </w:tcPr>
          <w:p w14:paraId="145EDD31"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16585CF9"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1.47 (1.28–1.68)</w:t>
            </w:r>
          </w:p>
        </w:tc>
        <w:tc>
          <w:tcPr>
            <w:tcW w:w="1001" w:type="dxa"/>
            <w:tcBorders>
              <w:top w:val="nil"/>
              <w:left w:val="nil"/>
              <w:bottom w:val="single" w:sz="4" w:space="0" w:color="auto"/>
              <w:right w:val="single" w:sz="4" w:space="0" w:color="auto"/>
            </w:tcBorders>
            <w:shd w:val="clear" w:color="auto" w:fill="auto"/>
            <w:noWrap/>
            <w:vAlign w:val="bottom"/>
            <w:hideMark/>
          </w:tcPr>
          <w:p w14:paraId="56F36A76"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76CB5B4F"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10D7B083"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60+</w:t>
            </w:r>
          </w:p>
        </w:tc>
        <w:tc>
          <w:tcPr>
            <w:tcW w:w="1097" w:type="dxa"/>
            <w:vMerge/>
            <w:tcBorders>
              <w:top w:val="nil"/>
              <w:left w:val="single" w:sz="4" w:space="0" w:color="auto"/>
              <w:bottom w:val="single" w:sz="4" w:space="0" w:color="auto"/>
              <w:right w:val="single" w:sz="4" w:space="0" w:color="auto"/>
            </w:tcBorders>
            <w:vAlign w:val="center"/>
            <w:hideMark/>
          </w:tcPr>
          <w:p w14:paraId="3D9B4477"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089E6FE3"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0.72 (0.60–0.87)</w:t>
            </w:r>
          </w:p>
        </w:tc>
        <w:tc>
          <w:tcPr>
            <w:tcW w:w="1001" w:type="dxa"/>
            <w:tcBorders>
              <w:top w:val="nil"/>
              <w:left w:val="nil"/>
              <w:bottom w:val="single" w:sz="4" w:space="0" w:color="auto"/>
              <w:right w:val="single" w:sz="4" w:space="0" w:color="auto"/>
            </w:tcBorders>
            <w:shd w:val="clear" w:color="auto" w:fill="auto"/>
            <w:noWrap/>
            <w:vAlign w:val="bottom"/>
            <w:hideMark/>
          </w:tcPr>
          <w:p w14:paraId="41370519"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0.001</w:t>
            </w:r>
          </w:p>
        </w:tc>
      </w:tr>
      <w:tr w:rsidR="00DD596B" w:rsidRPr="00DD596B" w14:paraId="6C2F4A90"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727ACD9F"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Marital Status</w:t>
            </w:r>
          </w:p>
        </w:tc>
      </w:tr>
      <w:tr w:rsidR="00DD596B" w:rsidRPr="00DD596B" w14:paraId="5AC43381"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6D4C759D"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Unmarried</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948F941"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8EF7C5"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0E12E38E"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33F8CE48"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Married</w:t>
            </w:r>
          </w:p>
        </w:tc>
        <w:tc>
          <w:tcPr>
            <w:tcW w:w="1097" w:type="dxa"/>
            <w:vMerge/>
            <w:tcBorders>
              <w:top w:val="nil"/>
              <w:left w:val="single" w:sz="4" w:space="0" w:color="auto"/>
              <w:bottom w:val="single" w:sz="4" w:space="0" w:color="auto"/>
              <w:right w:val="single" w:sz="4" w:space="0" w:color="auto"/>
            </w:tcBorders>
            <w:vAlign w:val="center"/>
            <w:hideMark/>
          </w:tcPr>
          <w:p w14:paraId="6B0E61A4"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21C4C757"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4.23 (3.52–5.08)</w:t>
            </w:r>
          </w:p>
        </w:tc>
        <w:tc>
          <w:tcPr>
            <w:tcW w:w="1001" w:type="dxa"/>
            <w:tcBorders>
              <w:top w:val="nil"/>
              <w:left w:val="nil"/>
              <w:bottom w:val="single" w:sz="4" w:space="0" w:color="auto"/>
              <w:right w:val="single" w:sz="4" w:space="0" w:color="auto"/>
            </w:tcBorders>
            <w:shd w:val="clear" w:color="auto" w:fill="auto"/>
            <w:noWrap/>
            <w:vAlign w:val="bottom"/>
            <w:hideMark/>
          </w:tcPr>
          <w:p w14:paraId="15202AB3"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50E0A9A8"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05B07FDA"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Divorced/Separated/Widowed</w:t>
            </w:r>
          </w:p>
        </w:tc>
        <w:tc>
          <w:tcPr>
            <w:tcW w:w="1097" w:type="dxa"/>
            <w:vMerge/>
            <w:tcBorders>
              <w:top w:val="nil"/>
              <w:left w:val="single" w:sz="4" w:space="0" w:color="auto"/>
              <w:bottom w:val="single" w:sz="4" w:space="0" w:color="auto"/>
              <w:right w:val="single" w:sz="4" w:space="0" w:color="auto"/>
            </w:tcBorders>
            <w:vAlign w:val="center"/>
            <w:hideMark/>
          </w:tcPr>
          <w:p w14:paraId="5F2589B0"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3E200752"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3.58 (2.66–4.83)</w:t>
            </w:r>
          </w:p>
        </w:tc>
        <w:tc>
          <w:tcPr>
            <w:tcW w:w="1001" w:type="dxa"/>
            <w:tcBorders>
              <w:top w:val="nil"/>
              <w:left w:val="nil"/>
              <w:bottom w:val="single" w:sz="4" w:space="0" w:color="auto"/>
              <w:right w:val="single" w:sz="4" w:space="0" w:color="auto"/>
            </w:tcBorders>
            <w:shd w:val="clear" w:color="auto" w:fill="auto"/>
            <w:noWrap/>
            <w:vAlign w:val="bottom"/>
            <w:hideMark/>
          </w:tcPr>
          <w:p w14:paraId="6DC59B38"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0FF8281A"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55D964AD"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Education</w:t>
            </w:r>
          </w:p>
        </w:tc>
      </w:tr>
      <w:tr w:rsidR="00DD596B" w:rsidRPr="00DD596B" w14:paraId="4D157F83"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3E272C76"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No education</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E17B7D"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4B5556"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7EC2189D"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4CC99211"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Basic Education (1 - 8)</w:t>
            </w:r>
          </w:p>
        </w:tc>
        <w:tc>
          <w:tcPr>
            <w:tcW w:w="1097" w:type="dxa"/>
            <w:vMerge/>
            <w:tcBorders>
              <w:top w:val="nil"/>
              <w:left w:val="single" w:sz="4" w:space="0" w:color="auto"/>
              <w:bottom w:val="single" w:sz="4" w:space="0" w:color="auto"/>
              <w:right w:val="single" w:sz="4" w:space="0" w:color="auto"/>
            </w:tcBorders>
            <w:vAlign w:val="center"/>
            <w:hideMark/>
          </w:tcPr>
          <w:p w14:paraId="6BF568F8"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40C8E748"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 xml:space="preserve">1.30 (1.13–1.51) </w:t>
            </w:r>
          </w:p>
        </w:tc>
        <w:tc>
          <w:tcPr>
            <w:tcW w:w="1001" w:type="dxa"/>
            <w:tcBorders>
              <w:top w:val="nil"/>
              <w:left w:val="nil"/>
              <w:bottom w:val="single" w:sz="4" w:space="0" w:color="auto"/>
              <w:right w:val="single" w:sz="4" w:space="0" w:color="auto"/>
            </w:tcBorders>
            <w:shd w:val="clear" w:color="auto" w:fill="auto"/>
            <w:noWrap/>
            <w:vAlign w:val="bottom"/>
            <w:hideMark/>
          </w:tcPr>
          <w:p w14:paraId="765D924A"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64059EC6"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7737496D"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Secondary or Higher ( 9 and above)</w:t>
            </w:r>
          </w:p>
        </w:tc>
        <w:tc>
          <w:tcPr>
            <w:tcW w:w="1097" w:type="dxa"/>
            <w:vMerge/>
            <w:tcBorders>
              <w:top w:val="nil"/>
              <w:left w:val="single" w:sz="4" w:space="0" w:color="auto"/>
              <w:bottom w:val="single" w:sz="4" w:space="0" w:color="auto"/>
              <w:right w:val="single" w:sz="4" w:space="0" w:color="auto"/>
            </w:tcBorders>
            <w:vAlign w:val="center"/>
            <w:hideMark/>
          </w:tcPr>
          <w:p w14:paraId="1F08C752"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2ED35DD8"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1.52 (1.28 – 1.81)</w:t>
            </w:r>
          </w:p>
        </w:tc>
        <w:tc>
          <w:tcPr>
            <w:tcW w:w="1001" w:type="dxa"/>
            <w:tcBorders>
              <w:top w:val="nil"/>
              <w:left w:val="nil"/>
              <w:bottom w:val="single" w:sz="4" w:space="0" w:color="auto"/>
              <w:right w:val="single" w:sz="4" w:space="0" w:color="auto"/>
            </w:tcBorders>
            <w:shd w:val="clear" w:color="auto" w:fill="auto"/>
            <w:noWrap/>
            <w:vAlign w:val="bottom"/>
            <w:hideMark/>
          </w:tcPr>
          <w:p w14:paraId="7DC40520"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5C5AD45A"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46A8FF66"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Wealth Category</w:t>
            </w:r>
          </w:p>
        </w:tc>
      </w:tr>
      <w:tr w:rsidR="00DD596B" w:rsidRPr="00DD596B" w14:paraId="32715FDF"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23917AE8"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Poor</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F24D393"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D57834"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1E3D1540"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4277C6F4"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Middle</w:t>
            </w:r>
          </w:p>
        </w:tc>
        <w:tc>
          <w:tcPr>
            <w:tcW w:w="1097" w:type="dxa"/>
            <w:vMerge/>
            <w:tcBorders>
              <w:top w:val="nil"/>
              <w:left w:val="single" w:sz="4" w:space="0" w:color="auto"/>
              <w:bottom w:val="single" w:sz="4" w:space="0" w:color="auto"/>
              <w:right w:val="single" w:sz="4" w:space="0" w:color="auto"/>
            </w:tcBorders>
            <w:vAlign w:val="center"/>
            <w:hideMark/>
          </w:tcPr>
          <w:p w14:paraId="0818496C"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26C5725A"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1.97 (1.69–2.31)</w:t>
            </w:r>
          </w:p>
        </w:tc>
        <w:tc>
          <w:tcPr>
            <w:tcW w:w="1001" w:type="dxa"/>
            <w:tcBorders>
              <w:top w:val="nil"/>
              <w:left w:val="nil"/>
              <w:bottom w:val="single" w:sz="4" w:space="0" w:color="auto"/>
              <w:right w:val="single" w:sz="4" w:space="0" w:color="auto"/>
            </w:tcBorders>
            <w:shd w:val="clear" w:color="auto" w:fill="auto"/>
            <w:noWrap/>
            <w:vAlign w:val="bottom"/>
            <w:hideMark/>
          </w:tcPr>
          <w:p w14:paraId="7FC0B06C"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1D759BCA"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2864EF06"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Rich</w:t>
            </w:r>
          </w:p>
        </w:tc>
        <w:tc>
          <w:tcPr>
            <w:tcW w:w="1097" w:type="dxa"/>
            <w:vMerge/>
            <w:tcBorders>
              <w:top w:val="nil"/>
              <w:left w:val="single" w:sz="4" w:space="0" w:color="auto"/>
              <w:bottom w:val="single" w:sz="4" w:space="0" w:color="auto"/>
              <w:right w:val="single" w:sz="4" w:space="0" w:color="auto"/>
            </w:tcBorders>
            <w:vAlign w:val="center"/>
            <w:hideMark/>
          </w:tcPr>
          <w:p w14:paraId="43328A8D"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04FA271B"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4.09 (3.52 – 4.74)</w:t>
            </w:r>
          </w:p>
        </w:tc>
        <w:tc>
          <w:tcPr>
            <w:tcW w:w="1001" w:type="dxa"/>
            <w:tcBorders>
              <w:top w:val="nil"/>
              <w:left w:val="nil"/>
              <w:bottom w:val="single" w:sz="4" w:space="0" w:color="auto"/>
              <w:right w:val="single" w:sz="4" w:space="0" w:color="auto"/>
            </w:tcBorders>
            <w:shd w:val="clear" w:color="auto" w:fill="auto"/>
            <w:noWrap/>
            <w:vAlign w:val="bottom"/>
            <w:hideMark/>
          </w:tcPr>
          <w:p w14:paraId="0BBAEF28"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74683434"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43E64815"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Blood Pressure</w:t>
            </w:r>
          </w:p>
        </w:tc>
      </w:tr>
      <w:tr w:rsidR="00DD596B" w:rsidRPr="00DD596B" w14:paraId="630CD465"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5CA7A247"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Normal</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6097382"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3A1036A"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1ECD0CFB"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7E3D0D31"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Hypertensive</w:t>
            </w:r>
          </w:p>
        </w:tc>
        <w:tc>
          <w:tcPr>
            <w:tcW w:w="1097" w:type="dxa"/>
            <w:vMerge/>
            <w:tcBorders>
              <w:top w:val="nil"/>
              <w:left w:val="single" w:sz="4" w:space="0" w:color="auto"/>
              <w:bottom w:val="single" w:sz="4" w:space="0" w:color="auto"/>
              <w:right w:val="single" w:sz="4" w:space="0" w:color="auto"/>
            </w:tcBorders>
            <w:vAlign w:val="center"/>
            <w:hideMark/>
          </w:tcPr>
          <w:p w14:paraId="072FFD3A"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57124740"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2.44 (2.20–2.71)</w:t>
            </w:r>
          </w:p>
        </w:tc>
        <w:tc>
          <w:tcPr>
            <w:tcW w:w="1001" w:type="dxa"/>
            <w:tcBorders>
              <w:top w:val="nil"/>
              <w:left w:val="nil"/>
              <w:bottom w:val="single" w:sz="4" w:space="0" w:color="auto"/>
              <w:right w:val="single" w:sz="4" w:space="0" w:color="auto"/>
            </w:tcBorders>
            <w:shd w:val="clear" w:color="auto" w:fill="auto"/>
            <w:noWrap/>
            <w:vAlign w:val="bottom"/>
            <w:hideMark/>
          </w:tcPr>
          <w:p w14:paraId="73445064"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r w:rsidR="00DD596B" w:rsidRPr="00DD596B" w14:paraId="7E3526DE"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3B77CE61"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Residency Region</w:t>
            </w:r>
          </w:p>
        </w:tc>
      </w:tr>
      <w:tr w:rsidR="00DD596B" w:rsidRPr="00DD596B" w14:paraId="43D8EF40"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5821055D"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Urban</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5D79E3A" w14:textId="77777777" w:rsidR="00DD596B" w:rsidRPr="00DD596B" w:rsidRDefault="00DD596B" w:rsidP="00DD596B">
            <w:pPr>
              <w:spacing w:after="0" w:line="240" w:lineRule="auto"/>
              <w:jc w:val="center"/>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DDB797"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4E8E12BB"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745F4A74"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Rural</w:t>
            </w:r>
          </w:p>
        </w:tc>
        <w:tc>
          <w:tcPr>
            <w:tcW w:w="1097" w:type="dxa"/>
            <w:vMerge/>
            <w:tcBorders>
              <w:top w:val="nil"/>
              <w:left w:val="single" w:sz="4" w:space="0" w:color="auto"/>
              <w:bottom w:val="single" w:sz="4" w:space="0" w:color="auto"/>
              <w:right w:val="single" w:sz="4" w:space="0" w:color="auto"/>
            </w:tcBorders>
            <w:vAlign w:val="center"/>
            <w:hideMark/>
          </w:tcPr>
          <w:p w14:paraId="06B84D0A"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677026B6"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0.84 (0.73–0.96)</w:t>
            </w:r>
          </w:p>
        </w:tc>
        <w:tc>
          <w:tcPr>
            <w:tcW w:w="1001" w:type="dxa"/>
            <w:tcBorders>
              <w:top w:val="nil"/>
              <w:left w:val="nil"/>
              <w:bottom w:val="single" w:sz="4" w:space="0" w:color="auto"/>
              <w:right w:val="single" w:sz="4" w:space="0" w:color="auto"/>
            </w:tcBorders>
            <w:shd w:val="clear" w:color="auto" w:fill="auto"/>
            <w:noWrap/>
            <w:vAlign w:val="bottom"/>
            <w:hideMark/>
          </w:tcPr>
          <w:p w14:paraId="548A0927"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0.012</w:t>
            </w:r>
          </w:p>
        </w:tc>
      </w:tr>
      <w:tr w:rsidR="00DD596B" w:rsidRPr="00DD596B" w14:paraId="08EB02FE" w14:textId="77777777" w:rsidTr="00DD596B">
        <w:trPr>
          <w:trHeight w:val="280"/>
        </w:trPr>
        <w:tc>
          <w:tcPr>
            <w:tcW w:w="856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3B71698C"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Ecological Region</w:t>
            </w:r>
          </w:p>
        </w:tc>
      </w:tr>
      <w:tr w:rsidR="00DD596B" w:rsidRPr="00DD596B" w14:paraId="00698098" w14:textId="77777777" w:rsidTr="00DD596B">
        <w:trPr>
          <w:trHeight w:val="28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3ADE89AA"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Terai</w:t>
            </w:r>
          </w:p>
        </w:tc>
        <w:tc>
          <w:tcPr>
            <w:tcW w:w="1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6540BDD" w14:textId="77777777" w:rsidR="00DD596B" w:rsidRPr="00DD596B" w:rsidRDefault="00DD596B" w:rsidP="00DD596B">
            <w:pPr>
              <w:spacing w:after="0" w:line="240" w:lineRule="auto"/>
              <w:jc w:val="center"/>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 </w:t>
            </w:r>
          </w:p>
        </w:tc>
        <w:tc>
          <w:tcPr>
            <w:tcW w:w="31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57CD3D" w14:textId="77777777" w:rsidR="00DD596B" w:rsidRPr="00DD596B" w:rsidRDefault="00DD596B" w:rsidP="00DD596B">
            <w:pPr>
              <w:spacing w:after="0" w:line="240" w:lineRule="auto"/>
              <w:rPr>
                <w:rFonts w:ascii="Arial" w:eastAsia="Times New Roman" w:hAnsi="Arial" w:cs="Arial"/>
                <w:b/>
                <w:bCs/>
                <w:color w:val="000000"/>
                <w:kern w:val="0"/>
                <w:sz w:val="22"/>
                <w:szCs w:val="22"/>
                <w14:ligatures w14:val="none"/>
              </w:rPr>
            </w:pPr>
            <w:r w:rsidRPr="00DD596B">
              <w:rPr>
                <w:rFonts w:ascii="Arial" w:eastAsia="Times New Roman" w:hAnsi="Arial" w:cs="Arial"/>
                <w:b/>
                <w:bCs/>
                <w:color w:val="000000"/>
                <w:kern w:val="0"/>
                <w:sz w:val="22"/>
                <w:szCs w:val="22"/>
                <w14:ligatures w14:val="none"/>
              </w:rPr>
              <w:t>Ref</w:t>
            </w:r>
          </w:p>
        </w:tc>
      </w:tr>
      <w:tr w:rsidR="00DD596B" w:rsidRPr="00DD596B" w14:paraId="7C53FF1C"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6A76FC1E"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Mountain</w:t>
            </w:r>
          </w:p>
        </w:tc>
        <w:tc>
          <w:tcPr>
            <w:tcW w:w="1097" w:type="dxa"/>
            <w:vMerge/>
            <w:tcBorders>
              <w:top w:val="nil"/>
              <w:left w:val="single" w:sz="4" w:space="0" w:color="auto"/>
              <w:bottom w:val="single" w:sz="4" w:space="0" w:color="auto"/>
              <w:right w:val="single" w:sz="4" w:space="0" w:color="auto"/>
            </w:tcBorders>
            <w:vAlign w:val="center"/>
            <w:hideMark/>
          </w:tcPr>
          <w:p w14:paraId="71B2EDE1"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785CB6F0"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1.56 (1.18–2.05)</w:t>
            </w:r>
          </w:p>
        </w:tc>
        <w:tc>
          <w:tcPr>
            <w:tcW w:w="1001" w:type="dxa"/>
            <w:tcBorders>
              <w:top w:val="nil"/>
              <w:left w:val="nil"/>
              <w:bottom w:val="single" w:sz="4" w:space="0" w:color="auto"/>
              <w:right w:val="single" w:sz="4" w:space="0" w:color="auto"/>
            </w:tcBorders>
            <w:shd w:val="clear" w:color="auto" w:fill="auto"/>
            <w:noWrap/>
            <w:vAlign w:val="bottom"/>
            <w:hideMark/>
          </w:tcPr>
          <w:p w14:paraId="17E30C1A"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0.002</w:t>
            </w:r>
          </w:p>
        </w:tc>
      </w:tr>
      <w:tr w:rsidR="00DD596B" w:rsidRPr="00DD596B" w14:paraId="00472F2D" w14:textId="77777777" w:rsidTr="00DD596B">
        <w:trPr>
          <w:trHeight w:val="350"/>
        </w:trPr>
        <w:tc>
          <w:tcPr>
            <w:tcW w:w="4306" w:type="dxa"/>
            <w:tcBorders>
              <w:top w:val="nil"/>
              <w:left w:val="single" w:sz="4" w:space="0" w:color="auto"/>
              <w:bottom w:val="single" w:sz="4" w:space="0" w:color="auto"/>
              <w:right w:val="single" w:sz="4" w:space="0" w:color="auto"/>
            </w:tcBorders>
            <w:shd w:val="clear" w:color="auto" w:fill="auto"/>
            <w:noWrap/>
            <w:vAlign w:val="bottom"/>
            <w:hideMark/>
          </w:tcPr>
          <w:p w14:paraId="3D6EC1D2"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Hill</w:t>
            </w:r>
          </w:p>
        </w:tc>
        <w:tc>
          <w:tcPr>
            <w:tcW w:w="1097" w:type="dxa"/>
            <w:vMerge/>
            <w:tcBorders>
              <w:top w:val="nil"/>
              <w:left w:val="single" w:sz="4" w:space="0" w:color="auto"/>
              <w:bottom w:val="single" w:sz="4" w:space="0" w:color="auto"/>
              <w:right w:val="single" w:sz="4" w:space="0" w:color="auto"/>
            </w:tcBorders>
            <w:vAlign w:val="center"/>
            <w:hideMark/>
          </w:tcPr>
          <w:p w14:paraId="5D0E5773"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p>
        </w:tc>
        <w:tc>
          <w:tcPr>
            <w:tcW w:w="2156" w:type="dxa"/>
            <w:tcBorders>
              <w:top w:val="nil"/>
              <w:left w:val="nil"/>
              <w:bottom w:val="single" w:sz="4" w:space="0" w:color="auto"/>
              <w:right w:val="single" w:sz="4" w:space="0" w:color="auto"/>
            </w:tcBorders>
            <w:shd w:val="clear" w:color="auto" w:fill="auto"/>
            <w:noWrap/>
            <w:vAlign w:val="bottom"/>
            <w:hideMark/>
          </w:tcPr>
          <w:p w14:paraId="0A3DBF88" w14:textId="77777777" w:rsidR="00DD596B" w:rsidRPr="00DD596B" w:rsidRDefault="00DD596B" w:rsidP="00DD596B">
            <w:pPr>
              <w:spacing w:after="0" w:line="240" w:lineRule="auto"/>
              <w:rPr>
                <w:rFonts w:ascii="Arial" w:eastAsia="Times New Roman" w:hAnsi="Arial" w:cs="Arial"/>
                <w:color w:val="000000"/>
                <w:kern w:val="0"/>
                <w:sz w:val="22"/>
                <w:szCs w:val="22"/>
                <w14:ligatures w14:val="none"/>
              </w:rPr>
            </w:pPr>
            <w:r w:rsidRPr="00DD596B">
              <w:rPr>
                <w:rFonts w:ascii="Arial" w:eastAsia="Times New Roman" w:hAnsi="Arial" w:cs="Arial"/>
                <w:color w:val="000000"/>
                <w:kern w:val="0"/>
                <w:sz w:val="22"/>
                <w:szCs w:val="22"/>
                <w14:ligatures w14:val="none"/>
              </w:rPr>
              <w:t>1.94 (1.68–2.24)</w:t>
            </w:r>
          </w:p>
        </w:tc>
        <w:tc>
          <w:tcPr>
            <w:tcW w:w="1001" w:type="dxa"/>
            <w:tcBorders>
              <w:top w:val="nil"/>
              <w:left w:val="nil"/>
              <w:bottom w:val="single" w:sz="4" w:space="0" w:color="auto"/>
              <w:right w:val="single" w:sz="4" w:space="0" w:color="auto"/>
            </w:tcBorders>
            <w:shd w:val="clear" w:color="auto" w:fill="auto"/>
            <w:noWrap/>
            <w:vAlign w:val="bottom"/>
            <w:hideMark/>
          </w:tcPr>
          <w:p w14:paraId="7DE97555" w14:textId="77777777" w:rsidR="00DD596B" w:rsidRPr="00DD596B" w:rsidRDefault="00DD596B" w:rsidP="00DD596B">
            <w:pPr>
              <w:spacing w:after="0" w:line="240" w:lineRule="auto"/>
              <w:jc w:val="right"/>
              <w:rPr>
                <w:rFonts w:ascii="Times New Roman" w:eastAsia="Times New Roman" w:hAnsi="Times New Roman" w:cs="Times New Roman"/>
                <w:b/>
                <w:bCs/>
                <w:color w:val="000000"/>
                <w:kern w:val="0"/>
                <w:sz w:val="22"/>
                <w:szCs w:val="22"/>
                <w14:ligatures w14:val="none"/>
              </w:rPr>
            </w:pPr>
            <w:r w:rsidRPr="00DD596B">
              <w:rPr>
                <w:rFonts w:ascii="Times New Roman" w:eastAsia="Times New Roman" w:hAnsi="Times New Roman" w:cs="Times New Roman"/>
                <w:b/>
                <w:bCs/>
                <w:color w:val="000000"/>
                <w:kern w:val="0"/>
                <w:sz w:val="22"/>
                <w:szCs w:val="22"/>
                <w14:ligatures w14:val="none"/>
              </w:rPr>
              <w:t>&lt;0.001</w:t>
            </w:r>
          </w:p>
        </w:tc>
      </w:tr>
    </w:tbl>
    <w:p w14:paraId="6C297A4B" w14:textId="77777777" w:rsidR="00B816B8" w:rsidRDefault="00B816B8" w:rsidP="00B816B8">
      <w:pPr>
        <w:rPr>
          <w:sz w:val="22"/>
          <w:szCs w:val="22"/>
        </w:rPr>
      </w:pPr>
    </w:p>
    <w:p w14:paraId="48E0EC56" w14:textId="77777777" w:rsidR="009F0E5A" w:rsidRDefault="009F0E5A" w:rsidP="00B816B8">
      <w:pPr>
        <w:rPr>
          <w:sz w:val="22"/>
          <w:szCs w:val="22"/>
        </w:rPr>
      </w:pPr>
    </w:p>
    <w:p w14:paraId="62572264" w14:textId="77777777" w:rsidR="00DF7F17" w:rsidRDefault="00DF7F17" w:rsidP="00B816B8">
      <w:pPr>
        <w:rPr>
          <w:sz w:val="22"/>
          <w:szCs w:val="22"/>
        </w:rPr>
      </w:pPr>
    </w:p>
    <w:p w14:paraId="0026DFE6" w14:textId="77777777" w:rsidR="00DF7F17" w:rsidRDefault="00DF7F17" w:rsidP="00B816B8">
      <w:pPr>
        <w:rPr>
          <w:sz w:val="22"/>
          <w:szCs w:val="22"/>
        </w:rPr>
      </w:pPr>
    </w:p>
    <w:p w14:paraId="61D83BF2" w14:textId="77777777" w:rsidR="00DF7F17" w:rsidRDefault="00DF7F17" w:rsidP="00B816B8">
      <w:pPr>
        <w:rPr>
          <w:sz w:val="22"/>
          <w:szCs w:val="22"/>
        </w:rPr>
      </w:pPr>
    </w:p>
    <w:p w14:paraId="46B7DF54" w14:textId="06553B02" w:rsidR="00DF7F17" w:rsidRDefault="00DF7F17" w:rsidP="00DF7F17">
      <w:pPr>
        <w:jc w:val="both"/>
        <w:rPr>
          <w:rFonts w:ascii="Arial" w:hAnsi="Arial" w:cs="Arial"/>
          <w:sz w:val="22"/>
          <w:szCs w:val="22"/>
        </w:rPr>
      </w:pPr>
      <w:r w:rsidRPr="00DF7F17">
        <w:rPr>
          <w:rFonts w:ascii="Arial" w:hAnsi="Arial" w:cs="Arial"/>
          <w:sz w:val="22"/>
          <w:szCs w:val="22"/>
        </w:rPr>
        <w:lastRenderedPageBreak/>
        <w:t xml:space="preserve">Table 5 presents the factors associated with being hypertensive among study participants in our analysis, Gender shows </w:t>
      </w:r>
      <w:r w:rsidRPr="00DF7F17">
        <w:rPr>
          <w:rFonts w:ascii="Arial" w:hAnsi="Arial" w:cs="Arial"/>
          <w:sz w:val="22"/>
          <w:szCs w:val="22"/>
        </w:rPr>
        <w:t>a significant protective effect among females</w:t>
      </w:r>
      <w:r w:rsidRPr="00DF7F17">
        <w:rPr>
          <w:rFonts w:ascii="Arial" w:hAnsi="Arial" w:cs="Arial"/>
          <w:sz w:val="22"/>
          <w:szCs w:val="22"/>
        </w:rPr>
        <w:t xml:space="preserve"> compared to males of being hypertensive with </w:t>
      </w:r>
      <w:r w:rsidRPr="00DF7F17">
        <w:rPr>
          <w:rFonts w:ascii="Arial" w:hAnsi="Arial" w:cs="Arial"/>
          <w:sz w:val="22"/>
          <w:szCs w:val="22"/>
        </w:rPr>
        <w:t>OR</w:t>
      </w:r>
      <w:r w:rsidR="00BC629D">
        <w:rPr>
          <w:rFonts w:ascii="Arial" w:hAnsi="Arial" w:cs="Arial"/>
          <w:sz w:val="22"/>
          <w:szCs w:val="22"/>
        </w:rPr>
        <w:t xml:space="preserve"> </w:t>
      </w:r>
      <w:r w:rsidRPr="00DF7F17">
        <w:rPr>
          <w:rFonts w:ascii="Arial" w:hAnsi="Arial" w:cs="Arial"/>
          <w:sz w:val="22"/>
          <w:szCs w:val="22"/>
        </w:rPr>
        <w:t>0.71</w:t>
      </w:r>
      <w:r w:rsidRPr="00DF7F17">
        <w:rPr>
          <w:rFonts w:ascii="Arial" w:hAnsi="Arial" w:cs="Arial"/>
          <w:sz w:val="22"/>
          <w:szCs w:val="22"/>
        </w:rPr>
        <w:t xml:space="preserve"> (</w:t>
      </w:r>
      <w:r w:rsidRPr="00DF7F17">
        <w:rPr>
          <w:rFonts w:ascii="Arial" w:hAnsi="Arial" w:cs="Arial"/>
          <w:sz w:val="22"/>
          <w:szCs w:val="22"/>
        </w:rPr>
        <w:t>0.64-0.78</w:t>
      </w:r>
      <w:r w:rsidRPr="00DF7F17">
        <w:rPr>
          <w:rFonts w:ascii="Arial" w:hAnsi="Arial" w:cs="Arial"/>
          <w:sz w:val="22"/>
          <w:szCs w:val="22"/>
        </w:rPr>
        <w:t>) and</w:t>
      </w:r>
      <w:r w:rsidRPr="00DF7F17">
        <w:rPr>
          <w:rFonts w:ascii="Arial" w:hAnsi="Arial" w:cs="Arial"/>
          <w:sz w:val="22"/>
          <w:szCs w:val="22"/>
        </w:rPr>
        <w:t xml:space="preserve"> p&lt;0.001), indicating 29% lower odds of hypertension compared to males.</w:t>
      </w:r>
      <w:r w:rsidRPr="00DF7F17">
        <w:rPr>
          <w:rFonts w:ascii="Arial" w:hAnsi="Arial" w:cs="Arial"/>
          <w:sz w:val="22"/>
          <w:szCs w:val="22"/>
        </w:rPr>
        <w:t xml:space="preserve"> Whereas age showed a strong positive association with hypertension, middle-aged</w:t>
      </w:r>
      <w:r w:rsidRPr="00DF7F17">
        <w:rPr>
          <w:rFonts w:ascii="Arial" w:hAnsi="Arial" w:cs="Arial"/>
          <w:sz w:val="22"/>
          <w:szCs w:val="22"/>
        </w:rPr>
        <w:t xml:space="preserve"> adults 40-59 </w:t>
      </w:r>
      <w:r w:rsidRPr="00DF7F17">
        <w:rPr>
          <w:rFonts w:ascii="Arial" w:hAnsi="Arial" w:cs="Arial"/>
          <w:sz w:val="22"/>
          <w:szCs w:val="22"/>
        </w:rPr>
        <w:t>years</w:t>
      </w:r>
      <w:r w:rsidRPr="00DF7F17">
        <w:rPr>
          <w:rFonts w:ascii="Arial" w:hAnsi="Arial" w:cs="Arial"/>
          <w:sz w:val="22"/>
          <w:szCs w:val="22"/>
        </w:rPr>
        <w:t xml:space="preserve"> had more than doubled odds (OR</w:t>
      </w:r>
      <w:r w:rsidR="00BC629D">
        <w:rPr>
          <w:rFonts w:ascii="Arial" w:hAnsi="Arial" w:cs="Arial"/>
          <w:sz w:val="22"/>
          <w:szCs w:val="22"/>
        </w:rPr>
        <w:t xml:space="preserve"> </w:t>
      </w:r>
      <w:r w:rsidRPr="00DF7F17">
        <w:rPr>
          <w:rFonts w:ascii="Arial" w:hAnsi="Arial" w:cs="Arial"/>
          <w:sz w:val="22"/>
          <w:szCs w:val="22"/>
        </w:rPr>
        <w:t>2.23,</w:t>
      </w:r>
      <w:r w:rsidRPr="00DF7F17">
        <w:rPr>
          <w:rFonts w:ascii="Arial" w:hAnsi="Arial" w:cs="Arial"/>
          <w:sz w:val="22"/>
          <w:szCs w:val="22"/>
        </w:rPr>
        <w:t xml:space="preserve"> </w:t>
      </w:r>
      <w:r w:rsidRPr="00DF7F17">
        <w:rPr>
          <w:rFonts w:ascii="Arial" w:hAnsi="Arial" w:cs="Arial"/>
          <w:sz w:val="22"/>
          <w:szCs w:val="22"/>
        </w:rPr>
        <w:t>CI: 1.95-2.54, p&lt;0.001)</w:t>
      </w:r>
      <w:r w:rsidRPr="00DF7F17">
        <w:rPr>
          <w:rFonts w:ascii="Arial" w:hAnsi="Arial" w:cs="Arial"/>
          <w:sz w:val="22"/>
          <w:szCs w:val="22"/>
        </w:rPr>
        <w:t>, and old</w:t>
      </w:r>
      <w:r w:rsidRPr="00DF7F17">
        <w:rPr>
          <w:rFonts w:ascii="Arial" w:hAnsi="Arial" w:cs="Arial"/>
          <w:sz w:val="22"/>
          <w:szCs w:val="22"/>
        </w:rPr>
        <w:t xml:space="preserve"> individuals 60+ </w:t>
      </w:r>
      <w:r w:rsidRPr="00DF7F17">
        <w:rPr>
          <w:rFonts w:ascii="Arial" w:hAnsi="Arial" w:cs="Arial"/>
          <w:sz w:val="22"/>
          <w:szCs w:val="22"/>
        </w:rPr>
        <w:t>years</w:t>
      </w:r>
      <w:r w:rsidRPr="00DF7F17">
        <w:rPr>
          <w:rFonts w:ascii="Arial" w:hAnsi="Arial" w:cs="Arial"/>
          <w:sz w:val="22"/>
          <w:szCs w:val="22"/>
        </w:rPr>
        <w:t xml:space="preserve"> showed the highest risk (OR</w:t>
      </w:r>
      <w:r w:rsidR="00BC629D">
        <w:rPr>
          <w:rFonts w:ascii="Arial" w:hAnsi="Arial" w:cs="Arial"/>
          <w:sz w:val="22"/>
          <w:szCs w:val="22"/>
        </w:rPr>
        <w:t xml:space="preserve"> </w:t>
      </w:r>
      <w:r w:rsidRPr="00DF7F17">
        <w:rPr>
          <w:rFonts w:ascii="Arial" w:hAnsi="Arial" w:cs="Arial"/>
          <w:sz w:val="22"/>
          <w:szCs w:val="22"/>
        </w:rPr>
        <w:t>2.61, CI: 2.17-3.13, p&lt;0.001)</w:t>
      </w:r>
      <w:r w:rsidRPr="00DF7F17">
        <w:rPr>
          <w:rFonts w:ascii="Arial" w:hAnsi="Arial" w:cs="Arial"/>
          <w:sz w:val="22"/>
          <w:szCs w:val="22"/>
        </w:rPr>
        <w:t xml:space="preserve"> compared to the reference age group 16-39. Similarly, </w:t>
      </w:r>
      <w:r w:rsidRPr="00DF7F17">
        <w:rPr>
          <w:rFonts w:ascii="Arial" w:hAnsi="Arial" w:cs="Arial"/>
          <w:sz w:val="22"/>
          <w:szCs w:val="22"/>
        </w:rPr>
        <w:t>Married individuals showed 62% higher odds</w:t>
      </w:r>
      <w:r w:rsidRPr="00DF7F17">
        <w:rPr>
          <w:rFonts w:ascii="Arial" w:hAnsi="Arial" w:cs="Arial"/>
          <w:sz w:val="22"/>
          <w:szCs w:val="22"/>
        </w:rPr>
        <w:t xml:space="preserve"> and divorced</w:t>
      </w:r>
      <w:r w:rsidRPr="00DF7F17">
        <w:rPr>
          <w:rFonts w:ascii="Arial" w:hAnsi="Arial" w:cs="Arial"/>
          <w:sz w:val="22"/>
          <w:szCs w:val="22"/>
        </w:rPr>
        <w:t xml:space="preserve">/separated/widowed individuals demonstrated the highest </w:t>
      </w:r>
      <w:r w:rsidRPr="00DF7F17">
        <w:rPr>
          <w:rFonts w:ascii="Arial" w:hAnsi="Arial" w:cs="Arial"/>
          <w:sz w:val="22"/>
          <w:szCs w:val="22"/>
        </w:rPr>
        <w:t>odds</w:t>
      </w:r>
      <w:r w:rsidRPr="00DF7F17">
        <w:rPr>
          <w:rFonts w:ascii="Arial" w:hAnsi="Arial" w:cs="Arial"/>
          <w:sz w:val="22"/>
          <w:szCs w:val="22"/>
        </w:rPr>
        <w:t xml:space="preserve"> </w:t>
      </w:r>
      <w:r w:rsidRPr="00DF7F17">
        <w:rPr>
          <w:rFonts w:ascii="Arial" w:hAnsi="Arial" w:cs="Arial"/>
          <w:sz w:val="22"/>
          <w:szCs w:val="22"/>
        </w:rPr>
        <w:t xml:space="preserve">with </w:t>
      </w:r>
      <w:r w:rsidRPr="00DF7F17">
        <w:rPr>
          <w:rFonts w:ascii="Arial" w:hAnsi="Arial" w:cs="Arial"/>
          <w:sz w:val="22"/>
          <w:szCs w:val="22"/>
        </w:rPr>
        <w:t>OR</w:t>
      </w:r>
      <w:r w:rsidRPr="00DF7F17">
        <w:rPr>
          <w:rFonts w:ascii="Arial" w:hAnsi="Arial" w:cs="Arial"/>
          <w:sz w:val="22"/>
          <w:szCs w:val="22"/>
        </w:rPr>
        <w:t xml:space="preserve"> </w:t>
      </w:r>
      <w:r w:rsidR="00142F8C" w:rsidRPr="00DF7F17">
        <w:rPr>
          <w:rFonts w:ascii="Arial" w:hAnsi="Arial" w:cs="Arial"/>
          <w:sz w:val="22"/>
          <w:szCs w:val="22"/>
        </w:rPr>
        <w:t>2.25, (</w:t>
      </w:r>
      <w:r w:rsidRPr="00DF7F17">
        <w:rPr>
          <w:rFonts w:ascii="Arial" w:hAnsi="Arial" w:cs="Arial"/>
          <w:sz w:val="22"/>
          <w:szCs w:val="22"/>
        </w:rPr>
        <w:t>1.70-2.99</w:t>
      </w:r>
      <w:r w:rsidRPr="00DF7F17">
        <w:rPr>
          <w:rFonts w:ascii="Arial" w:hAnsi="Arial" w:cs="Arial"/>
          <w:sz w:val="22"/>
          <w:szCs w:val="22"/>
        </w:rPr>
        <w:t xml:space="preserve">) and </w:t>
      </w:r>
      <w:r w:rsidRPr="00DF7F17">
        <w:rPr>
          <w:rFonts w:ascii="Arial" w:hAnsi="Arial" w:cs="Arial"/>
          <w:sz w:val="22"/>
          <w:szCs w:val="22"/>
        </w:rPr>
        <w:t>p&lt;0.001</w:t>
      </w:r>
      <w:r w:rsidRPr="00DF7F17">
        <w:rPr>
          <w:rFonts w:ascii="Arial" w:hAnsi="Arial" w:cs="Arial"/>
          <w:sz w:val="22"/>
          <w:szCs w:val="22"/>
        </w:rPr>
        <w:t xml:space="preserve"> making marital status a significant predictor of hypertension among our study participants. </w:t>
      </w:r>
    </w:p>
    <w:p w14:paraId="107391C0" w14:textId="03131AC6" w:rsidR="00142F8C" w:rsidRPr="00DF7F17" w:rsidRDefault="00142F8C" w:rsidP="00142F8C">
      <w:pPr>
        <w:jc w:val="both"/>
        <w:rPr>
          <w:rFonts w:ascii="Arial" w:hAnsi="Arial" w:cs="Arial"/>
          <w:sz w:val="22"/>
          <w:szCs w:val="22"/>
        </w:rPr>
      </w:pPr>
      <w:r w:rsidRPr="00142F8C">
        <w:rPr>
          <w:rFonts w:ascii="Arial" w:hAnsi="Arial" w:cs="Arial"/>
          <w:sz w:val="22"/>
          <w:szCs w:val="22"/>
        </w:rPr>
        <w:t>BMI showed a strong association, with obese/overweight individuals having 146% higher odds of hypertension OR</w:t>
      </w:r>
      <w:r>
        <w:rPr>
          <w:rFonts w:ascii="Arial" w:hAnsi="Arial" w:cs="Arial"/>
          <w:sz w:val="22"/>
          <w:szCs w:val="22"/>
        </w:rPr>
        <w:t xml:space="preserve">  </w:t>
      </w:r>
      <w:r w:rsidRPr="00142F8C">
        <w:rPr>
          <w:rFonts w:ascii="Arial" w:hAnsi="Arial" w:cs="Arial"/>
          <w:sz w:val="22"/>
          <w:szCs w:val="22"/>
        </w:rPr>
        <w:t>2.46</w:t>
      </w:r>
      <w:r>
        <w:rPr>
          <w:rFonts w:ascii="Arial" w:hAnsi="Arial" w:cs="Arial"/>
          <w:sz w:val="22"/>
          <w:szCs w:val="22"/>
        </w:rPr>
        <w:t xml:space="preserve"> (</w:t>
      </w:r>
      <w:r w:rsidRPr="00142F8C">
        <w:rPr>
          <w:rFonts w:ascii="Arial" w:hAnsi="Arial" w:cs="Arial"/>
          <w:sz w:val="22"/>
          <w:szCs w:val="22"/>
        </w:rPr>
        <w:t>2.21-2.73</w:t>
      </w:r>
      <w:r>
        <w:rPr>
          <w:rFonts w:ascii="Arial" w:hAnsi="Arial" w:cs="Arial"/>
          <w:sz w:val="22"/>
          <w:szCs w:val="22"/>
        </w:rPr>
        <w:t>) and</w:t>
      </w:r>
      <w:r w:rsidRPr="00142F8C">
        <w:rPr>
          <w:rFonts w:ascii="Arial" w:hAnsi="Arial" w:cs="Arial"/>
          <w:sz w:val="22"/>
          <w:szCs w:val="22"/>
        </w:rPr>
        <w:t xml:space="preserve"> p&lt;0.001</w:t>
      </w:r>
      <w:r>
        <w:rPr>
          <w:rFonts w:ascii="Arial" w:hAnsi="Arial" w:cs="Arial"/>
          <w:sz w:val="22"/>
          <w:szCs w:val="22"/>
        </w:rPr>
        <w:t xml:space="preserve">, </w:t>
      </w:r>
      <w:r w:rsidRPr="00142F8C">
        <w:rPr>
          <w:rFonts w:ascii="Arial" w:hAnsi="Arial" w:cs="Arial"/>
          <w:sz w:val="22"/>
          <w:szCs w:val="22"/>
        </w:rPr>
        <w:t>Rural residence showed a protective effect OR</w:t>
      </w:r>
      <w:r>
        <w:rPr>
          <w:rFonts w:ascii="Arial" w:hAnsi="Arial" w:cs="Arial"/>
          <w:sz w:val="22"/>
          <w:szCs w:val="22"/>
        </w:rPr>
        <w:t xml:space="preserve"> </w:t>
      </w:r>
      <w:r w:rsidRPr="00142F8C">
        <w:rPr>
          <w:rFonts w:ascii="Arial" w:hAnsi="Arial" w:cs="Arial"/>
          <w:sz w:val="22"/>
          <w:szCs w:val="22"/>
        </w:rPr>
        <w:t>0.83</w:t>
      </w:r>
      <w:r>
        <w:rPr>
          <w:rFonts w:ascii="Arial" w:hAnsi="Arial" w:cs="Arial"/>
          <w:sz w:val="22"/>
          <w:szCs w:val="22"/>
        </w:rPr>
        <w:t>, (</w:t>
      </w:r>
      <w:r w:rsidRPr="00142F8C">
        <w:rPr>
          <w:rFonts w:ascii="Arial" w:hAnsi="Arial" w:cs="Arial"/>
          <w:sz w:val="22"/>
          <w:szCs w:val="22"/>
        </w:rPr>
        <w:t>0.71-0.96</w:t>
      </w:r>
      <w:r>
        <w:rPr>
          <w:rFonts w:ascii="Arial" w:hAnsi="Arial" w:cs="Arial"/>
          <w:sz w:val="22"/>
          <w:szCs w:val="22"/>
        </w:rPr>
        <w:t>)</w:t>
      </w:r>
      <w:r w:rsidRPr="00142F8C">
        <w:rPr>
          <w:rFonts w:ascii="Arial" w:hAnsi="Arial" w:cs="Arial"/>
          <w:sz w:val="22"/>
          <w:szCs w:val="22"/>
        </w:rPr>
        <w:t xml:space="preserve"> p=0.016</w:t>
      </w:r>
      <w:r>
        <w:rPr>
          <w:rFonts w:ascii="Arial" w:hAnsi="Arial" w:cs="Arial"/>
          <w:sz w:val="22"/>
          <w:szCs w:val="22"/>
        </w:rPr>
        <w:t xml:space="preserve"> and </w:t>
      </w:r>
      <w:r w:rsidRPr="00142F8C">
        <w:rPr>
          <w:rFonts w:ascii="Arial" w:hAnsi="Arial" w:cs="Arial"/>
          <w:sz w:val="22"/>
          <w:szCs w:val="22"/>
        </w:rPr>
        <w:t xml:space="preserve">Ecological regions showed no significant </w:t>
      </w:r>
      <w:r>
        <w:rPr>
          <w:rFonts w:ascii="Arial" w:hAnsi="Arial" w:cs="Arial"/>
          <w:sz w:val="22"/>
          <w:szCs w:val="22"/>
        </w:rPr>
        <w:t xml:space="preserve">statistical </w:t>
      </w:r>
      <w:r w:rsidRPr="00142F8C">
        <w:rPr>
          <w:rFonts w:ascii="Arial" w:hAnsi="Arial" w:cs="Arial"/>
          <w:sz w:val="22"/>
          <w:szCs w:val="22"/>
        </w:rPr>
        <w:t>associations p&gt;0.05</w:t>
      </w:r>
      <w:r>
        <w:rPr>
          <w:rFonts w:ascii="Arial" w:hAnsi="Arial" w:cs="Arial"/>
          <w:sz w:val="22"/>
          <w:szCs w:val="22"/>
        </w:rPr>
        <w:t>. Notably, several factors such as educational status, wealth, and ecological regions did not show a significant association at our threshold level with hypertension p&gt;0.05.</w:t>
      </w:r>
    </w:p>
    <w:p w14:paraId="2D02C2DC" w14:textId="77777777" w:rsidR="00DF7F17" w:rsidRDefault="00DF7F17" w:rsidP="00B816B8">
      <w:pPr>
        <w:rPr>
          <w:sz w:val="22"/>
          <w:szCs w:val="22"/>
        </w:rPr>
      </w:pPr>
    </w:p>
    <w:p w14:paraId="12F881EA" w14:textId="275799A4" w:rsidR="00DF7F17" w:rsidRDefault="00DF7F17" w:rsidP="00DF7F17">
      <w:pPr>
        <w:pStyle w:val="Caption"/>
        <w:rPr>
          <w:rFonts w:ascii="Arial" w:hAnsi="Arial" w:cs="Arial"/>
          <w:b/>
          <w:bCs/>
          <w:color w:val="auto"/>
          <w:sz w:val="22"/>
          <w:szCs w:val="22"/>
        </w:rPr>
      </w:pPr>
      <w:r w:rsidRPr="00DF7F17">
        <w:rPr>
          <w:rFonts w:ascii="Arial" w:hAnsi="Arial" w:cs="Arial"/>
          <w:b/>
          <w:bCs/>
          <w:color w:val="auto"/>
          <w:sz w:val="22"/>
          <w:szCs w:val="22"/>
        </w:rPr>
        <w:t xml:space="preserve">Table </w:t>
      </w:r>
      <w:r w:rsidRPr="00DF7F17">
        <w:rPr>
          <w:rFonts w:ascii="Arial" w:hAnsi="Arial" w:cs="Arial"/>
          <w:b/>
          <w:bCs/>
          <w:color w:val="auto"/>
          <w:sz w:val="22"/>
          <w:szCs w:val="22"/>
        </w:rPr>
        <w:fldChar w:fldCharType="begin"/>
      </w:r>
      <w:r w:rsidRPr="00DF7F17">
        <w:rPr>
          <w:rFonts w:ascii="Arial" w:hAnsi="Arial" w:cs="Arial"/>
          <w:b/>
          <w:bCs/>
          <w:color w:val="auto"/>
          <w:sz w:val="22"/>
          <w:szCs w:val="22"/>
        </w:rPr>
        <w:instrText xml:space="preserve"> SEQ Table \* ARABIC </w:instrText>
      </w:r>
      <w:r w:rsidRPr="00DF7F17">
        <w:rPr>
          <w:rFonts w:ascii="Arial" w:hAnsi="Arial" w:cs="Arial"/>
          <w:b/>
          <w:bCs/>
          <w:color w:val="auto"/>
          <w:sz w:val="22"/>
          <w:szCs w:val="22"/>
        </w:rPr>
        <w:fldChar w:fldCharType="separate"/>
      </w:r>
      <w:r w:rsidRPr="00DF7F17">
        <w:rPr>
          <w:rFonts w:ascii="Arial" w:hAnsi="Arial" w:cs="Arial"/>
          <w:b/>
          <w:bCs/>
          <w:color w:val="auto"/>
          <w:sz w:val="22"/>
          <w:szCs w:val="22"/>
        </w:rPr>
        <w:t>5</w:t>
      </w:r>
      <w:r w:rsidRPr="00DF7F17">
        <w:rPr>
          <w:rFonts w:ascii="Arial" w:hAnsi="Arial" w:cs="Arial"/>
          <w:b/>
          <w:bCs/>
          <w:color w:val="auto"/>
          <w:sz w:val="22"/>
          <w:szCs w:val="22"/>
        </w:rPr>
        <w:fldChar w:fldCharType="end"/>
      </w:r>
      <w:r>
        <w:rPr>
          <w:rFonts w:ascii="Arial" w:hAnsi="Arial" w:cs="Arial"/>
          <w:b/>
          <w:bCs/>
          <w:color w:val="auto"/>
          <w:sz w:val="22"/>
          <w:szCs w:val="22"/>
        </w:rPr>
        <w:t xml:space="preserve"> </w:t>
      </w:r>
      <w:r w:rsidRPr="00161CD8">
        <w:rPr>
          <w:rFonts w:ascii="Arial" w:hAnsi="Arial" w:cs="Arial"/>
          <w:b/>
          <w:bCs/>
          <w:color w:val="auto"/>
          <w:sz w:val="22"/>
          <w:szCs w:val="22"/>
        </w:rPr>
        <w:t xml:space="preserve">Logistic Regression Results Factors Associated with </w:t>
      </w:r>
      <w:r>
        <w:rPr>
          <w:rFonts w:ascii="Arial" w:hAnsi="Arial" w:cs="Arial"/>
          <w:b/>
          <w:bCs/>
          <w:color w:val="auto"/>
          <w:sz w:val="22"/>
          <w:szCs w:val="22"/>
        </w:rPr>
        <w:t>High Blood Pressure among study participants</w:t>
      </w:r>
    </w:p>
    <w:tbl>
      <w:tblPr>
        <w:tblW w:w="8520" w:type="dxa"/>
        <w:tblLook w:val="04A0" w:firstRow="1" w:lastRow="0" w:firstColumn="1" w:lastColumn="0" w:noHBand="0" w:noVBand="1"/>
      </w:tblPr>
      <w:tblGrid>
        <w:gridCol w:w="3685"/>
        <w:gridCol w:w="1235"/>
        <w:gridCol w:w="2402"/>
        <w:gridCol w:w="1198"/>
      </w:tblGrid>
      <w:tr w:rsidR="00DF7F17" w:rsidRPr="00DF7F17" w14:paraId="5637F6A8" w14:textId="77777777" w:rsidTr="00DF7F17">
        <w:trPr>
          <w:trHeight w:val="280"/>
        </w:trPr>
        <w:tc>
          <w:tcPr>
            <w:tcW w:w="4920" w:type="dxa"/>
            <w:gridSpan w:val="2"/>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4350C223" w14:textId="77777777" w:rsidR="00DF7F17" w:rsidRPr="00DF7F17" w:rsidRDefault="00DF7F17" w:rsidP="00DF7F17">
            <w:pPr>
              <w:spacing w:after="0" w:line="240" w:lineRule="auto"/>
              <w:jc w:val="center"/>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Blood Pressure Model Result</w:t>
            </w:r>
          </w:p>
        </w:tc>
        <w:tc>
          <w:tcPr>
            <w:tcW w:w="3600" w:type="dxa"/>
            <w:gridSpan w:val="2"/>
            <w:tcBorders>
              <w:top w:val="single" w:sz="4" w:space="0" w:color="auto"/>
              <w:left w:val="nil"/>
              <w:bottom w:val="single" w:sz="4" w:space="0" w:color="auto"/>
              <w:right w:val="single" w:sz="4" w:space="0" w:color="auto"/>
            </w:tcBorders>
            <w:shd w:val="clear" w:color="000000" w:fill="ADADAD"/>
            <w:noWrap/>
            <w:vAlign w:val="bottom"/>
            <w:hideMark/>
          </w:tcPr>
          <w:p w14:paraId="0C348751" w14:textId="2889D53A" w:rsidR="00DF7F17" w:rsidRPr="00DF7F17" w:rsidRDefault="004E340D" w:rsidP="00DF7F17">
            <w:pPr>
              <w:spacing w:after="0" w:line="240" w:lineRule="auto"/>
              <w:jc w:val="center"/>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Results</w:t>
            </w:r>
          </w:p>
        </w:tc>
      </w:tr>
      <w:tr w:rsidR="004E340D" w:rsidRPr="00DF7F17" w14:paraId="41A620F2" w14:textId="77777777" w:rsidTr="004E340D">
        <w:trPr>
          <w:trHeight w:val="280"/>
        </w:trPr>
        <w:tc>
          <w:tcPr>
            <w:tcW w:w="3685" w:type="dxa"/>
            <w:tcBorders>
              <w:top w:val="nil"/>
              <w:left w:val="single" w:sz="4" w:space="0" w:color="auto"/>
              <w:bottom w:val="single" w:sz="4" w:space="0" w:color="auto"/>
              <w:right w:val="single" w:sz="4" w:space="0" w:color="auto"/>
            </w:tcBorders>
            <w:shd w:val="clear" w:color="000000" w:fill="ADADAD"/>
            <w:noWrap/>
            <w:vAlign w:val="bottom"/>
            <w:hideMark/>
          </w:tcPr>
          <w:p w14:paraId="3BFE68C4" w14:textId="78F70465"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Intercept</w:t>
            </w:r>
          </w:p>
        </w:tc>
        <w:tc>
          <w:tcPr>
            <w:tcW w:w="1235" w:type="dxa"/>
            <w:tcBorders>
              <w:top w:val="nil"/>
              <w:left w:val="nil"/>
              <w:bottom w:val="single" w:sz="4" w:space="0" w:color="auto"/>
              <w:right w:val="single" w:sz="4" w:space="0" w:color="auto"/>
            </w:tcBorders>
            <w:shd w:val="clear" w:color="000000" w:fill="ADADAD"/>
            <w:noWrap/>
            <w:vAlign w:val="bottom"/>
          </w:tcPr>
          <w:p w14:paraId="2A0609F6" w14:textId="202672E4"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-1.38182</w:t>
            </w:r>
          </w:p>
        </w:tc>
        <w:tc>
          <w:tcPr>
            <w:tcW w:w="2402" w:type="dxa"/>
            <w:tcBorders>
              <w:top w:val="nil"/>
              <w:left w:val="nil"/>
              <w:bottom w:val="single" w:sz="4" w:space="0" w:color="auto"/>
              <w:right w:val="single" w:sz="4" w:space="0" w:color="auto"/>
            </w:tcBorders>
            <w:shd w:val="clear" w:color="000000" w:fill="FFFFFF"/>
            <w:noWrap/>
            <w:vAlign w:val="bottom"/>
            <w:hideMark/>
          </w:tcPr>
          <w:p w14:paraId="44B8E547" w14:textId="21DF9E86" w:rsidR="004E340D" w:rsidRPr="00DF7F17" w:rsidRDefault="004E340D" w:rsidP="004E340D">
            <w:pPr>
              <w:spacing w:after="0" w:line="240" w:lineRule="auto"/>
              <w:jc w:val="center"/>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OR</w:t>
            </w:r>
            <w:r>
              <w:rPr>
                <w:rFonts w:ascii="Arial" w:eastAsia="Times New Roman" w:hAnsi="Arial" w:cs="Arial"/>
                <w:b/>
                <w:bCs/>
                <w:color w:val="000000"/>
                <w:kern w:val="0"/>
                <w:sz w:val="22"/>
                <w:szCs w:val="22"/>
                <w14:ligatures w14:val="none"/>
              </w:rPr>
              <w:t xml:space="preserve"> </w:t>
            </w:r>
            <w:r w:rsidRPr="00DF7F17">
              <w:rPr>
                <w:rFonts w:ascii="Arial" w:eastAsia="Times New Roman" w:hAnsi="Arial" w:cs="Arial"/>
                <w:b/>
                <w:bCs/>
                <w:color w:val="000000"/>
                <w:kern w:val="0"/>
                <w:sz w:val="22"/>
                <w:szCs w:val="22"/>
                <w14:ligatures w14:val="none"/>
              </w:rPr>
              <w:t>(95% CI)</w:t>
            </w:r>
          </w:p>
        </w:tc>
        <w:tc>
          <w:tcPr>
            <w:tcW w:w="1198" w:type="dxa"/>
            <w:tcBorders>
              <w:top w:val="nil"/>
              <w:left w:val="nil"/>
              <w:bottom w:val="single" w:sz="4" w:space="0" w:color="auto"/>
              <w:right w:val="single" w:sz="4" w:space="0" w:color="auto"/>
            </w:tcBorders>
            <w:shd w:val="clear" w:color="000000" w:fill="FFFFFF"/>
            <w:noWrap/>
            <w:vAlign w:val="bottom"/>
            <w:hideMark/>
          </w:tcPr>
          <w:p w14:paraId="0440B681" w14:textId="77777777" w:rsidR="004E340D" w:rsidRPr="00DF7F17" w:rsidRDefault="004E340D" w:rsidP="004E340D">
            <w:pPr>
              <w:spacing w:after="0" w:line="240" w:lineRule="auto"/>
              <w:jc w:val="center"/>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p-value</w:t>
            </w:r>
          </w:p>
        </w:tc>
      </w:tr>
      <w:tr w:rsidR="004E340D" w:rsidRPr="00DF7F17" w14:paraId="71B48648" w14:textId="77777777" w:rsidTr="001F48AE">
        <w:trPr>
          <w:trHeight w:val="280"/>
        </w:trPr>
        <w:tc>
          <w:tcPr>
            <w:tcW w:w="3685" w:type="dxa"/>
            <w:tcBorders>
              <w:top w:val="nil"/>
              <w:left w:val="single" w:sz="4" w:space="0" w:color="auto"/>
              <w:bottom w:val="single" w:sz="4" w:space="0" w:color="auto"/>
              <w:right w:val="single" w:sz="4" w:space="0" w:color="auto"/>
            </w:tcBorders>
            <w:shd w:val="clear" w:color="000000" w:fill="ADADAD"/>
            <w:noWrap/>
            <w:vAlign w:val="bottom"/>
            <w:hideMark/>
          </w:tcPr>
          <w:p w14:paraId="1D4AB297"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Gender</w:t>
            </w:r>
          </w:p>
        </w:tc>
        <w:tc>
          <w:tcPr>
            <w:tcW w:w="1235" w:type="dxa"/>
            <w:vMerge w:val="restart"/>
            <w:tcBorders>
              <w:top w:val="nil"/>
              <w:left w:val="nil"/>
              <w:right w:val="single" w:sz="4" w:space="0" w:color="auto"/>
            </w:tcBorders>
            <w:shd w:val="clear" w:color="000000" w:fill="FFFFFF"/>
            <w:noWrap/>
            <w:vAlign w:val="bottom"/>
            <w:hideMark/>
          </w:tcPr>
          <w:p w14:paraId="55B21A0E" w14:textId="0FC1BE19"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 </w:t>
            </w:r>
          </w:p>
        </w:tc>
        <w:tc>
          <w:tcPr>
            <w:tcW w:w="2402" w:type="dxa"/>
            <w:tcBorders>
              <w:top w:val="nil"/>
              <w:left w:val="nil"/>
              <w:bottom w:val="single" w:sz="4" w:space="0" w:color="auto"/>
              <w:right w:val="single" w:sz="4" w:space="0" w:color="auto"/>
            </w:tcBorders>
            <w:shd w:val="clear" w:color="000000" w:fill="ADADAD"/>
            <w:noWrap/>
            <w:vAlign w:val="bottom"/>
            <w:hideMark/>
          </w:tcPr>
          <w:p w14:paraId="2C9E64B4"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 </w:t>
            </w:r>
          </w:p>
        </w:tc>
        <w:tc>
          <w:tcPr>
            <w:tcW w:w="1198" w:type="dxa"/>
            <w:tcBorders>
              <w:top w:val="nil"/>
              <w:left w:val="nil"/>
              <w:bottom w:val="single" w:sz="4" w:space="0" w:color="auto"/>
              <w:right w:val="single" w:sz="4" w:space="0" w:color="auto"/>
            </w:tcBorders>
            <w:shd w:val="clear" w:color="000000" w:fill="ADADAD"/>
            <w:noWrap/>
            <w:vAlign w:val="bottom"/>
            <w:hideMark/>
          </w:tcPr>
          <w:p w14:paraId="538A0A28" w14:textId="77777777" w:rsidR="004E340D" w:rsidRPr="00DF7F17" w:rsidRDefault="004E340D" w:rsidP="004E340D">
            <w:pPr>
              <w:spacing w:after="0" w:line="240" w:lineRule="auto"/>
              <w:jc w:val="right"/>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 </w:t>
            </w:r>
          </w:p>
        </w:tc>
      </w:tr>
      <w:tr w:rsidR="004E340D" w:rsidRPr="00DF7F17" w14:paraId="01749CD3" w14:textId="77777777" w:rsidTr="001F48AE">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5906B9F"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Male</w:t>
            </w:r>
          </w:p>
        </w:tc>
        <w:tc>
          <w:tcPr>
            <w:tcW w:w="1235" w:type="dxa"/>
            <w:vMerge/>
            <w:tcBorders>
              <w:left w:val="nil"/>
              <w:right w:val="single" w:sz="4" w:space="0" w:color="auto"/>
            </w:tcBorders>
            <w:shd w:val="clear" w:color="000000" w:fill="FFFFFF"/>
            <w:noWrap/>
            <w:vAlign w:val="bottom"/>
            <w:hideMark/>
          </w:tcPr>
          <w:p w14:paraId="007D8929" w14:textId="1E006224"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038790"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 </w:t>
            </w:r>
          </w:p>
        </w:tc>
      </w:tr>
      <w:tr w:rsidR="004E340D" w:rsidRPr="00DF7F17" w14:paraId="768D42EE" w14:textId="77777777" w:rsidTr="001F48AE">
        <w:trPr>
          <w:trHeight w:val="35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1B0ECE4"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Female</w:t>
            </w:r>
          </w:p>
        </w:tc>
        <w:tc>
          <w:tcPr>
            <w:tcW w:w="1235" w:type="dxa"/>
            <w:vMerge/>
            <w:tcBorders>
              <w:left w:val="nil"/>
              <w:bottom w:val="single" w:sz="4" w:space="0" w:color="auto"/>
              <w:right w:val="single" w:sz="4" w:space="0" w:color="auto"/>
            </w:tcBorders>
            <w:shd w:val="clear" w:color="auto" w:fill="auto"/>
            <w:noWrap/>
            <w:vAlign w:val="bottom"/>
            <w:hideMark/>
          </w:tcPr>
          <w:p w14:paraId="2B7CE768" w14:textId="0A399B04"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71C65A78"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0.71 (0.64–0.78)</w:t>
            </w:r>
          </w:p>
        </w:tc>
        <w:tc>
          <w:tcPr>
            <w:tcW w:w="1198" w:type="dxa"/>
            <w:tcBorders>
              <w:top w:val="nil"/>
              <w:left w:val="nil"/>
              <w:bottom w:val="single" w:sz="4" w:space="0" w:color="auto"/>
              <w:right w:val="single" w:sz="4" w:space="0" w:color="auto"/>
            </w:tcBorders>
            <w:shd w:val="clear" w:color="auto" w:fill="auto"/>
            <w:noWrap/>
            <w:vAlign w:val="bottom"/>
            <w:hideMark/>
          </w:tcPr>
          <w:p w14:paraId="618997B1" w14:textId="77777777" w:rsidR="004E340D" w:rsidRPr="00DF7F17" w:rsidRDefault="004E340D" w:rsidP="004E340D">
            <w:pPr>
              <w:spacing w:after="0" w:line="240" w:lineRule="auto"/>
              <w:jc w:val="right"/>
              <w:rPr>
                <w:rFonts w:ascii="Times New Roman" w:eastAsia="Times New Roman" w:hAnsi="Times New Roman" w:cs="Times New Roman"/>
                <w:b/>
                <w:bCs/>
                <w:color w:val="000000"/>
                <w:kern w:val="0"/>
                <w:sz w:val="28"/>
                <w:szCs w:val="28"/>
                <w14:ligatures w14:val="none"/>
              </w:rPr>
            </w:pPr>
            <w:r w:rsidRPr="00DF7F17">
              <w:rPr>
                <w:rFonts w:ascii="Times New Roman" w:eastAsia="Times New Roman" w:hAnsi="Times New Roman" w:cs="Times New Roman"/>
                <w:b/>
                <w:bCs/>
                <w:color w:val="000000"/>
                <w:kern w:val="0"/>
                <w:sz w:val="28"/>
                <w:szCs w:val="28"/>
                <w14:ligatures w14:val="none"/>
              </w:rPr>
              <w:t>&lt;0.001</w:t>
            </w:r>
          </w:p>
        </w:tc>
      </w:tr>
      <w:tr w:rsidR="004E340D" w:rsidRPr="00DF7F17" w14:paraId="4FD894EB"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244D984D"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Age Group</w:t>
            </w:r>
          </w:p>
        </w:tc>
      </w:tr>
      <w:tr w:rsidR="004E340D" w:rsidRPr="00DF7F17" w14:paraId="770ECD8F" w14:textId="77777777" w:rsidTr="00D2348D">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2D5D822"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16-39</w:t>
            </w:r>
          </w:p>
        </w:tc>
        <w:tc>
          <w:tcPr>
            <w:tcW w:w="1235" w:type="dxa"/>
            <w:vMerge w:val="restart"/>
            <w:tcBorders>
              <w:top w:val="nil"/>
              <w:left w:val="nil"/>
              <w:right w:val="single" w:sz="4" w:space="0" w:color="auto"/>
            </w:tcBorders>
            <w:shd w:val="clear" w:color="000000" w:fill="FFFFFF"/>
            <w:noWrap/>
            <w:vAlign w:val="bottom"/>
          </w:tcPr>
          <w:p w14:paraId="13759487"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p w14:paraId="20D1653F" w14:textId="20CFB4C5"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C25F403"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 </w:t>
            </w:r>
          </w:p>
        </w:tc>
      </w:tr>
      <w:tr w:rsidR="004E340D" w:rsidRPr="00DF7F17" w14:paraId="48F6CDB9" w14:textId="77777777" w:rsidTr="00D2348D">
        <w:trPr>
          <w:trHeight w:val="35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DF0E92E"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40-59</w:t>
            </w:r>
          </w:p>
        </w:tc>
        <w:tc>
          <w:tcPr>
            <w:tcW w:w="1235" w:type="dxa"/>
            <w:vMerge/>
            <w:tcBorders>
              <w:left w:val="nil"/>
              <w:right w:val="single" w:sz="4" w:space="0" w:color="auto"/>
            </w:tcBorders>
            <w:shd w:val="clear" w:color="auto" w:fill="auto"/>
            <w:noWrap/>
            <w:vAlign w:val="bottom"/>
            <w:hideMark/>
          </w:tcPr>
          <w:p w14:paraId="6E2E317F" w14:textId="0DF88E3E"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7D2DC048"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2.23 (1.95–2.54)</w:t>
            </w:r>
          </w:p>
        </w:tc>
        <w:tc>
          <w:tcPr>
            <w:tcW w:w="1198" w:type="dxa"/>
            <w:tcBorders>
              <w:top w:val="nil"/>
              <w:left w:val="nil"/>
              <w:bottom w:val="single" w:sz="4" w:space="0" w:color="auto"/>
              <w:right w:val="single" w:sz="4" w:space="0" w:color="auto"/>
            </w:tcBorders>
            <w:shd w:val="clear" w:color="auto" w:fill="auto"/>
            <w:noWrap/>
            <w:vAlign w:val="bottom"/>
            <w:hideMark/>
          </w:tcPr>
          <w:p w14:paraId="5F3680C4" w14:textId="77777777" w:rsidR="004E340D" w:rsidRPr="00DF7F17" w:rsidRDefault="004E340D" w:rsidP="004E340D">
            <w:pPr>
              <w:spacing w:after="0" w:line="240" w:lineRule="auto"/>
              <w:jc w:val="right"/>
              <w:rPr>
                <w:rFonts w:ascii="Times New Roman" w:eastAsia="Times New Roman" w:hAnsi="Times New Roman" w:cs="Times New Roman"/>
                <w:b/>
                <w:bCs/>
                <w:color w:val="000000"/>
                <w:kern w:val="0"/>
                <w:sz w:val="28"/>
                <w:szCs w:val="28"/>
                <w14:ligatures w14:val="none"/>
              </w:rPr>
            </w:pPr>
            <w:r w:rsidRPr="00DF7F17">
              <w:rPr>
                <w:rFonts w:ascii="Times New Roman" w:eastAsia="Times New Roman" w:hAnsi="Times New Roman" w:cs="Times New Roman"/>
                <w:b/>
                <w:bCs/>
                <w:color w:val="000000"/>
                <w:kern w:val="0"/>
                <w:sz w:val="28"/>
                <w:szCs w:val="28"/>
                <w14:ligatures w14:val="none"/>
              </w:rPr>
              <w:t>&lt;0.001</w:t>
            </w:r>
          </w:p>
        </w:tc>
      </w:tr>
      <w:tr w:rsidR="004E340D" w:rsidRPr="00DF7F17" w14:paraId="38637A5E" w14:textId="77777777" w:rsidTr="00D2348D">
        <w:trPr>
          <w:trHeight w:val="35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F3F08F9"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60+</w:t>
            </w:r>
          </w:p>
        </w:tc>
        <w:tc>
          <w:tcPr>
            <w:tcW w:w="1235" w:type="dxa"/>
            <w:vMerge/>
            <w:tcBorders>
              <w:left w:val="nil"/>
              <w:bottom w:val="single" w:sz="4" w:space="0" w:color="auto"/>
              <w:right w:val="single" w:sz="4" w:space="0" w:color="auto"/>
            </w:tcBorders>
            <w:shd w:val="clear" w:color="auto" w:fill="auto"/>
            <w:noWrap/>
            <w:vAlign w:val="bottom"/>
            <w:hideMark/>
          </w:tcPr>
          <w:p w14:paraId="70481F55" w14:textId="373800B0"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19E6E8C8"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2.61 (2.17–3.13)</w:t>
            </w:r>
          </w:p>
        </w:tc>
        <w:tc>
          <w:tcPr>
            <w:tcW w:w="1198" w:type="dxa"/>
            <w:tcBorders>
              <w:top w:val="nil"/>
              <w:left w:val="nil"/>
              <w:bottom w:val="single" w:sz="4" w:space="0" w:color="auto"/>
              <w:right w:val="single" w:sz="4" w:space="0" w:color="auto"/>
            </w:tcBorders>
            <w:shd w:val="clear" w:color="auto" w:fill="auto"/>
            <w:noWrap/>
            <w:vAlign w:val="bottom"/>
            <w:hideMark/>
          </w:tcPr>
          <w:p w14:paraId="4A7CFF85" w14:textId="77777777" w:rsidR="004E340D" w:rsidRPr="00DF7F17" w:rsidRDefault="004E340D" w:rsidP="004E340D">
            <w:pPr>
              <w:spacing w:after="0" w:line="240" w:lineRule="auto"/>
              <w:jc w:val="right"/>
              <w:rPr>
                <w:rFonts w:ascii="Times New Roman" w:eastAsia="Times New Roman" w:hAnsi="Times New Roman" w:cs="Times New Roman"/>
                <w:b/>
                <w:bCs/>
                <w:color w:val="000000"/>
                <w:kern w:val="0"/>
                <w:sz w:val="28"/>
                <w:szCs w:val="28"/>
                <w14:ligatures w14:val="none"/>
              </w:rPr>
            </w:pPr>
            <w:r w:rsidRPr="00DF7F17">
              <w:rPr>
                <w:rFonts w:ascii="Times New Roman" w:eastAsia="Times New Roman" w:hAnsi="Times New Roman" w:cs="Times New Roman"/>
                <w:b/>
                <w:bCs/>
                <w:color w:val="000000"/>
                <w:kern w:val="0"/>
                <w:sz w:val="28"/>
                <w:szCs w:val="28"/>
                <w14:ligatures w14:val="none"/>
              </w:rPr>
              <w:t>&lt;0.001</w:t>
            </w:r>
          </w:p>
        </w:tc>
      </w:tr>
      <w:tr w:rsidR="004E340D" w:rsidRPr="00DF7F17" w14:paraId="2EAE2F16"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5B5A34F3"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Marital Status</w:t>
            </w:r>
          </w:p>
        </w:tc>
      </w:tr>
      <w:tr w:rsidR="004E340D" w:rsidRPr="00DF7F17" w14:paraId="19DB1E40" w14:textId="77777777" w:rsidTr="000726BA">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B512C8A"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Unmarried</w:t>
            </w:r>
          </w:p>
        </w:tc>
        <w:tc>
          <w:tcPr>
            <w:tcW w:w="1235" w:type="dxa"/>
            <w:vMerge w:val="restart"/>
            <w:tcBorders>
              <w:top w:val="nil"/>
              <w:left w:val="nil"/>
              <w:right w:val="single" w:sz="4" w:space="0" w:color="auto"/>
            </w:tcBorders>
            <w:shd w:val="clear" w:color="000000" w:fill="FFFFFF"/>
            <w:noWrap/>
            <w:vAlign w:val="bottom"/>
          </w:tcPr>
          <w:p w14:paraId="692F820C"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p w14:paraId="2426AA43" w14:textId="5E9CEB10"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A5E9731"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 </w:t>
            </w:r>
          </w:p>
        </w:tc>
      </w:tr>
      <w:tr w:rsidR="004E340D" w:rsidRPr="00DF7F17" w14:paraId="69083295" w14:textId="77777777" w:rsidTr="000726BA">
        <w:trPr>
          <w:trHeight w:val="35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6244303"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Married</w:t>
            </w:r>
          </w:p>
        </w:tc>
        <w:tc>
          <w:tcPr>
            <w:tcW w:w="1235" w:type="dxa"/>
            <w:vMerge/>
            <w:tcBorders>
              <w:left w:val="nil"/>
              <w:right w:val="single" w:sz="4" w:space="0" w:color="auto"/>
            </w:tcBorders>
            <w:shd w:val="clear" w:color="auto" w:fill="auto"/>
            <w:noWrap/>
            <w:vAlign w:val="bottom"/>
            <w:hideMark/>
          </w:tcPr>
          <w:p w14:paraId="382B81B0" w14:textId="1B92C8D6"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781B0E3B"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1.62 (1.35–1.95)</w:t>
            </w:r>
          </w:p>
        </w:tc>
        <w:tc>
          <w:tcPr>
            <w:tcW w:w="1198" w:type="dxa"/>
            <w:tcBorders>
              <w:top w:val="nil"/>
              <w:left w:val="nil"/>
              <w:bottom w:val="single" w:sz="4" w:space="0" w:color="auto"/>
              <w:right w:val="single" w:sz="4" w:space="0" w:color="auto"/>
            </w:tcBorders>
            <w:shd w:val="clear" w:color="auto" w:fill="auto"/>
            <w:noWrap/>
            <w:vAlign w:val="bottom"/>
            <w:hideMark/>
          </w:tcPr>
          <w:p w14:paraId="40FDF0B5" w14:textId="77777777" w:rsidR="004E340D" w:rsidRPr="00DF7F17" w:rsidRDefault="004E340D" w:rsidP="004E340D">
            <w:pPr>
              <w:spacing w:after="0" w:line="240" w:lineRule="auto"/>
              <w:jc w:val="right"/>
              <w:rPr>
                <w:rFonts w:ascii="Times New Roman" w:eastAsia="Times New Roman" w:hAnsi="Times New Roman" w:cs="Times New Roman"/>
                <w:b/>
                <w:bCs/>
                <w:color w:val="000000"/>
                <w:kern w:val="0"/>
                <w:sz w:val="28"/>
                <w:szCs w:val="28"/>
                <w14:ligatures w14:val="none"/>
              </w:rPr>
            </w:pPr>
            <w:r w:rsidRPr="00DF7F17">
              <w:rPr>
                <w:rFonts w:ascii="Times New Roman" w:eastAsia="Times New Roman" w:hAnsi="Times New Roman" w:cs="Times New Roman"/>
                <w:b/>
                <w:bCs/>
                <w:color w:val="000000"/>
                <w:kern w:val="0"/>
                <w:sz w:val="28"/>
                <w:szCs w:val="28"/>
                <w14:ligatures w14:val="none"/>
              </w:rPr>
              <w:t>&lt;0.001</w:t>
            </w:r>
          </w:p>
        </w:tc>
      </w:tr>
      <w:tr w:rsidR="004E340D" w:rsidRPr="00DF7F17" w14:paraId="53FBDD63" w14:textId="77777777" w:rsidTr="000726BA">
        <w:trPr>
          <w:trHeight w:val="35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A896E5E"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Divorced/Separated/Widowed</w:t>
            </w:r>
          </w:p>
        </w:tc>
        <w:tc>
          <w:tcPr>
            <w:tcW w:w="1235" w:type="dxa"/>
            <w:vMerge/>
            <w:tcBorders>
              <w:left w:val="nil"/>
              <w:bottom w:val="single" w:sz="4" w:space="0" w:color="auto"/>
              <w:right w:val="single" w:sz="4" w:space="0" w:color="auto"/>
            </w:tcBorders>
            <w:shd w:val="clear" w:color="auto" w:fill="auto"/>
            <w:noWrap/>
            <w:vAlign w:val="bottom"/>
            <w:hideMark/>
          </w:tcPr>
          <w:p w14:paraId="055C101A" w14:textId="7569C89F"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37E263FA"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2.25 (1.70–2.99)</w:t>
            </w:r>
          </w:p>
        </w:tc>
        <w:tc>
          <w:tcPr>
            <w:tcW w:w="1198" w:type="dxa"/>
            <w:tcBorders>
              <w:top w:val="nil"/>
              <w:left w:val="nil"/>
              <w:bottom w:val="single" w:sz="4" w:space="0" w:color="auto"/>
              <w:right w:val="single" w:sz="4" w:space="0" w:color="auto"/>
            </w:tcBorders>
            <w:shd w:val="clear" w:color="auto" w:fill="auto"/>
            <w:noWrap/>
            <w:vAlign w:val="bottom"/>
            <w:hideMark/>
          </w:tcPr>
          <w:p w14:paraId="03223FF2" w14:textId="77777777" w:rsidR="004E340D" w:rsidRPr="00DF7F17" w:rsidRDefault="004E340D" w:rsidP="004E340D">
            <w:pPr>
              <w:spacing w:after="0" w:line="240" w:lineRule="auto"/>
              <w:jc w:val="right"/>
              <w:rPr>
                <w:rFonts w:ascii="Times New Roman" w:eastAsia="Times New Roman" w:hAnsi="Times New Roman" w:cs="Times New Roman"/>
                <w:b/>
                <w:bCs/>
                <w:color w:val="000000"/>
                <w:kern w:val="0"/>
                <w:sz w:val="28"/>
                <w:szCs w:val="28"/>
                <w14:ligatures w14:val="none"/>
              </w:rPr>
            </w:pPr>
            <w:r w:rsidRPr="00DF7F17">
              <w:rPr>
                <w:rFonts w:ascii="Times New Roman" w:eastAsia="Times New Roman" w:hAnsi="Times New Roman" w:cs="Times New Roman"/>
                <w:b/>
                <w:bCs/>
                <w:color w:val="000000"/>
                <w:kern w:val="0"/>
                <w:sz w:val="28"/>
                <w:szCs w:val="28"/>
                <w14:ligatures w14:val="none"/>
              </w:rPr>
              <w:t>&lt;0.001</w:t>
            </w:r>
          </w:p>
        </w:tc>
      </w:tr>
      <w:tr w:rsidR="004E340D" w:rsidRPr="00DF7F17" w14:paraId="566B7C05"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0068FAD5"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Education</w:t>
            </w:r>
          </w:p>
        </w:tc>
      </w:tr>
      <w:tr w:rsidR="004E340D" w:rsidRPr="00DF7F17" w14:paraId="09C61339" w14:textId="77777777" w:rsidTr="00D342F8">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74819FF6"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No education</w:t>
            </w:r>
          </w:p>
        </w:tc>
        <w:tc>
          <w:tcPr>
            <w:tcW w:w="1235" w:type="dxa"/>
            <w:vMerge w:val="restart"/>
            <w:tcBorders>
              <w:top w:val="nil"/>
              <w:left w:val="nil"/>
              <w:right w:val="single" w:sz="4" w:space="0" w:color="auto"/>
            </w:tcBorders>
            <w:shd w:val="clear" w:color="000000" w:fill="FFFFFF"/>
            <w:noWrap/>
            <w:vAlign w:val="bottom"/>
          </w:tcPr>
          <w:p w14:paraId="166BDA66"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p w14:paraId="2BE287EB" w14:textId="42A636C6"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851D69"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r>
      <w:tr w:rsidR="004E340D" w:rsidRPr="00DF7F17" w14:paraId="0D18ABFE" w14:textId="77777777" w:rsidTr="00D342F8">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EDC2F87"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Basic Education (1 - 8)</w:t>
            </w:r>
          </w:p>
        </w:tc>
        <w:tc>
          <w:tcPr>
            <w:tcW w:w="1235" w:type="dxa"/>
            <w:vMerge/>
            <w:tcBorders>
              <w:left w:val="nil"/>
              <w:right w:val="single" w:sz="4" w:space="0" w:color="auto"/>
            </w:tcBorders>
            <w:shd w:val="clear" w:color="auto" w:fill="auto"/>
            <w:noWrap/>
            <w:vAlign w:val="bottom"/>
            <w:hideMark/>
          </w:tcPr>
          <w:p w14:paraId="3017FBE6" w14:textId="31153A57"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232786B1"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0.90 (0.79–1.03)</w:t>
            </w:r>
          </w:p>
        </w:tc>
        <w:tc>
          <w:tcPr>
            <w:tcW w:w="1198" w:type="dxa"/>
            <w:tcBorders>
              <w:top w:val="nil"/>
              <w:left w:val="nil"/>
              <w:bottom w:val="single" w:sz="4" w:space="0" w:color="auto"/>
              <w:right w:val="single" w:sz="4" w:space="0" w:color="auto"/>
            </w:tcBorders>
            <w:shd w:val="clear" w:color="auto" w:fill="auto"/>
            <w:noWrap/>
            <w:vAlign w:val="bottom"/>
            <w:hideMark/>
          </w:tcPr>
          <w:p w14:paraId="3E66E980"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0.119</w:t>
            </w:r>
          </w:p>
        </w:tc>
      </w:tr>
      <w:tr w:rsidR="004E340D" w:rsidRPr="00DF7F17" w14:paraId="6D719E3B" w14:textId="77777777" w:rsidTr="00D342F8">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68AF69C"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Secondary or Higher ( 9 and above)</w:t>
            </w:r>
          </w:p>
        </w:tc>
        <w:tc>
          <w:tcPr>
            <w:tcW w:w="1235" w:type="dxa"/>
            <w:vMerge/>
            <w:tcBorders>
              <w:left w:val="nil"/>
              <w:bottom w:val="single" w:sz="4" w:space="0" w:color="auto"/>
              <w:right w:val="single" w:sz="4" w:space="0" w:color="auto"/>
            </w:tcBorders>
            <w:shd w:val="clear" w:color="auto" w:fill="auto"/>
            <w:noWrap/>
            <w:vAlign w:val="bottom"/>
            <w:hideMark/>
          </w:tcPr>
          <w:p w14:paraId="1C236F27" w14:textId="03D4BC92"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166BF2A7"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0.88 (0.74–1.04)</w:t>
            </w:r>
          </w:p>
        </w:tc>
        <w:tc>
          <w:tcPr>
            <w:tcW w:w="1198" w:type="dxa"/>
            <w:tcBorders>
              <w:top w:val="nil"/>
              <w:left w:val="nil"/>
              <w:bottom w:val="single" w:sz="4" w:space="0" w:color="auto"/>
              <w:right w:val="single" w:sz="4" w:space="0" w:color="auto"/>
            </w:tcBorders>
            <w:shd w:val="clear" w:color="auto" w:fill="auto"/>
            <w:noWrap/>
            <w:vAlign w:val="bottom"/>
            <w:hideMark/>
          </w:tcPr>
          <w:p w14:paraId="4648AF15"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0.131</w:t>
            </w:r>
          </w:p>
        </w:tc>
      </w:tr>
      <w:tr w:rsidR="004E340D" w:rsidRPr="00DF7F17" w14:paraId="5DDA1600"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3AD022F6"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Wealth Category</w:t>
            </w:r>
          </w:p>
        </w:tc>
      </w:tr>
      <w:tr w:rsidR="004E340D" w:rsidRPr="00DF7F17" w14:paraId="5D9E8595" w14:textId="77777777" w:rsidTr="005B20A5">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28AE7A7"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Poor</w:t>
            </w:r>
          </w:p>
        </w:tc>
        <w:tc>
          <w:tcPr>
            <w:tcW w:w="1235" w:type="dxa"/>
            <w:vMerge w:val="restart"/>
            <w:tcBorders>
              <w:top w:val="nil"/>
              <w:left w:val="nil"/>
              <w:right w:val="single" w:sz="4" w:space="0" w:color="auto"/>
            </w:tcBorders>
            <w:shd w:val="clear" w:color="000000" w:fill="FFFFFF"/>
            <w:noWrap/>
            <w:vAlign w:val="bottom"/>
          </w:tcPr>
          <w:p w14:paraId="3E370B6C"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p w14:paraId="75E5A97D" w14:textId="60BE1615"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A4069E"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r>
      <w:tr w:rsidR="004E340D" w:rsidRPr="00DF7F17" w14:paraId="64CA51FB" w14:textId="77777777" w:rsidTr="005B20A5">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25778916"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Middle</w:t>
            </w:r>
          </w:p>
        </w:tc>
        <w:tc>
          <w:tcPr>
            <w:tcW w:w="1235" w:type="dxa"/>
            <w:vMerge/>
            <w:tcBorders>
              <w:left w:val="nil"/>
              <w:right w:val="single" w:sz="4" w:space="0" w:color="auto"/>
            </w:tcBorders>
            <w:shd w:val="clear" w:color="auto" w:fill="auto"/>
            <w:noWrap/>
            <w:vAlign w:val="bottom"/>
            <w:hideMark/>
          </w:tcPr>
          <w:p w14:paraId="75D2D04E" w14:textId="1FA2A8EB"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338E2CD5"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0.89 (0.75–1.05)</w:t>
            </w:r>
          </w:p>
        </w:tc>
        <w:tc>
          <w:tcPr>
            <w:tcW w:w="1198" w:type="dxa"/>
            <w:tcBorders>
              <w:top w:val="nil"/>
              <w:left w:val="nil"/>
              <w:bottom w:val="single" w:sz="4" w:space="0" w:color="auto"/>
              <w:right w:val="single" w:sz="4" w:space="0" w:color="auto"/>
            </w:tcBorders>
            <w:shd w:val="clear" w:color="auto" w:fill="auto"/>
            <w:noWrap/>
            <w:vAlign w:val="bottom"/>
            <w:hideMark/>
          </w:tcPr>
          <w:p w14:paraId="705AC1D1"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0.175</w:t>
            </w:r>
          </w:p>
        </w:tc>
      </w:tr>
      <w:tr w:rsidR="004E340D" w:rsidRPr="00DF7F17" w14:paraId="49AD16B0" w14:textId="77777777" w:rsidTr="005B20A5">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40B7E91E"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Rich</w:t>
            </w:r>
          </w:p>
        </w:tc>
        <w:tc>
          <w:tcPr>
            <w:tcW w:w="1235" w:type="dxa"/>
            <w:vMerge/>
            <w:tcBorders>
              <w:left w:val="nil"/>
              <w:bottom w:val="single" w:sz="4" w:space="0" w:color="auto"/>
              <w:right w:val="single" w:sz="4" w:space="0" w:color="auto"/>
            </w:tcBorders>
            <w:shd w:val="clear" w:color="auto" w:fill="auto"/>
            <w:noWrap/>
            <w:vAlign w:val="bottom"/>
            <w:hideMark/>
          </w:tcPr>
          <w:p w14:paraId="6A77030E" w14:textId="580098F4"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72BD2426"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0.96 (0.81–1.14)</w:t>
            </w:r>
          </w:p>
        </w:tc>
        <w:tc>
          <w:tcPr>
            <w:tcW w:w="1198" w:type="dxa"/>
            <w:tcBorders>
              <w:top w:val="nil"/>
              <w:left w:val="nil"/>
              <w:bottom w:val="single" w:sz="4" w:space="0" w:color="auto"/>
              <w:right w:val="single" w:sz="4" w:space="0" w:color="auto"/>
            </w:tcBorders>
            <w:shd w:val="clear" w:color="auto" w:fill="auto"/>
            <w:noWrap/>
            <w:vAlign w:val="bottom"/>
            <w:hideMark/>
          </w:tcPr>
          <w:p w14:paraId="5D20AD81"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0.654</w:t>
            </w:r>
          </w:p>
        </w:tc>
      </w:tr>
      <w:tr w:rsidR="004E340D" w:rsidRPr="00DF7F17" w14:paraId="57AE3755"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104C3C33"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lastRenderedPageBreak/>
              <w:t>BMI</w:t>
            </w:r>
          </w:p>
        </w:tc>
      </w:tr>
      <w:tr w:rsidR="004E340D" w:rsidRPr="00DF7F17" w14:paraId="0CB527B8" w14:textId="77777777" w:rsidTr="00E71A85">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18DAAAB"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Normal</w:t>
            </w:r>
          </w:p>
        </w:tc>
        <w:tc>
          <w:tcPr>
            <w:tcW w:w="1235" w:type="dxa"/>
            <w:vMerge w:val="restart"/>
            <w:tcBorders>
              <w:top w:val="nil"/>
              <w:left w:val="nil"/>
              <w:right w:val="single" w:sz="4" w:space="0" w:color="auto"/>
            </w:tcBorders>
            <w:shd w:val="clear" w:color="000000" w:fill="FFFFFF"/>
            <w:noWrap/>
            <w:vAlign w:val="bottom"/>
          </w:tcPr>
          <w:p w14:paraId="42D94673" w14:textId="42B8A42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708BEF"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r>
      <w:tr w:rsidR="004E340D" w:rsidRPr="00DF7F17" w14:paraId="4CD593D2" w14:textId="77777777" w:rsidTr="00E71A85">
        <w:trPr>
          <w:trHeight w:val="35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1CC173CB"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Obese/Overweight</w:t>
            </w:r>
          </w:p>
        </w:tc>
        <w:tc>
          <w:tcPr>
            <w:tcW w:w="1235" w:type="dxa"/>
            <w:vMerge/>
            <w:tcBorders>
              <w:left w:val="nil"/>
              <w:bottom w:val="single" w:sz="4" w:space="0" w:color="auto"/>
              <w:right w:val="single" w:sz="4" w:space="0" w:color="auto"/>
            </w:tcBorders>
            <w:shd w:val="clear" w:color="auto" w:fill="auto"/>
            <w:noWrap/>
            <w:vAlign w:val="bottom"/>
            <w:hideMark/>
          </w:tcPr>
          <w:p w14:paraId="44840431" w14:textId="3C271760"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17A1B6A7"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2.46 (2.21–2.73)</w:t>
            </w:r>
          </w:p>
        </w:tc>
        <w:tc>
          <w:tcPr>
            <w:tcW w:w="1198" w:type="dxa"/>
            <w:tcBorders>
              <w:top w:val="nil"/>
              <w:left w:val="nil"/>
              <w:bottom w:val="single" w:sz="4" w:space="0" w:color="auto"/>
              <w:right w:val="single" w:sz="4" w:space="0" w:color="auto"/>
            </w:tcBorders>
            <w:shd w:val="clear" w:color="auto" w:fill="auto"/>
            <w:noWrap/>
            <w:vAlign w:val="bottom"/>
            <w:hideMark/>
          </w:tcPr>
          <w:p w14:paraId="31E8D8E5" w14:textId="77777777" w:rsidR="004E340D" w:rsidRPr="00DF7F17" w:rsidRDefault="004E340D" w:rsidP="004E340D">
            <w:pPr>
              <w:spacing w:after="0" w:line="240" w:lineRule="auto"/>
              <w:jc w:val="right"/>
              <w:rPr>
                <w:rFonts w:ascii="Times New Roman" w:eastAsia="Times New Roman" w:hAnsi="Times New Roman" w:cs="Times New Roman"/>
                <w:b/>
                <w:bCs/>
                <w:color w:val="000000"/>
                <w:kern w:val="0"/>
                <w:sz w:val="28"/>
                <w:szCs w:val="28"/>
                <w14:ligatures w14:val="none"/>
              </w:rPr>
            </w:pPr>
            <w:r w:rsidRPr="00DF7F17">
              <w:rPr>
                <w:rFonts w:ascii="Times New Roman" w:eastAsia="Times New Roman" w:hAnsi="Times New Roman" w:cs="Times New Roman"/>
                <w:b/>
                <w:bCs/>
                <w:color w:val="000000"/>
                <w:kern w:val="0"/>
                <w:sz w:val="28"/>
                <w:szCs w:val="28"/>
                <w14:ligatures w14:val="none"/>
              </w:rPr>
              <w:t>&lt;0.001</w:t>
            </w:r>
          </w:p>
        </w:tc>
      </w:tr>
      <w:tr w:rsidR="004E340D" w:rsidRPr="00DF7F17" w14:paraId="3C107E5A"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3894B5D5"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Residency Region</w:t>
            </w:r>
          </w:p>
        </w:tc>
      </w:tr>
      <w:tr w:rsidR="004E340D" w:rsidRPr="00DF7F17" w14:paraId="3ADA14AC" w14:textId="77777777" w:rsidTr="00A56FCD">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FCC1198"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Urban</w:t>
            </w:r>
          </w:p>
        </w:tc>
        <w:tc>
          <w:tcPr>
            <w:tcW w:w="1235" w:type="dxa"/>
            <w:vMerge w:val="restart"/>
            <w:tcBorders>
              <w:top w:val="nil"/>
              <w:left w:val="nil"/>
              <w:right w:val="single" w:sz="4" w:space="0" w:color="auto"/>
            </w:tcBorders>
            <w:shd w:val="clear" w:color="000000" w:fill="FFFFFF"/>
            <w:noWrap/>
            <w:vAlign w:val="bottom"/>
          </w:tcPr>
          <w:p w14:paraId="32CBD853" w14:textId="0D3BF825"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36B567"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r>
      <w:tr w:rsidR="004E340D" w:rsidRPr="00DF7F17" w14:paraId="0322401B" w14:textId="77777777" w:rsidTr="00A56FCD">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5B57E5AC"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Rural</w:t>
            </w:r>
          </w:p>
        </w:tc>
        <w:tc>
          <w:tcPr>
            <w:tcW w:w="1235" w:type="dxa"/>
            <w:vMerge/>
            <w:tcBorders>
              <w:left w:val="nil"/>
              <w:bottom w:val="single" w:sz="4" w:space="0" w:color="auto"/>
              <w:right w:val="single" w:sz="4" w:space="0" w:color="auto"/>
            </w:tcBorders>
            <w:shd w:val="clear" w:color="auto" w:fill="auto"/>
            <w:noWrap/>
            <w:vAlign w:val="bottom"/>
            <w:hideMark/>
          </w:tcPr>
          <w:p w14:paraId="5612D37F" w14:textId="24B34A74"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2B488B13"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0.83 (0.71–0.96)</w:t>
            </w:r>
          </w:p>
        </w:tc>
        <w:tc>
          <w:tcPr>
            <w:tcW w:w="1198" w:type="dxa"/>
            <w:tcBorders>
              <w:top w:val="nil"/>
              <w:left w:val="nil"/>
              <w:bottom w:val="single" w:sz="4" w:space="0" w:color="auto"/>
              <w:right w:val="single" w:sz="4" w:space="0" w:color="auto"/>
            </w:tcBorders>
            <w:shd w:val="clear" w:color="auto" w:fill="auto"/>
            <w:noWrap/>
            <w:vAlign w:val="bottom"/>
            <w:hideMark/>
          </w:tcPr>
          <w:p w14:paraId="190C2CE0"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0.016</w:t>
            </w:r>
          </w:p>
        </w:tc>
      </w:tr>
      <w:tr w:rsidR="004E340D" w:rsidRPr="00DF7F17" w14:paraId="6B804722" w14:textId="77777777" w:rsidTr="00DF7F17">
        <w:trPr>
          <w:trHeight w:val="280"/>
        </w:trPr>
        <w:tc>
          <w:tcPr>
            <w:tcW w:w="8520" w:type="dxa"/>
            <w:gridSpan w:val="4"/>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5401FE29" w14:textId="77777777"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b/>
                <w:bCs/>
                <w:color w:val="000000"/>
                <w:kern w:val="0"/>
                <w:sz w:val="22"/>
                <w:szCs w:val="22"/>
                <w14:ligatures w14:val="none"/>
              </w:rPr>
              <w:t>Ecological Region</w:t>
            </w:r>
          </w:p>
        </w:tc>
      </w:tr>
      <w:tr w:rsidR="004E340D" w:rsidRPr="00DF7F17" w14:paraId="4C199421" w14:textId="77777777" w:rsidTr="00E026E0">
        <w:trPr>
          <w:trHeight w:val="28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3335C4D6"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Terai</w:t>
            </w:r>
          </w:p>
        </w:tc>
        <w:tc>
          <w:tcPr>
            <w:tcW w:w="1235" w:type="dxa"/>
            <w:vMerge w:val="restart"/>
            <w:tcBorders>
              <w:top w:val="nil"/>
              <w:left w:val="nil"/>
              <w:right w:val="single" w:sz="4" w:space="0" w:color="auto"/>
            </w:tcBorders>
            <w:shd w:val="clear" w:color="000000" w:fill="FFFFFF"/>
            <w:noWrap/>
            <w:vAlign w:val="bottom"/>
          </w:tcPr>
          <w:p w14:paraId="554302DF"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p w14:paraId="30CD055C" w14:textId="06D1F676" w:rsidR="004E340D" w:rsidRPr="00DF7F17" w:rsidRDefault="004E340D" w:rsidP="004E340D">
            <w:pPr>
              <w:spacing w:after="0" w:line="240" w:lineRule="auto"/>
              <w:rPr>
                <w:rFonts w:ascii="Arial" w:eastAsia="Times New Roman" w:hAnsi="Arial" w:cs="Arial"/>
                <w:b/>
                <w:bCs/>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c>
          <w:tcPr>
            <w:tcW w:w="3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535611"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 </w:t>
            </w:r>
          </w:p>
        </w:tc>
      </w:tr>
      <w:tr w:rsidR="004E340D" w:rsidRPr="00DF7F17" w14:paraId="2F94549E" w14:textId="77777777" w:rsidTr="00E026E0">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0C549A8C"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Mountain</w:t>
            </w:r>
          </w:p>
        </w:tc>
        <w:tc>
          <w:tcPr>
            <w:tcW w:w="1235" w:type="dxa"/>
            <w:vMerge/>
            <w:tcBorders>
              <w:left w:val="nil"/>
              <w:right w:val="single" w:sz="4" w:space="0" w:color="auto"/>
            </w:tcBorders>
            <w:shd w:val="clear" w:color="auto" w:fill="auto"/>
            <w:noWrap/>
            <w:vAlign w:val="bottom"/>
            <w:hideMark/>
          </w:tcPr>
          <w:p w14:paraId="24B99732" w14:textId="6F7777FC"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7EEA24B0"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1.07 (0.76–1.50)</w:t>
            </w:r>
          </w:p>
        </w:tc>
        <w:tc>
          <w:tcPr>
            <w:tcW w:w="1198" w:type="dxa"/>
            <w:tcBorders>
              <w:top w:val="nil"/>
              <w:left w:val="nil"/>
              <w:bottom w:val="single" w:sz="4" w:space="0" w:color="auto"/>
              <w:right w:val="single" w:sz="4" w:space="0" w:color="auto"/>
            </w:tcBorders>
            <w:shd w:val="clear" w:color="auto" w:fill="auto"/>
            <w:noWrap/>
            <w:vAlign w:val="bottom"/>
            <w:hideMark/>
          </w:tcPr>
          <w:p w14:paraId="778E77BC"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0.694</w:t>
            </w:r>
          </w:p>
        </w:tc>
      </w:tr>
      <w:tr w:rsidR="004E340D" w:rsidRPr="00DF7F17" w14:paraId="00BBA153" w14:textId="77777777" w:rsidTr="00E026E0">
        <w:trPr>
          <w:trHeight w:val="360"/>
        </w:trPr>
        <w:tc>
          <w:tcPr>
            <w:tcW w:w="3685" w:type="dxa"/>
            <w:tcBorders>
              <w:top w:val="nil"/>
              <w:left w:val="single" w:sz="4" w:space="0" w:color="auto"/>
              <w:bottom w:val="single" w:sz="4" w:space="0" w:color="auto"/>
              <w:right w:val="single" w:sz="4" w:space="0" w:color="auto"/>
            </w:tcBorders>
            <w:shd w:val="clear" w:color="auto" w:fill="auto"/>
            <w:noWrap/>
            <w:vAlign w:val="bottom"/>
            <w:hideMark/>
          </w:tcPr>
          <w:p w14:paraId="687F0BD6" w14:textId="77777777" w:rsidR="004E340D" w:rsidRPr="00DF7F17" w:rsidRDefault="004E340D" w:rsidP="004E340D">
            <w:pPr>
              <w:spacing w:after="0" w:line="240" w:lineRule="auto"/>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Hill</w:t>
            </w:r>
          </w:p>
        </w:tc>
        <w:tc>
          <w:tcPr>
            <w:tcW w:w="1235" w:type="dxa"/>
            <w:vMerge/>
            <w:tcBorders>
              <w:left w:val="nil"/>
              <w:bottom w:val="single" w:sz="4" w:space="0" w:color="auto"/>
              <w:right w:val="single" w:sz="4" w:space="0" w:color="auto"/>
            </w:tcBorders>
            <w:shd w:val="clear" w:color="auto" w:fill="auto"/>
            <w:noWrap/>
            <w:vAlign w:val="bottom"/>
            <w:hideMark/>
          </w:tcPr>
          <w:p w14:paraId="6CF5F3CC" w14:textId="0D8F36EC" w:rsidR="004E340D" w:rsidRPr="00DF7F17" w:rsidRDefault="004E340D" w:rsidP="004E340D">
            <w:pPr>
              <w:spacing w:after="0" w:line="240" w:lineRule="auto"/>
              <w:rPr>
                <w:rFonts w:ascii="Arial" w:eastAsia="Times New Roman" w:hAnsi="Arial" w:cs="Arial"/>
                <w:color w:val="000000"/>
                <w:kern w:val="0"/>
                <w:sz w:val="22"/>
                <w:szCs w:val="22"/>
                <w14:ligatures w14:val="none"/>
              </w:rPr>
            </w:pPr>
          </w:p>
        </w:tc>
        <w:tc>
          <w:tcPr>
            <w:tcW w:w="2402" w:type="dxa"/>
            <w:tcBorders>
              <w:top w:val="nil"/>
              <w:left w:val="nil"/>
              <w:bottom w:val="single" w:sz="4" w:space="0" w:color="auto"/>
              <w:right w:val="single" w:sz="4" w:space="0" w:color="auto"/>
            </w:tcBorders>
            <w:shd w:val="clear" w:color="auto" w:fill="auto"/>
            <w:noWrap/>
            <w:vAlign w:val="bottom"/>
            <w:hideMark/>
          </w:tcPr>
          <w:p w14:paraId="3296B7E5" w14:textId="77777777" w:rsidR="004E340D" w:rsidRPr="00DF7F17" w:rsidRDefault="004E340D" w:rsidP="004E340D">
            <w:pPr>
              <w:spacing w:after="0" w:line="240" w:lineRule="auto"/>
              <w:jc w:val="right"/>
              <w:rPr>
                <w:rFonts w:ascii="Arial" w:eastAsia="Times New Roman" w:hAnsi="Arial" w:cs="Arial"/>
                <w:color w:val="000000"/>
                <w:kern w:val="0"/>
                <w:sz w:val="22"/>
                <w:szCs w:val="22"/>
                <w14:ligatures w14:val="none"/>
              </w:rPr>
            </w:pPr>
            <w:r w:rsidRPr="00DF7F17">
              <w:rPr>
                <w:rFonts w:ascii="Arial" w:eastAsia="Times New Roman" w:hAnsi="Arial" w:cs="Arial"/>
                <w:color w:val="000000"/>
                <w:kern w:val="0"/>
                <w:sz w:val="22"/>
                <w:szCs w:val="22"/>
                <w14:ligatures w14:val="none"/>
              </w:rPr>
              <w:t>1.07 (0.91–1.25)</w:t>
            </w:r>
          </w:p>
        </w:tc>
        <w:tc>
          <w:tcPr>
            <w:tcW w:w="1198" w:type="dxa"/>
            <w:tcBorders>
              <w:top w:val="nil"/>
              <w:left w:val="nil"/>
              <w:bottom w:val="single" w:sz="4" w:space="0" w:color="auto"/>
              <w:right w:val="single" w:sz="4" w:space="0" w:color="auto"/>
            </w:tcBorders>
            <w:shd w:val="clear" w:color="auto" w:fill="auto"/>
            <w:noWrap/>
            <w:vAlign w:val="bottom"/>
            <w:hideMark/>
          </w:tcPr>
          <w:p w14:paraId="5B199D7D" w14:textId="77777777" w:rsidR="004E340D" w:rsidRPr="00DF7F17" w:rsidRDefault="004E340D" w:rsidP="004E340D">
            <w:pPr>
              <w:spacing w:after="0" w:line="240" w:lineRule="auto"/>
              <w:jc w:val="right"/>
              <w:rPr>
                <w:rFonts w:ascii="Times New Roman" w:eastAsia="Times New Roman" w:hAnsi="Times New Roman" w:cs="Times New Roman"/>
                <w:color w:val="000000"/>
                <w:kern w:val="0"/>
                <w:sz w:val="28"/>
                <w:szCs w:val="28"/>
                <w14:ligatures w14:val="none"/>
              </w:rPr>
            </w:pPr>
            <w:r w:rsidRPr="00DF7F17">
              <w:rPr>
                <w:rFonts w:ascii="Times New Roman" w:eastAsia="Times New Roman" w:hAnsi="Times New Roman" w:cs="Times New Roman"/>
                <w:color w:val="000000"/>
                <w:kern w:val="0"/>
                <w:sz w:val="28"/>
                <w:szCs w:val="28"/>
                <w14:ligatures w14:val="none"/>
              </w:rPr>
              <w:t>0.414</w:t>
            </w:r>
          </w:p>
        </w:tc>
      </w:tr>
    </w:tbl>
    <w:p w14:paraId="394F9AB2" w14:textId="77777777" w:rsidR="00DF7F17" w:rsidRPr="00DF7F17" w:rsidRDefault="00DF7F17" w:rsidP="00DF7F17"/>
    <w:p w14:paraId="2201D8A5" w14:textId="629CB783" w:rsidR="009F0E5A" w:rsidRDefault="009F0E5A" w:rsidP="00DF7F17">
      <w:pPr>
        <w:pStyle w:val="Caption"/>
        <w:rPr>
          <w:sz w:val="22"/>
          <w:szCs w:val="22"/>
        </w:rPr>
      </w:pPr>
    </w:p>
    <w:p w14:paraId="419F5F93" w14:textId="77777777" w:rsidR="009F0E5A" w:rsidRPr="00DD596B" w:rsidRDefault="009F0E5A" w:rsidP="00B816B8">
      <w:pPr>
        <w:rPr>
          <w:sz w:val="22"/>
          <w:szCs w:val="22"/>
        </w:rPr>
      </w:pPr>
    </w:p>
    <w:sectPr w:rsidR="009F0E5A" w:rsidRPr="00DD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061"/>
    <w:multiLevelType w:val="multilevel"/>
    <w:tmpl w:val="F7A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A663D"/>
    <w:multiLevelType w:val="multilevel"/>
    <w:tmpl w:val="1A2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B7926"/>
    <w:multiLevelType w:val="multilevel"/>
    <w:tmpl w:val="089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944519">
    <w:abstractNumId w:val="1"/>
  </w:num>
  <w:num w:numId="2" w16cid:durableId="1626231184">
    <w:abstractNumId w:val="0"/>
  </w:num>
  <w:num w:numId="3" w16cid:durableId="97340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99"/>
    <w:rsid w:val="00066424"/>
    <w:rsid w:val="00142F8C"/>
    <w:rsid w:val="001453F1"/>
    <w:rsid w:val="00161CD8"/>
    <w:rsid w:val="0016401D"/>
    <w:rsid w:val="00207CB7"/>
    <w:rsid w:val="00254F5F"/>
    <w:rsid w:val="00341CC3"/>
    <w:rsid w:val="00367DC0"/>
    <w:rsid w:val="003E7709"/>
    <w:rsid w:val="004D5DAF"/>
    <w:rsid w:val="004E340D"/>
    <w:rsid w:val="005B0602"/>
    <w:rsid w:val="00615F19"/>
    <w:rsid w:val="006D0036"/>
    <w:rsid w:val="00806AA0"/>
    <w:rsid w:val="00855F9E"/>
    <w:rsid w:val="008735BD"/>
    <w:rsid w:val="00873E93"/>
    <w:rsid w:val="008E7E44"/>
    <w:rsid w:val="009015F2"/>
    <w:rsid w:val="009151A6"/>
    <w:rsid w:val="009770B6"/>
    <w:rsid w:val="009F0E5A"/>
    <w:rsid w:val="009F4895"/>
    <w:rsid w:val="00A41200"/>
    <w:rsid w:val="00AD03CA"/>
    <w:rsid w:val="00AD0BB6"/>
    <w:rsid w:val="00B01599"/>
    <w:rsid w:val="00B76FFB"/>
    <w:rsid w:val="00B816B8"/>
    <w:rsid w:val="00B945D3"/>
    <w:rsid w:val="00BA4309"/>
    <w:rsid w:val="00BC629D"/>
    <w:rsid w:val="00C86A66"/>
    <w:rsid w:val="00DC354A"/>
    <w:rsid w:val="00DD279D"/>
    <w:rsid w:val="00DD596B"/>
    <w:rsid w:val="00DF7F17"/>
    <w:rsid w:val="00E2478F"/>
    <w:rsid w:val="00EB0CED"/>
    <w:rsid w:val="00F81BFB"/>
    <w:rsid w:val="00FE282A"/>
    <w:rsid w:val="00FE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9CA16"/>
  <w15:chartTrackingRefBased/>
  <w15:docId w15:val="{D2D765DF-D36C-4EBA-A996-09EF0CBF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599"/>
    <w:rPr>
      <w:rFonts w:eastAsiaTheme="majorEastAsia" w:cstheme="majorBidi"/>
      <w:color w:val="272727" w:themeColor="text1" w:themeTint="D8"/>
    </w:rPr>
  </w:style>
  <w:style w:type="paragraph" w:styleId="Title">
    <w:name w:val="Title"/>
    <w:basedOn w:val="Normal"/>
    <w:next w:val="Normal"/>
    <w:link w:val="TitleChar"/>
    <w:uiPriority w:val="10"/>
    <w:qFormat/>
    <w:rsid w:val="00B0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599"/>
    <w:pPr>
      <w:spacing w:before="160"/>
      <w:jc w:val="center"/>
    </w:pPr>
    <w:rPr>
      <w:i/>
      <w:iCs/>
      <w:color w:val="404040" w:themeColor="text1" w:themeTint="BF"/>
    </w:rPr>
  </w:style>
  <w:style w:type="character" w:customStyle="1" w:styleId="QuoteChar">
    <w:name w:val="Quote Char"/>
    <w:basedOn w:val="DefaultParagraphFont"/>
    <w:link w:val="Quote"/>
    <w:uiPriority w:val="29"/>
    <w:rsid w:val="00B01599"/>
    <w:rPr>
      <w:i/>
      <w:iCs/>
      <w:color w:val="404040" w:themeColor="text1" w:themeTint="BF"/>
    </w:rPr>
  </w:style>
  <w:style w:type="paragraph" w:styleId="ListParagraph">
    <w:name w:val="List Paragraph"/>
    <w:basedOn w:val="Normal"/>
    <w:uiPriority w:val="34"/>
    <w:qFormat/>
    <w:rsid w:val="00B01599"/>
    <w:pPr>
      <w:ind w:left="720"/>
      <w:contextualSpacing/>
    </w:pPr>
  </w:style>
  <w:style w:type="character" w:styleId="IntenseEmphasis">
    <w:name w:val="Intense Emphasis"/>
    <w:basedOn w:val="DefaultParagraphFont"/>
    <w:uiPriority w:val="21"/>
    <w:qFormat/>
    <w:rsid w:val="00B01599"/>
    <w:rPr>
      <w:i/>
      <w:iCs/>
      <w:color w:val="0F4761" w:themeColor="accent1" w:themeShade="BF"/>
    </w:rPr>
  </w:style>
  <w:style w:type="paragraph" w:styleId="IntenseQuote">
    <w:name w:val="Intense Quote"/>
    <w:basedOn w:val="Normal"/>
    <w:next w:val="Normal"/>
    <w:link w:val="IntenseQuoteChar"/>
    <w:uiPriority w:val="30"/>
    <w:qFormat/>
    <w:rsid w:val="00B0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599"/>
    <w:rPr>
      <w:i/>
      <w:iCs/>
      <w:color w:val="0F4761" w:themeColor="accent1" w:themeShade="BF"/>
    </w:rPr>
  </w:style>
  <w:style w:type="character" w:styleId="IntenseReference">
    <w:name w:val="Intense Reference"/>
    <w:basedOn w:val="DefaultParagraphFont"/>
    <w:uiPriority w:val="32"/>
    <w:qFormat/>
    <w:rsid w:val="00B01599"/>
    <w:rPr>
      <w:b/>
      <w:bCs/>
      <w:smallCaps/>
      <w:color w:val="0F4761" w:themeColor="accent1" w:themeShade="BF"/>
      <w:spacing w:val="5"/>
    </w:rPr>
  </w:style>
  <w:style w:type="character" w:styleId="Hyperlink">
    <w:name w:val="Hyperlink"/>
    <w:basedOn w:val="DefaultParagraphFont"/>
    <w:uiPriority w:val="99"/>
    <w:unhideWhenUsed/>
    <w:rsid w:val="00066424"/>
    <w:rPr>
      <w:color w:val="467886" w:themeColor="hyperlink"/>
      <w:u w:val="single"/>
    </w:rPr>
  </w:style>
  <w:style w:type="character" w:styleId="UnresolvedMention">
    <w:name w:val="Unresolved Mention"/>
    <w:basedOn w:val="DefaultParagraphFont"/>
    <w:uiPriority w:val="99"/>
    <w:semiHidden/>
    <w:unhideWhenUsed/>
    <w:rsid w:val="00066424"/>
    <w:rPr>
      <w:color w:val="605E5C"/>
      <w:shd w:val="clear" w:color="auto" w:fill="E1DFDD"/>
    </w:rPr>
  </w:style>
  <w:style w:type="paragraph" w:styleId="NormalWeb">
    <w:name w:val="Normal (Web)"/>
    <w:basedOn w:val="Normal"/>
    <w:uiPriority w:val="99"/>
    <w:semiHidden/>
    <w:unhideWhenUsed/>
    <w:rsid w:val="00BA4309"/>
    <w:rPr>
      <w:rFonts w:ascii="Times New Roman" w:hAnsi="Times New Roman" w:cs="Times New Roman"/>
    </w:rPr>
  </w:style>
  <w:style w:type="paragraph" w:styleId="Caption">
    <w:name w:val="caption"/>
    <w:basedOn w:val="Normal"/>
    <w:next w:val="Normal"/>
    <w:uiPriority w:val="35"/>
    <w:unhideWhenUsed/>
    <w:qFormat/>
    <w:rsid w:val="006D003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816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1942">
      <w:bodyDiv w:val="1"/>
      <w:marLeft w:val="0"/>
      <w:marRight w:val="0"/>
      <w:marTop w:val="0"/>
      <w:marBottom w:val="0"/>
      <w:divBdr>
        <w:top w:val="none" w:sz="0" w:space="0" w:color="auto"/>
        <w:left w:val="none" w:sz="0" w:space="0" w:color="auto"/>
        <w:bottom w:val="none" w:sz="0" w:space="0" w:color="auto"/>
        <w:right w:val="none" w:sz="0" w:space="0" w:color="auto"/>
      </w:divBdr>
    </w:div>
    <w:div w:id="133375726">
      <w:bodyDiv w:val="1"/>
      <w:marLeft w:val="0"/>
      <w:marRight w:val="0"/>
      <w:marTop w:val="0"/>
      <w:marBottom w:val="0"/>
      <w:divBdr>
        <w:top w:val="none" w:sz="0" w:space="0" w:color="auto"/>
        <w:left w:val="none" w:sz="0" w:space="0" w:color="auto"/>
        <w:bottom w:val="none" w:sz="0" w:space="0" w:color="auto"/>
        <w:right w:val="none" w:sz="0" w:space="0" w:color="auto"/>
      </w:divBdr>
    </w:div>
    <w:div w:id="141820842">
      <w:bodyDiv w:val="1"/>
      <w:marLeft w:val="0"/>
      <w:marRight w:val="0"/>
      <w:marTop w:val="0"/>
      <w:marBottom w:val="0"/>
      <w:divBdr>
        <w:top w:val="none" w:sz="0" w:space="0" w:color="auto"/>
        <w:left w:val="none" w:sz="0" w:space="0" w:color="auto"/>
        <w:bottom w:val="none" w:sz="0" w:space="0" w:color="auto"/>
        <w:right w:val="none" w:sz="0" w:space="0" w:color="auto"/>
      </w:divBdr>
    </w:div>
    <w:div w:id="167451027">
      <w:bodyDiv w:val="1"/>
      <w:marLeft w:val="0"/>
      <w:marRight w:val="0"/>
      <w:marTop w:val="0"/>
      <w:marBottom w:val="0"/>
      <w:divBdr>
        <w:top w:val="none" w:sz="0" w:space="0" w:color="auto"/>
        <w:left w:val="none" w:sz="0" w:space="0" w:color="auto"/>
        <w:bottom w:val="none" w:sz="0" w:space="0" w:color="auto"/>
        <w:right w:val="none" w:sz="0" w:space="0" w:color="auto"/>
      </w:divBdr>
    </w:div>
    <w:div w:id="228535510">
      <w:bodyDiv w:val="1"/>
      <w:marLeft w:val="0"/>
      <w:marRight w:val="0"/>
      <w:marTop w:val="0"/>
      <w:marBottom w:val="0"/>
      <w:divBdr>
        <w:top w:val="none" w:sz="0" w:space="0" w:color="auto"/>
        <w:left w:val="none" w:sz="0" w:space="0" w:color="auto"/>
        <w:bottom w:val="none" w:sz="0" w:space="0" w:color="auto"/>
        <w:right w:val="none" w:sz="0" w:space="0" w:color="auto"/>
      </w:divBdr>
    </w:div>
    <w:div w:id="280497321">
      <w:bodyDiv w:val="1"/>
      <w:marLeft w:val="0"/>
      <w:marRight w:val="0"/>
      <w:marTop w:val="0"/>
      <w:marBottom w:val="0"/>
      <w:divBdr>
        <w:top w:val="none" w:sz="0" w:space="0" w:color="auto"/>
        <w:left w:val="none" w:sz="0" w:space="0" w:color="auto"/>
        <w:bottom w:val="none" w:sz="0" w:space="0" w:color="auto"/>
        <w:right w:val="none" w:sz="0" w:space="0" w:color="auto"/>
      </w:divBdr>
    </w:div>
    <w:div w:id="295718347">
      <w:bodyDiv w:val="1"/>
      <w:marLeft w:val="0"/>
      <w:marRight w:val="0"/>
      <w:marTop w:val="0"/>
      <w:marBottom w:val="0"/>
      <w:divBdr>
        <w:top w:val="none" w:sz="0" w:space="0" w:color="auto"/>
        <w:left w:val="none" w:sz="0" w:space="0" w:color="auto"/>
        <w:bottom w:val="none" w:sz="0" w:space="0" w:color="auto"/>
        <w:right w:val="none" w:sz="0" w:space="0" w:color="auto"/>
      </w:divBdr>
    </w:div>
    <w:div w:id="376584024">
      <w:bodyDiv w:val="1"/>
      <w:marLeft w:val="0"/>
      <w:marRight w:val="0"/>
      <w:marTop w:val="0"/>
      <w:marBottom w:val="0"/>
      <w:divBdr>
        <w:top w:val="none" w:sz="0" w:space="0" w:color="auto"/>
        <w:left w:val="none" w:sz="0" w:space="0" w:color="auto"/>
        <w:bottom w:val="none" w:sz="0" w:space="0" w:color="auto"/>
        <w:right w:val="none" w:sz="0" w:space="0" w:color="auto"/>
      </w:divBdr>
    </w:div>
    <w:div w:id="386609171">
      <w:bodyDiv w:val="1"/>
      <w:marLeft w:val="0"/>
      <w:marRight w:val="0"/>
      <w:marTop w:val="0"/>
      <w:marBottom w:val="0"/>
      <w:divBdr>
        <w:top w:val="none" w:sz="0" w:space="0" w:color="auto"/>
        <w:left w:val="none" w:sz="0" w:space="0" w:color="auto"/>
        <w:bottom w:val="none" w:sz="0" w:space="0" w:color="auto"/>
        <w:right w:val="none" w:sz="0" w:space="0" w:color="auto"/>
      </w:divBdr>
    </w:div>
    <w:div w:id="392435076">
      <w:bodyDiv w:val="1"/>
      <w:marLeft w:val="0"/>
      <w:marRight w:val="0"/>
      <w:marTop w:val="0"/>
      <w:marBottom w:val="0"/>
      <w:divBdr>
        <w:top w:val="none" w:sz="0" w:space="0" w:color="auto"/>
        <w:left w:val="none" w:sz="0" w:space="0" w:color="auto"/>
        <w:bottom w:val="none" w:sz="0" w:space="0" w:color="auto"/>
        <w:right w:val="none" w:sz="0" w:space="0" w:color="auto"/>
      </w:divBdr>
    </w:div>
    <w:div w:id="464202263">
      <w:bodyDiv w:val="1"/>
      <w:marLeft w:val="0"/>
      <w:marRight w:val="0"/>
      <w:marTop w:val="0"/>
      <w:marBottom w:val="0"/>
      <w:divBdr>
        <w:top w:val="none" w:sz="0" w:space="0" w:color="auto"/>
        <w:left w:val="none" w:sz="0" w:space="0" w:color="auto"/>
        <w:bottom w:val="none" w:sz="0" w:space="0" w:color="auto"/>
        <w:right w:val="none" w:sz="0" w:space="0" w:color="auto"/>
      </w:divBdr>
    </w:div>
    <w:div w:id="624850573">
      <w:bodyDiv w:val="1"/>
      <w:marLeft w:val="0"/>
      <w:marRight w:val="0"/>
      <w:marTop w:val="0"/>
      <w:marBottom w:val="0"/>
      <w:divBdr>
        <w:top w:val="none" w:sz="0" w:space="0" w:color="auto"/>
        <w:left w:val="none" w:sz="0" w:space="0" w:color="auto"/>
        <w:bottom w:val="none" w:sz="0" w:space="0" w:color="auto"/>
        <w:right w:val="none" w:sz="0" w:space="0" w:color="auto"/>
      </w:divBdr>
    </w:div>
    <w:div w:id="682130430">
      <w:bodyDiv w:val="1"/>
      <w:marLeft w:val="0"/>
      <w:marRight w:val="0"/>
      <w:marTop w:val="0"/>
      <w:marBottom w:val="0"/>
      <w:divBdr>
        <w:top w:val="none" w:sz="0" w:space="0" w:color="auto"/>
        <w:left w:val="none" w:sz="0" w:space="0" w:color="auto"/>
        <w:bottom w:val="none" w:sz="0" w:space="0" w:color="auto"/>
        <w:right w:val="none" w:sz="0" w:space="0" w:color="auto"/>
      </w:divBdr>
    </w:div>
    <w:div w:id="701708066">
      <w:bodyDiv w:val="1"/>
      <w:marLeft w:val="0"/>
      <w:marRight w:val="0"/>
      <w:marTop w:val="0"/>
      <w:marBottom w:val="0"/>
      <w:divBdr>
        <w:top w:val="none" w:sz="0" w:space="0" w:color="auto"/>
        <w:left w:val="none" w:sz="0" w:space="0" w:color="auto"/>
        <w:bottom w:val="none" w:sz="0" w:space="0" w:color="auto"/>
        <w:right w:val="none" w:sz="0" w:space="0" w:color="auto"/>
      </w:divBdr>
    </w:div>
    <w:div w:id="749809747">
      <w:bodyDiv w:val="1"/>
      <w:marLeft w:val="0"/>
      <w:marRight w:val="0"/>
      <w:marTop w:val="0"/>
      <w:marBottom w:val="0"/>
      <w:divBdr>
        <w:top w:val="none" w:sz="0" w:space="0" w:color="auto"/>
        <w:left w:val="none" w:sz="0" w:space="0" w:color="auto"/>
        <w:bottom w:val="none" w:sz="0" w:space="0" w:color="auto"/>
        <w:right w:val="none" w:sz="0" w:space="0" w:color="auto"/>
      </w:divBdr>
    </w:div>
    <w:div w:id="838080551">
      <w:bodyDiv w:val="1"/>
      <w:marLeft w:val="0"/>
      <w:marRight w:val="0"/>
      <w:marTop w:val="0"/>
      <w:marBottom w:val="0"/>
      <w:divBdr>
        <w:top w:val="none" w:sz="0" w:space="0" w:color="auto"/>
        <w:left w:val="none" w:sz="0" w:space="0" w:color="auto"/>
        <w:bottom w:val="none" w:sz="0" w:space="0" w:color="auto"/>
        <w:right w:val="none" w:sz="0" w:space="0" w:color="auto"/>
      </w:divBdr>
    </w:div>
    <w:div w:id="1197425733">
      <w:bodyDiv w:val="1"/>
      <w:marLeft w:val="0"/>
      <w:marRight w:val="0"/>
      <w:marTop w:val="0"/>
      <w:marBottom w:val="0"/>
      <w:divBdr>
        <w:top w:val="none" w:sz="0" w:space="0" w:color="auto"/>
        <w:left w:val="none" w:sz="0" w:space="0" w:color="auto"/>
        <w:bottom w:val="none" w:sz="0" w:space="0" w:color="auto"/>
        <w:right w:val="none" w:sz="0" w:space="0" w:color="auto"/>
      </w:divBdr>
    </w:div>
    <w:div w:id="1206673234">
      <w:bodyDiv w:val="1"/>
      <w:marLeft w:val="0"/>
      <w:marRight w:val="0"/>
      <w:marTop w:val="0"/>
      <w:marBottom w:val="0"/>
      <w:divBdr>
        <w:top w:val="none" w:sz="0" w:space="0" w:color="auto"/>
        <w:left w:val="none" w:sz="0" w:space="0" w:color="auto"/>
        <w:bottom w:val="none" w:sz="0" w:space="0" w:color="auto"/>
        <w:right w:val="none" w:sz="0" w:space="0" w:color="auto"/>
      </w:divBdr>
    </w:div>
    <w:div w:id="1244487033">
      <w:bodyDiv w:val="1"/>
      <w:marLeft w:val="0"/>
      <w:marRight w:val="0"/>
      <w:marTop w:val="0"/>
      <w:marBottom w:val="0"/>
      <w:divBdr>
        <w:top w:val="none" w:sz="0" w:space="0" w:color="auto"/>
        <w:left w:val="none" w:sz="0" w:space="0" w:color="auto"/>
        <w:bottom w:val="none" w:sz="0" w:space="0" w:color="auto"/>
        <w:right w:val="none" w:sz="0" w:space="0" w:color="auto"/>
      </w:divBdr>
    </w:div>
    <w:div w:id="1366369682">
      <w:bodyDiv w:val="1"/>
      <w:marLeft w:val="0"/>
      <w:marRight w:val="0"/>
      <w:marTop w:val="0"/>
      <w:marBottom w:val="0"/>
      <w:divBdr>
        <w:top w:val="none" w:sz="0" w:space="0" w:color="auto"/>
        <w:left w:val="none" w:sz="0" w:space="0" w:color="auto"/>
        <w:bottom w:val="none" w:sz="0" w:space="0" w:color="auto"/>
        <w:right w:val="none" w:sz="0" w:space="0" w:color="auto"/>
      </w:divBdr>
    </w:div>
    <w:div w:id="1545291447">
      <w:bodyDiv w:val="1"/>
      <w:marLeft w:val="0"/>
      <w:marRight w:val="0"/>
      <w:marTop w:val="0"/>
      <w:marBottom w:val="0"/>
      <w:divBdr>
        <w:top w:val="none" w:sz="0" w:space="0" w:color="auto"/>
        <w:left w:val="none" w:sz="0" w:space="0" w:color="auto"/>
        <w:bottom w:val="none" w:sz="0" w:space="0" w:color="auto"/>
        <w:right w:val="none" w:sz="0" w:space="0" w:color="auto"/>
      </w:divBdr>
    </w:div>
    <w:div w:id="1564876125">
      <w:bodyDiv w:val="1"/>
      <w:marLeft w:val="0"/>
      <w:marRight w:val="0"/>
      <w:marTop w:val="0"/>
      <w:marBottom w:val="0"/>
      <w:divBdr>
        <w:top w:val="none" w:sz="0" w:space="0" w:color="auto"/>
        <w:left w:val="none" w:sz="0" w:space="0" w:color="auto"/>
        <w:bottom w:val="none" w:sz="0" w:space="0" w:color="auto"/>
        <w:right w:val="none" w:sz="0" w:space="0" w:color="auto"/>
      </w:divBdr>
    </w:div>
    <w:div w:id="1688674603">
      <w:bodyDiv w:val="1"/>
      <w:marLeft w:val="0"/>
      <w:marRight w:val="0"/>
      <w:marTop w:val="0"/>
      <w:marBottom w:val="0"/>
      <w:divBdr>
        <w:top w:val="none" w:sz="0" w:space="0" w:color="auto"/>
        <w:left w:val="none" w:sz="0" w:space="0" w:color="auto"/>
        <w:bottom w:val="none" w:sz="0" w:space="0" w:color="auto"/>
        <w:right w:val="none" w:sz="0" w:space="0" w:color="auto"/>
      </w:divBdr>
    </w:div>
    <w:div w:id="1988970300">
      <w:bodyDiv w:val="1"/>
      <w:marLeft w:val="0"/>
      <w:marRight w:val="0"/>
      <w:marTop w:val="0"/>
      <w:marBottom w:val="0"/>
      <w:divBdr>
        <w:top w:val="none" w:sz="0" w:space="0" w:color="auto"/>
        <w:left w:val="none" w:sz="0" w:space="0" w:color="auto"/>
        <w:bottom w:val="none" w:sz="0" w:space="0" w:color="auto"/>
        <w:right w:val="none" w:sz="0" w:space="0" w:color="auto"/>
      </w:divBdr>
    </w:div>
    <w:div w:id="213551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6490-8CBF-4F70-AE88-324C9844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6428</Words>
  <Characters>36642</Characters>
  <Application>Microsoft Office Word</Application>
  <DocSecurity>0</DocSecurity>
  <Lines>1832</Lines>
  <Paragraphs>1266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Biraj</dc:creator>
  <cp:keywords/>
  <dc:description/>
  <cp:lastModifiedBy>Neupane, Biraj</cp:lastModifiedBy>
  <cp:revision>14</cp:revision>
  <dcterms:created xsi:type="dcterms:W3CDTF">2024-11-26T20:29:00Z</dcterms:created>
  <dcterms:modified xsi:type="dcterms:W3CDTF">2024-11-27T02:19:00Z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ec7f99d95ec212b612548dc8d237995bec6fc8bc42ffdfa4f2b41c7a895291fc</vt:lpwstr>
  </property>
  <property fmtid="{D5CDD505-2E9C-101B-9397-08002B2CF9AE}" pid="3" name="ZOTERO_PREF_1">
    <vt:lpwstr>&lt;data data-version="3" zotero-version="7.0.9"&gt;&lt;session id="O5U7O4Zz"/&gt;&lt;style id="http://www.zotero.org/styles/apa" locale="en-US" hasBibliography="1" bibliographyStyleHasBeenSet="0"/&gt;&lt;prefs&gt;&lt;pref name="fieldType" value="Field"/&gt;&lt;pref name="automaticJourna</vt:lpwstr>
  </property>
  <property fmtid="{D5CDD505-2E9C-101B-9397-08002B2CF9AE}" pid="4" name="ZOTERO_PREF_2">
    <vt:lpwstr>lAbbreviations" value="true"/&gt;&lt;/prefs&gt;&lt;/data&gt;</vt:lpwstr>
  </property>
</Properties>
</file>