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Poppins" w:cs="Poppins" w:eastAsia="Poppins" w:hAnsi="Poppins"/>
          <w:b/>
          <w:bCs/>
          <w:color w:val="0C1F3A"/>
          <w:sz w:val="16"/>
          <w:szCs w:val="16"/>
        </w:rPr>
        <w:t xml:space="preserve">RÉPUBLIQUE DU SÉNÉGAL</w:t>
      </w:r>
      <w:r>
        <w:rPr>
          <w:rFonts w:ascii="Poppins" w:cs="Poppins" w:eastAsia="Poppins" w:hAnsi="Poppins"/>
          <w:color w:val="9CA3AF"/>
          <w:sz w:val="16"/>
          <w:szCs w:val="16"/>
        </w:rPr>
        <w:t xml:space="preserve">  |  </w:t>
      </w:r>
      <w:r>
        <w:rPr>
          <w:rFonts w:ascii="Poppins" w:cs="Poppins" w:eastAsia="Poppins" w:hAnsi="Poppins"/>
          <w:i/>
          <w:iCs/>
          <w:color w:val="374151"/>
          <w:sz w:val="16"/>
          <w:szCs w:val="16"/>
        </w:rPr>
        <w:t xml:space="preserve">Un Peuple – Un But – Une Foi</w:t>
      </w:r>
    </w:p>
    <w:p>
      <w:pPr>
        <w:spacing w:after="120" w:before="0"/>
      </w:pPr>
      <w:r>
        <w:rPr>
          <w:rFonts w:ascii="Poppins" w:cs="Poppins" w:eastAsia="Poppins" w:hAnsi="Poppins"/>
          <w:b/>
          <w:bCs/>
          <w:color w:val="0C1F3A"/>
          <w:sz w:val="18"/>
          <w:szCs w:val="18"/>
        </w:rPr>
        <w:t xml:space="preserve">MINISTÈRE DE LA COMMUNICATION, DES TÉLÉCOMMUNICATIONS ET DU NUMÉRIQUE</w:t>
      </w:r>
    </w:p>
    <w:p>
      <w:pPr>
        <w:spacing w:after="600" w:before="0"/>
      </w:pPr>
      <w:r>
        <w:rPr>
          <w:rFonts w:ascii="Poppins" w:cs="Poppins" w:eastAsia="Poppins" w:hAnsi="Poppins"/>
          <w:b/>
          <w:bCs/>
          <w:color w:val="0A6B68"/>
          <w:sz w:val="16"/>
          <w:szCs w:val="16"/>
        </w:rPr>
        <w:t xml:space="preserve">DELIVERY UNIT — SENUM SA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A6B68" w:val="clear"/>
            <w:tcMar>
              <w:top w:type="dxa" w:w="120"/>
              <w:left w:type="dxa" w:w="200"/>
              <w:bottom w:type="dxa" w:w="120"/>
              <w:right w:type="dxa" w:w="200"/>
            </w:tcMar>
          </w:tcPr>
          <w:p>
            <w:pPr>
              <w:jc w:val="left"/>
            </w:pPr>
            <w:r>
              <w:rPr>
                <w:rFonts w:ascii="Poppins" w:cs="Poppins" w:eastAsia="Poppins" w:hAnsi="Poppins"/>
                <w:b/>
                <w:bCs/>
                <w:color w:val="FFFFFF"/>
                <w:spacing w:val="40"/>
                <w:sz w:val="18"/>
                <w:szCs w:val="18"/>
              </w:rPr>
              <w:t xml:space="preserve">ADDENDUM TECHNIQUE v1.1</w:t>
            </w:r>
          </w:p>
        </w:tc>
      </w:tr>
    </w:tbl>
    <w:p>
      <w:pPr>
        <w:spacing w:after="60" w:before="60"/>
      </w:pPr>
    </w:p>
    <w:p>
      <w:pPr>
        <w:spacing w:after="120" w:before="200"/>
      </w:pPr>
      <w:r>
        <w:rPr>
          <w:rFonts w:ascii="Poppins" w:cs="Poppins" w:eastAsia="Poppins" w:hAnsi="Poppins"/>
          <w:b/>
          <w:bCs/>
          <w:color w:val="0C1F3A"/>
          <w:sz w:val="34"/>
          <w:szCs w:val="34"/>
        </w:rPr>
        <w:t xml:space="preserve">Vue 360° des cas d'usage PINS</w:t>
      </w:r>
    </w:p>
    <w:p>
      <w:pPr>
        <w:spacing w:after="120" w:before="0"/>
      </w:pPr>
      <w:r>
        <w:rPr>
          <w:rFonts w:ascii="Poppins" w:cs="Poppins" w:eastAsia="Poppins" w:hAnsi="Poppins"/>
          <w:b/>
          <w:bCs/>
          <w:color w:val="0A6B68"/>
          <w:sz w:val="26"/>
          <w:szCs w:val="26"/>
        </w:rPr>
        <w:t xml:space="preserve">Liaison avec les référentiels nationaux</w:t>
      </w:r>
    </w:p>
    <w:p>
      <w:pPr>
        <w:spacing w:after="600" w:before="0"/>
      </w:pPr>
      <w:r>
        <w:rPr>
          <w:rFonts w:ascii="Poppins" w:cs="Poppins" w:eastAsia="Poppins" w:hAnsi="Poppins"/>
          <w:i/>
          <w:iCs/>
          <w:color w:val="374151"/>
          <w:sz w:val="20"/>
          <w:szCs w:val="20"/>
        </w:rPr>
        <w:t xml:space="preserve">Mécanisme anti-duplication et cartographie de couverture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C55A18" w:val="clear"/>
            <w:tcMar>
              <w:top w:type="dxa" w:w="120"/>
              <w:left w:type="dxa" w:w="200"/>
              <w:bottom w:type="dxa" w:w="120"/>
              <w:right w:type="dxa" w:w="200"/>
            </w:tcMar>
          </w:tcPr>
          <w:p>
            <w:pPr>
              <w:jc w:val="left"/>
            </w:pPr>
            <w:r>
              <w:rPr>
                <w:rFonts w:ascii="Poppins" w:cs="Poppins" w:eastAsia="Poppins" w:hAnsi="Poppins"/>
                <w:b/>
                <w:bCs/>
                <w:color w:val="FFFFFF"/>
                <w:spacing w:val="40"/>
                <w:sz w:val="14"/>
                <w:szCs w:val="14"/>
              </w:rPr>
              <w:t xml:space="preserve">DIFFUSION RESTREINTE — USAGE INTERNE MCTN / SENUM SA</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Référence addendum</w:t>
            </w:r>
          </w:p>
        </w:tc>
        <w:tc>
          <w:tcPr>
            <w:tcW w:type="dxa" w:w="62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MCTN/DU/APP-DPI-INTEROP/CONC-2026-02-A1</w:t>
            </w:r>
          </w:p>
        </w:tc>
      </w:tr>
      <w:tr>
        <w:tc>
          <w:tcPr>
            <w:tcW w:type="dxa" w:w="28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Document de base</w:t>
            </w:r>
          </w:p>
        </w:tc>
        <w:tc>
          <w:tcPr>
            <w:tcW w:type="dxa" w:w="62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MCTN/DU/APP-DPI-INTEROP/CONC-2026-02 v1.0 (22 avril 2026)</w:t>
            </w:r>
          </w:p>
        </w:tc>
      </w:tr>
      <w:tr>
        <w:tc>
          <w:tcPr>
            <w:tcW w:type="dxa" w:w="28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Version</w:t>
            </w:r>
          </w:p>
        </w:tc>
        <w:tc>
          <w:tcPr>
            <w:tcW w:type="dxa" w:w="62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1.1</w:t>
            </w:r>
          </w:p>
        </w:tc>
      </w:tr>
      <w:tr>
        <w:tc>
          <w:tcPr>
            <w:tcW w:type="dxa" w:w="28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Date</w:t>
            </w:r>
          </w:p>
        </w:tc>
        <w:tc>
          <w:tcPr>
            <w:tcW w:type="dxa" w:w="62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22 avril 2026</w:t>
            </w:r>
          </w:p>
        </w:tc>
      </w:tr>
      <w:tr>
        <w:tc>
          <w:tcPr>
            <w:tcW w:type="dxa" w:w="28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Auteur</w:t>
            </w:r>
          </w:p>
        </w:tc>
        <w:tc>
          <w:tcPr>
            <w:tcW w:type="dxa" w:w="62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Birama DIOP — Point Focal National d'Interopérabilité / Architecte DPI</w:t>
            </w:r>
          </w:p>
        </w:tc>
      </w:tr>
      <w:tr>
        <w:tc>
          <w:tcPr>
            <w:tcW w:type="dxa" w:w="28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Origine</w:t>
            </w:r>
          </w:p>
        </w:tc>
        <w:tc>
          <w:tcPr>
            <w:tcW w:type="dxa" w:w="62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Matinée de la DPI du 21 avril 2026 — réaffirmation du triptyque fondateur NINEA / RCCM / Casier judiciaire</w:t>
            </w:r>
          </w:p>
        </w:tc>
      </w:tr>
    </w:tbl>
    <w:p>
      <w:r>
        <w:br w:type="page"/>
      </w:r>
    </w:p>
    <w:p>
      <w:pPr>
        <w:pStyle w:val="Heading1"/>
        <w:spacing w:after="200" w:before="400"/>
      </w:pPr>
      <w:r>
        <w:rPr>
          <w:rFonts w:ascii="Poppins" w:cs="Poppins" w:eastAsia="Poppins" w:hAnsi="Poppins"/>
          <w:b/>
          <w:bCs/>
          <w:color w:val="0C1F3A"/>
          <w:sz w:val="32"/>
          <w:szCs w:val="32"/>
        </w:rPr>
        <w:t xml:space="preserve">1. Motivation et contexte</w:t>
      </w:r>
    </w:p>
    <w:p>
      <w:pPr>
        <w:pStyle w:val="Heading2"/>
        <w:spacing w:after="160" w:before="300"/>
      </w:pPr>
      <w:r>
        <w:rPr>
          <w:rFonts w:ascii="Poppins" w:cs="Poppins" w:eastAsia="Poppins" w:hAnsi="Poppins"/>
          <w:b/>
          <w:bCs/>
          <w:color w:val="0A6B68"/>
          <w:sz w:val="26"/>
          <w:szCs w:val="26"/>
        </w:rPr>
        <w:t xml:space="preserve">1.1 Origine de l'addendum</w:t>
      </w:r>
    </w:p>
    <w:p>
      <w:pPr>
        <w:spacing w:after="80" w:before="80" w:line="300"/>
        <w:jc w:val="both"/>
      </w:pPr>
      <w:r>
        <w:rPr>
          <w:rFonts w:ascii="Poppins" w:cs="Poppins" w:eastAsia="Poppins" w:hAnsi="Poppins"/>
          <w:color w:val="1F2937"/>
          <w:sz w:val="20"/>
          <w:szCs w:val="20"/>
        </w:rPr>
        <w:t xml:space="preserve">Le document de conception v1.0 référencé MCTN/DU/APP-DPI-INTEROP/CONC-2026-02 a défini l'architecture fonctionnelle de la Vue 360° des cas d'usage PINS. Le présent addendum v1.1 enrichit cette architecture d'un mécanisme de rattachement explicite entre les cas d'usage et les référentiels nationaux — NINEA, RCCM, Casier judiciaire, RNU et autres registres identifiés.</w:t>
      </w:r>
    </w:p>
    <w:p>
      <w:pPr>
        <w:spacing w:after="80" w:before="80" w:line="300"/>
        <w:jc w:val="both"/>
      </w:pPr>
      <w:r>
        <w:rPr>
          <w:rFonts w:ascii="Poppins" w:cs="Poppins" w:eastAsia="Poppins" w:hAnsi="Poppins"/>
          <w:color w:val="1F2937"/>
          <w:sz w:val="20"/>
          <w:szCs w:val="20"/>
        </w:rPr>
        <w:t xml:space="preserve">L'origine de cet enrichissement est double. D'une part, la Matinée de la DPI du 21 avril 2026 a ré-affirmé publiquement le triptyque fondateur NINEA / RCCM / Casier judiciaire comme socle partagé des services PINS pour l'axe Doing Business. D'autre part, les retours opérationnels des administrations pilotes ont mis en évidence un risque de duplication : plusieurs cas d'usage peuvent solliciter les mêmes attributs d'un même référentiel sans que la DU ne dispose d'un mécanisme simple pour identifier ces recouvrements et proposer un raccordement au service existant plutôt qu'un nouveau développement.</w:t>
      </w:r>
    </w:p>
    <w:p>
      <w:pPr>
        <w:pStyle w:val="Heading2"/>
        <w:spacing w:after="160" w:before="300"/>
      </w:pPr>
      <w:r>
        <w:rPr>
          <w:rFonts w:ascii="Poppins" w:cs="Poppins" w:eastAsia="Poppins" w:hAnsi="Poppins"/>
          <w:b/>
          <w:bCs/>
          <w:color w:val="0A6B68"/>
          <w:sz w:val="26"/>
          <w:szCs w:val="26"/>
        </w:rPr>
        <w:t xml:space="preserve">1.2 Problème résolu par l'addendum</w:t>
      </w:r>
    </w:p>
    <w:p>
      <w:pPr>
        <w:spacing w:after="80" w:before="80" w:line="300"/>
        <w:jc w:val="both"/>
      </w:pPr>
      <w:r>
        <w:rPr>
          <w:rFonts w:ascii="Poppins" w:cs="Poppins" w:eastAsia="Poppins" w:hAnsi="Poppins"/>
          <w:color w:val="1F2937"/>
          <w:sz w:val="20"/>
          <w:szCs w:val="20"/>
        </w:rPr>
        <w:t xml:space="preserve">Sans le rattachement explicite cas d'usage – référentiel, la plateforme DPI-INTEROP présente trois limites opérationnelles :</w:t>
      </w:r>
    </w:p>
    <w:p>
      <w:pPr>
        <w:pStyle w:val="ListParagraph"/>
        <w:numPr>
          <w:ilvl w:val="0"/>
          <w:numId w:val="2"/>
        </w:numPr>
        <w:spacing w:after="60" w:before="60" w:line="280"/>
      </w:pPr>
      <w:r>
        <w:rPr>
          <w:rFonts w:ascii="Poppins" w:cs="Poppins" w:eastAsia="Poppins" w:hAnsi="Poppins"/>
          <w:b/>
          <w:bCs/>
          <w:color w:val="1F2937"/>
          <w:sz w:val="20"/>
          <w:szCs w:val="20"/>
        </w:rPr>
        <w:t xml:space="preserve">Duplication non détectée</w:t>
      </w:r>
      <w:r>
        <w:rPr>
          <w:rFonts w:ascii="Poppins" w:cs="Poppins" w:eastAsia="Poppins" w:hAnsi="Poppins"/>
          <w:color w:val="1F2937"/>
          <w:sz w:val="20"/>
          <w:szCs w:val="20"/>
        </w:rPr>
        <w:t xml:space="preserve"> — une administration peut déclarer un cas d'usage consommant NINEA sans que l'application ne signale l'existence d'un service PINS déjà qualifié répondant au même besoin.</w:t>
      </w:r>
    </w:p>
    <w:p>
      <w:pPr>
        <w:pStyle w:val="ListParagraph"/>
        <w:numPr>
          <w:ilvl w:val="0"/>
          <w:numId w:val="2"/>
        </w:numPr>
        <w:spacing w:after="60" w:before="60" w:line="280"/>
      </w:pPr>
      <w:r>
        <w:rPr>
          <w:rFonts w:ascii="Poppins" w:cs="Poppins" w:eastAsia="Poppins" w:hAnsi="Poppins"/>
          <w:b/>
          <w:bCs/>
          <w:color w:val="1F2937"/>
          <w:sz w:val="20"/>
          <w:szCs w:val="20"/>
        </w:rPr>
        <w:t xml:space="preserve">Absence de vue par référentiel</w:t>
      </w:r>
      <w:r>
        <w:rPr>
          <w:rFonts w:ascii="Poppins" w:cs="Poppins" w:eastAsia="Poppins" w:hAnsi="Poppins"/>
          <w:color w:val="1F2937"/>
          <w:sz w:val="20"/>
          <w:szCs w:val="20"/>
        </w:rPr>
        <w:t xml:space="preserve"> — la DU ne peut pas répondre simplement à la question </w:t>
      </w:r>
      <w:r>
        <w:rPr>
          <w:rFonts w:ascii="Poppins" w:cs="Poppins" w:eastAsia="Poppins" w:hAnsi="Poppins"/>
          <w:i/>
          <w:iCs/>
          <w:color w:val="1F2937"/>
          <w:sz w:val="20"/>
          <w:szCs w:val="20"/>
        </w:rPr>
        <w:t xml:space="preserve">« Quels sont les cas d'usage qui touchent RCCM aujourd'hui ? »</w:t>
      </w:r>
      <w:r>
        <w:rPr>
          <w:rFonts w:ascii="Poppins" w:cs="Poppins" w:eastAsia="Poppins" w:hAnsi="Poppins"/>
          <w:color w:val="1F2937"/>
          <w:sz w:val="20"/>
          <w:szCs w:val="20"/>
        </w:rPr>
        <w:t xml:space="preserve"> alors que c'est précisément la vue attendue pour piloter le triptyque Doing Business.</w:t>
      </w:r>
    </w:p>
    <w:p>
      <w:pPr>
        <w:pStyle w:val="ListParagraph"/>
        <w:numPr>
          <w:ilvl w:val="0"/>
          <w:numId w:val="2"/>
        </w:numPr>
        <w:spacing w:after="60" w:before="60" w:line="280"/>
      </w:pPr>
      <w:r>
        <w:rPr>
          <w:rFonts w:ascii="Poppins" w:cs="Poppins" w:eastAsia="Poppins" w:hAnsi="Poppins"/>
          <w:b/>
          <w:bCs/>
          <w:color w:val="1F2937"/>
          <w:sz w:val="20"/>
          <w:szCs w:val="20"/>
        </w:rPr>
        <w:t xml:space="preserve">Rupture de traçabilité AEG → PINS</w:t>
      </w:r>
      <w:r>
        <w:rPr>
          <w:rFonts w:ascii="Poppins" w:cs="Poppins" w:eastAsia="Poppins" w:hAnsi="Poppins"/>
          <w:color w:val="1F2937"/>
          <w:sz w:val="20"/>
          <w:szCs w:val="20"/>
        </w:rPr>
        <w:t xml:space="preserve"> — les référentiels sémantiques que l'Architecture d'Entreprise Gouvernementale doit produire n'ont pas de point d'ancrage opérationnel dans la plateforme. Le pont conceptuel AEG / PINS reste déclaratif.</w:t>
      </w:r>
    </w:p>
    <w:p>
      <w:pPr>
        <w:spacing w:after="80" w:before="80" w:line="300"/>
        <w:jc w:val="both"/>
      </w:pPr>
      <w:r>
        <w:rPr>
          <w:rFonts w:ascii="Poppins" w:cs="Poppins" w:eastAsia="Poppins" w:hAnsi="Poppins"/>
          <w:color w:val="1F2937"/>
          <w:sz w:val="20"/>
          <w:szCs w:val="20"/>
        </w:rPr>
        <w:t xml:space="preserve">L'introduction d'une table de liaison CasUsageRegistre avec mode d'usage explicite résout ces trois limites sans altérer le modèle de données existant.</w:t>
      </w:r>
    </w:p>
    <w:p>
      <w:pPr>
        <w:pStyle w:val="Heading2"/>
        <w:spacing w:after="160" w:before="300"/>
      </w:pPr>
      <w:r>
        <w:rPr>
          <w:rFonts w:ascii="Poppins" w:cs="Poppins" w:eastAsia="Poppins" w:hAnsi="Poppins"/>
          <w:b/>
          <w:bCs/>
          <w:color w:val="0A6B68"/>
          <w:sz w:val="26"/>
          <w:szCs w:val="26"/>
        </w:rPr>
        <w:t xml:space="preserve">1.3 Cohérence avec la doctrine PINS</w:t>
      </w:r>
    </w:p>
    <w:p>
      <w:pPr>
        <w:spacing w:after="80" w:before="80" w:line="300"/>
        <w:jc w:val="both"/>
      </w:pPr>
      <w:r>
        <w:rPr>
          <w:rFonts w:ascii="Poppins" w:cs="Poppins" w:eastAsia="Poppins" w:hAnsi="Poppins"/>
          <w:color w:val="1F2937"/>
          <w:sz w:val="20"/>
          <w:szCs w:val="20"/>
        </w:rPr>
        <w:t xml:space="preserve">Le mécanisme proposé est strictement cohérent avec les six règles du jeu énoncées lors de la Matinée de la DPI. En particulier :</w:t>
      </w:r>
    </w:p>
    <w:p>
      <w:pPr>
        <w:pStyle w:val="ListParagraph"/>
        <w:numPr>
          <w:ilvl w:val="0"/>
          <w:numId w:val="2"/>
        </w:numPr>
        <w:spacing w:after="60" w:before="60" w:line="280"/>
      </w:pPr>
      <w:r>
        <w:rPr>
          <w:rFonts w:ascii="Poppins" w:cs="Poppins" w:eastAsia="Poppins" w:hAnsi="Poppins"/>
          <w:b/>
          <w:bCs/>
          <w:color w:val="1F2937"/>
          <w:sz w:val="20"/>
          <w:szCs w:val="20"/>
        </w:rPr>
        <w:t xml:space="preserve">Règle 1 — Plus de convention bilatérale hors PINS</w:t>
      </w:r>
      <w:r>
        <w:rPr>
          <w:rFonts w:ascii="Poppins" w:cs="Poppins" w:eastAsia="Poppins" w:hAnsi="Poppins"/>
          <w:color w:val="1F2937"/>
          <w:sz w:val="20"/>
          <w:szCs w:val="20"/>
        </w:rPr>
        <w:t xml:space="preserve"> : en révélant les cas d'usage existants qui touchent un référentiel, le mécanisme de rattachement matérialise le choix entre raccordement et duplication, et oriente naturellement les nouvelles demandes vers les services PINS établis.</w:t>
      </w:r>
    </w:p>
    <w:p>
      <w:pPr>
        <w:pStyle w:val="ListParagraph"/>
        <w:numPr>
          <w:ilvl w:val="0"/>
          <w:numId w:val="2"/>
        </w:numPr>
        <w:spacing w:after="60" w:before="60" w:line="280"/>
      </w:pPr>
      <w:r>
        <w:rPr>
          <w:rFonts w:ascii="Poppins" w:cs="Poppins" w:eastAsia="Poppins" w:hAnsi="Poppins"/>
          <w:b/>
          <w:bCs/>
          <w:color w:val="1F2937"/>
          <w:sz w:val="20"/>
          <w:szCs w:val="20"/>
        </w:rPr>
        <w:t xml:space="preserve">Règle 4 — RGI comme cadre opposable</w:t>
      </w:r>
      <w:r>
        <w:rPr>
          <w:rFonts w:ascii="Poppins" w:cs="Poppins" w:eastAsia="Poppins" w:hAnsi="Poppins"/>
          <w:color w:val="1F2937"/>
          <w:sz w:val="20"/>
          <w:szCs w:val="20"/>
        </w:rPr>
        <w:t xml:space="preserve"> : le rattachement explicite aux référentiels est la condition préalable à toute conformité au Référentiel Général d'Interopérabilité.</w:t>
      </w:r>
    </w:p>
    <w:p>
      <w:pPr>
        <w:pStyle w:val="ListParagraph"/>
        <w:numPr>
          <w:ilvl w:val="0"/>
          <w:numId w:val="2"/>
        </w:numPr>
        <w:spacing w:after="60" w:before="60" w:line="280"/>
      </w:pPr>
      <w:r>
        <w:rPr>
          <w:rFonts w:ascii="Poppins" w:cs="Poppins" w:eastAsia="Poppins" w:hAnsi="Poppins"/>
          <w:b/>
          <w:bCs/>
          <w:color w:val="1F2937"/>
          <w:sz w:val="20"/>
          <w:szCs w:val="20"/>
        </w:rPr>
        <w:t xml:space="preserve">Règle 6 — Conditionnalité GouvNum</w:t>
      </w:r>
      <w:r>
        <w:rPr>
          <w:rFonts w:ascii="Poppins" w:cs="Poppins" w:eastAsia="Poppins" w:hAnsi="Poppins"/>
          <w:color w:val="1F2937"/>
          <w:sz w:val="20"/>
          <w:szCs w:val="20"/>
        </w:rPr>
        <w:t xml:space="preserve"> : le SP GouvNum peut s'appuyer sur la vue « Couverture par référentiel » pour instruire tout dossier impliquant un référentiel fondateur, et vérifier que le projet se raccorde au cas d'usage PINS existant plutôt que d'ouvrir un canal parallèle.</w:t>
      </w:r>
    </w:p>
    <w:p>
      <w:r>
        <w:br w:type="page"/>
      </w:r>
    </w:p>
    <w:p>
      <w:pPr>
        <w:pStyle w:val="Heading1"/>
        <w:spacing w:after="200" w:before="400"/>
      </w:pPr>
      <w:r>
        <w:rPr>
          <w:rFonts w:ascii="Poppins" w:cs="Poppins" w:eastAsia="Poppins" w:hAnsi="Poppins"/>
          <w:b/>
          <w:bCs/>
          <w:color w:val="0C1F3A"/>
          <w:sz w:val="32"/>
          <w:szCs w:val="32"/>
        </w:rPr>
        <w:t xml:space="preserve">2. Modèle de données</w:t>
      </w:r>
    </w:p>
    <w:p>
      <w:pPr>
        <w:pStyle w:val="Heading2"/>
        <w:spacing w:after="160" w:before="300"/>
      </w:pPr>
      <w:r>
        <w:rPr>
          <w:rFonts w:ascii="Poppins" w:cs="Poppins" w:eastAsia="Poppins" w:hAnsi="Poppins"/>
          <w:b/>
          <w:bCs/>
          <w:color w:val="0A6B68"/>
          <w:sz w:val="26"/>
          <w:szCs w:val="26"/>
        </w:rPr>
        <w:t xml:space="preserve">2.1 Principe : une table de liaison enrichie</w:t>
      </w:r>
    </w:p>
    <w:p>
      <w:pPr>
        <w:spacing w:after="80" w:before="80" w:line="300"/>
        <w:jc w:val="both"/>
      </w:pPr>
      <w:r>
        <w:rPr>
          <w:rFonts w:ascii="Poppins" w:cs="Poppins" w:eastAsia="Poppins" w:hAnsi="Poppins"/>
          <w:color w:val="1F2937"/>
          <w:sz w:val="20"/>
          <w:szCs w:val="20"/>
        </w:rPr>
        <w:t xml:space="preserve">Le modèle introduit une unique entité : CasUsageRegistre. Il s'agit d'une table de liaison N-N entre les entités existantes CasUsageMVP (source autoritative des cas d'usage) et RegistreNational (référentiels fondateurs déjà référencés dans l'application). Aucun modèle existant n'est altéré structurellement — seules des relations inverses sont déclarées au niveau ORM.</w:t>
      </w:r>
    </w:p>
    <w:p>
      <w:pPr>
        <w:spacing w:after="80" w:before="80" w:line="300"/>
        <w:jc w:val="both"/>
      </w:pPr>
      <w:r>
        <w:rPr>
          <w:rFonts w:ascii="Poppins" w:cs="Poppins" w:eastAsia="Poppins" w:hAnsi="Poppins"/>
          <w:color w:val="1F2937"/>
          <w:sz w:val="20"/>
          <w:szCs w:val="20"/>
        </w:rPr>
        <w:t xml:space="preserve">La table porte trois informations au-delà de la simple liaison : le mode d'usage, la liste des champs concernés, et une estimation de volumétrie optionnelle.</w:t>
      </w:r>
    </w:p>
    <w:p>
      <w:pPr>
        <w:pStyle w:val="Heading2"/>
        <w:spacing w:after="160" w:before="300"/>
      </w:pPr>
      <w:r>
        <w:rPr>
          <w:rFonts w:ascii="Poppins" w:cs="Poppins" w:eastAsia="Poppins" w:hAnsi="Poppins"/>
          <w:b/>
          <w:bCs/>
          <w:color w:val="0A6B68"/>
          <w:sz w:val="26"/>
          <w:szCs w:val="26"/>
        </w:rPr>
        <w:t xml:space="preserve">2.2 Les trois modes d'usage</w:t>
      </w:r>
    </w:p>
    <w:p>
      <w:pPr>
        <w:spacing w:after="80" w:before="80" w:line="300"/>
        <w:jc w:val="both"/>
      </w:pPr>
      <w:r>
        <w:rPr>
          <w:rFonts w:ascii="Poppins" w:cs="Poppins" w:eastAsia="Poppins" w:hAnsi="Poppins"/>
          <w:color w:val="1F2937"/>
          <w:sz w:val="20"/>
          <w:szCs w:val="20"/>
        </w:rPr>
        <w:t xml:space="preserve">La distinction entre trois modes d'interaction est essentielle à la gouvernance des référentiels. Elle détermine la nature du contrôle à exercer, les attentes en matière de SLA, et les obligations conventionnelles qui s'appliquent au cas d'usage.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26"/>
      </w:tblGrid>
      <w:tr>
        <w:trPr>
          <w:tblHeader/>
        </w:trPr>
        <w:tc>
          <w:tcPr>
            <w:tcW w:type="dxa" w:w="1800"/>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Mode</w:t>
            </w:r>
          </w:p>
        </w:tc>
        <w:tc>
          <w:tcPr>
            <w:tcW w:type="dxa" w:w="2800"/>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Sémantique</w:t>
            </w:r>
          </w:p>
        </w:tc>
        <w:tc>
          <w:tcPr>
            <w:tcW w:type="dxa" w:w="4426"/>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Exemple</w:t>
            </w:r>
          </w:p>
        </w:tc>
      </w:tr>
      <w:tr>
        <w:tc>
          <w:tcPr>
            <w:tcW w:type="dxa" w:w="1800"/>
            <w:tcBorders>
              <w:top w:val="single" w:color="E1E4E8" w:sz="4"/>
              <w:left w:val="single" w:color="E1E4E8" w:sz="4"/>
              <w:bottom w:val="single" w:color="E1E4E8" w:sz="4"/>
              <w:right w:val="single" w:color="E1E4E8" w:sz="4"/>
            </w:tcBorders>
            <w:shd w:fill="D4EBE9"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A6B68"/>
                <w:sz w:val="18"/>
                <w:szCs w:val="18"/>
              </w:rPr>
              <w:t xml:space="preserve">CONSOMME</w:t>
            </w:r>
          </w:p>
        </w:tc>
        <w:tc>
          <w:tcPr>
            <w:tcW w:type="dxa" w:w="28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Le cas d'usage lit les données du référentiel, sans modification.</w:t>
            </w:r>
          </w:p>
        </w:tc>
        <w:tc>
          <w:tcPr>
            <w:tcW w:type="dxa" w:w="44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La DGD consulte le NINEA pour vérifier l'existence juridique d'un déclarant.</w:t>
            </w:r>
          </w:p>
        </w:tc>
      </w:tr>
      <w:tr>
        <w:tc>
          <w:tcPr>
            <w:tcW w:type="dxa" w:w="1800"/>
            <w:tcBorders>
              <w:top w:val="single" w:color="E1E4E8" w:sz="4"/>
              <w:left w:val="single" w:color="E1E4E8" w:sz="4"/>
              <w:bottom w:val="single" w:color="E1E4E8" w:sz="4"/>
              <w:right w:val="single" w:color="E1E4E8" w:sz="4"/>
            </w:tcBorders>
            <w:shd w:fill="FBEFCE"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D4A820"/>
                <w:sz w:val="18"/>
                <w:szCs w:val="18"/>
              </w:rPr>
              <w:t xml:space="preserve">ALIMENTE</w:t>
            </w:r>
          </w:p>
        </w:tc>
        <w:tc>
          <w:tcPr>
            <w:tcW w:type="dxa" w:w="28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Le cas d'usage enrichit ou met à jour certains attributs du référentiel.</w:t>
            </w:r>
          </w:p>
        </w:tc>
        <w:tc>
          <w:tcPr>
            <w:tcW w:type="dxa" w:w="44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La DGID alimente le NINEA d'un attribut « conformité fiscale » maintenu à jour.</w:t>
            </w:r>
          </w:p>
        </w:tc>
      </w:tr>
      <w:tr>
        <w:tc>
          <w:tcPr>
            <w:tcW w:type="dxa" w:w="1800"/>
            <w:tcBorders>
              <w:top w:val="single" w:color="E1E4E8" w:sz="4"/>
              <w:left w:val="single" w:color="E1E4E8" w:sz="4"/>
              <w:bottom w:val="single" w:color="E1E4E8" w:sz="4"/>
              <w:right w:val="single" w:color="E1E4E8" w:sz="4"/>
            </w:tcBorders>
            <w:shd w:fill="FADBC8"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C55A18"/>
                <w:sz w:val="18"/>
                <w:szCs w:val="18"/>
              </w:rPr>
              <w:t xml:space="preserve">CREE</w:t>
            </w:r>
          </w:p>
        </w:tc>
        <w:tc>
          <w:tcPr>
            <w:tcW w:type="dxa" w:w="28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Le cas d'usage crée des entrées dans le référentiel (service d'autorité).</w:t>
            </w:r>
          </w:p>
        </w:tc>
        <w:tc>
          <w:tcPr>
            <w:tcW w:type="dxa" w:w="44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L'ANSD, détentrice du NINEA, expose le service de création d'identifiants via PINS.</w:t>
            </w:r>
          </w:p>
        </w:tc>
      </w:tr>
    </w:tbl>
    <w:p>
      <w:pPr>
        <w:spacing w:after="60" w:before="60"/>
      </w:pPr>
    </w:p>
    <w:p>
      <w:pPr>
        <w:spacing w:after="80" w:before="80" w:line="300"/>
        <w:jc w:val="both"/>
      </w:pPr>
      <w:r>
        <w:rPr>
          <w:rFonts w:ascii="Poppins" w:cs="Poppins" w:eastAsia="Poppins" w:hAnsi="Poppins"/>
          <w:color w:val="1F2937"/>
          <w:sz w:val="20"/>
          <w:szCs w:val="20"/>
        </w:rPr>
        <w:t xml:space="preserve">Un même cas d'usage peut combiner plusieurs modes sur un même référentiel (par exemple CONSOMME et ALIMENTE), ce qui se traduit par plusieurs enregistrements distincts dans CasUsageRegistre — la contrainte d'unicité portant sur le triplet (casUsage, registre, mode).</w:t>
      </w:r>
    </w:p>
    <w:p>
      <w:pPr>
        <w:pStyle w:val="Heading2"/>
        <w:spacing w:after="160" w:before="300"/>
      </w:pPr>
      <w:r>
        <w:rPr>
          <w:rFonts w:ascii="Poppins" w:cs="Poppins" w:eastAsia="Poppins" w:hAnsi="Poppins"/>
          <w:b/>
          <w:bCs/>
          <w:color w:val="0A6B68"/>
          <w:sz w:val="26"/>
          <w:szCs w:val="26"/>
        </w:rPr>
        <w:t xml:space="preserve">2.3 Définition Prisma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4"/>
              <w:left w:val="single" w:color="0A6B68" w:sz="4"/>
              <w:bottom w:val="single" w:color="0A6B68" w:sz="4"/>
              <w:right w:val="single" w:color="0A6B68" w:sz="4"/>
            </w:tcBorders>
            <w:shd w:fill="F8F9FA" w:val="clear"/>
            <w:tcMar>
              <w:top w:type="dxa" w:w="140"/>
              <w:left w:type="dxa" w:w="200"/>
              <w:bottom w:type="dxa" w:w="140"/>
              <w:right w:type="dxa" w:w="200"/>
            </w:tcMar>
          </w:tcPr>
          <w:p>
            <w:pPr>
              <w:spacing w:after="20" w:before="20" w:line="260"/>
            </w:pPr>
            <w:r>
              <w:rPr>
                <w:rFonts w:ascii="Consolas" w:cs="Consolas" w:eastAsia="Consolas" w:hAnsi="Consolas"/>
                <w:color w:val="1F2937"/>
                <w:sz w:val="17"/>
                <w:szCs w:val="17"/>
              </w:rPr>
              <w:t xml:space="preserve">enum RegistreUsageMode {</w:t>
            </w:r>
          </w:p>
          <w:p>
            <w:pPr>
              <w:spacing w:after="20" w:before="20" w:line="260"/>
            </w:pPr>
            <w:r>
              <w:rPr>
                <w:rFonts w:ascii="Consolas" w:cs="Consolas" w:eastAsia="Consolas" w:hAnsi="Consolas"/>
                <w:color w:val="1F2937"/>
                <w:sz w:val="17"/>
                <w:szCs w:val="17"/>
              </w:rPr>
              <w:t xml:space="preserve">  CONSOMME</w:t>
            </w:r>
          </w:p>
          <w:p>
            <w:pPr>
              <w:spacing w:after="20" w:before="20" w:line="260"/>
            </w:pPr>
            <w:r>
              <w:rPr>
                <w:rFonts w:ascii="Consolas" w:cs="Consolas" w:eastAsia="Consolas" w:hAnsi="Consolas"/>
                <w:color w:val="1F2937"/>
                <w:sz w:val="17"/>
                <w:szCs w:val="17"/>
              </w:rPr>
              <w:t xml:space="preserve">  ALIMENTE</w:t>
            </w:r>
          </w:p>
          <w:p>
            <w:pPr>
              <w:spacing w:after="20" w:before="20" w:line="260"/>
            </w:pPr>
            <w:r>
              <w:rPr>
                <w:rFonts w:ascii="Consolas" w:cs="Consolas" w:eastAsia="Consolas" w:hAnsi="Consolas"/>
                <w:color w:val="1F2937"/>
                <w:sz w:val="17"/>
                <w:szCs w:val="17"/>
              </w:rPr>
              <w:t xml:space="preserve">  CREE</w:t>
            </w:r>
          </w:p>
          <w:p>
            <w:pPr>
              <w:spacing w:after="20" w:before="20" w:line="260"/>
            </w:pPr>
            <w:r>
              <w:rPr>
                <w:rFonts w:ascii="Consolas" w:cs="Consolas" w:eastAsia="Consolas" w:hAnsi="Consolas"/>
                <w:color w:val="1F2937"/>
                <w:sz w:val="17"/>
                <w:szCs w:val="17"/>
              </w:rPr>
              <w:t xml:space="preserve">}</w:t>
            </w:r>
          </w:p>
          <w:p>
            <w:pPr>
              <w:spacing w:after="20" w:before="20" w:line="260"/>
            </w:pPr>
            <w:r>
              <w:rPr>
                <w:rFonts w:ascii="Consolas" w:cs="Consolas" w:eastAsia="Consolas" w:hAnsi="Consolas"/>
                <w:color w:val="1F2937"/>
                <w:sz w:val="17"/>
                <w:szCs w:val="17"/>
              </w:rPr>
              <w:t xml:space="preserve"> </w:t>
            </w:r>
          </w:p>
          <w:p>
            <w:pPr>
              <w:spacing w:after="20" w:before="20" w:line="260"/>
            </w:pPr>
            <w:r>
              <w:rPr>
                <w:rFonts w:ascii="Consolas" w:cs="Consolas" w:eastAsia="Consolas" w:hAnsi="Consolas"/>
                <w:color w:val="1F2937"/>
                <w:sz w:val="17"/>
                <w:szCs w:val="17"/>
              </w:rPr>
              <w:t xml:space="preserve">model CasUsageRegistre {</w:t>
            </w:r>
          </w:p>
          <w:p>
            <w:pPr>
              <w:spacing w:after="20" w:before="20" w:line="260"/>
            </w:pPr>
            <w:r>
              <w:rPr>
                <w:rFonts w:ascii="Consolas" w:cs="Consolas" w:eastAsia="Consolas" w:hAnsi="Consolas"/>
                <w:color w:val="1F2937"/>
                <w:sz w:val="17"/>
                <w:szCs w:val="17"/>
              </w:rPr>
              <w:t xml:space="preserve">  id               String              @id @default(cuid())</w:t>
            </w:r>
          </w:p>
          <w:p>
            <w:pPr>
              <w:spacing w:after="20" w:before="20" w:line="260"/>
            </w:pPr>
            <w:r>
              <w:rPr>
                <w:rFonts w:ascii="Consolas" w:cs="Consolas" w:eastAsia="Consolas" w:hAnsi="Consolas"/>
                <w:color w:val="1F2937"/>
                <w:sz w:val="17"/>
                <w:szCs w:val="17"/>
              </w:rPr>
              <w:t xml:space="preserve">  casUsageId       String</w:t>
            </w:r>
          </w:p>
          <w:p>
            <w:pPr>
              <w:spacing w:after="20" w:before="20" w:line="260"/>
            </w:pPr>
            <w:r>
              <w:rPr>
                <w:rFonts w:ascii="Consolas" w:cs="Consolas" w:eastAsia="Consolas" w:hAnsi="Consolas"/>
                <w:color w:val="1F2937"/>
                <w:sz w:val="17"/>
                <w:szCs w:val="17"/>
              </w:rPr>
              <w:t xml:space="preserve">  registreId       String</w:t>
            </w:r>
          </w:p>
          <w:p>
            <w:pPr>
              <w:spacing w:after="20" w:before="20" w:line="260"/>
            </w:pPr>
            <w:r>
              <w:rPr>
                <w:rFonts w:ascii="Consolas" w:cs="Consolas" w:eastAsia="Consolas" w:hAnsi="Consolas"/>
                <w:color w:val="1F2937"/>
                <w:sz w:val="17"/>
                <w:szCs w:val="17"/>
              </w:rPr>
              <w:t xml:space="preserve">  mode             RegistreUsageMode</w:t>
            </w:r>
          </w:p>
          <w:p>
            <w:pPr>
              <w:spacing w:after="20" w:before="20" w:line="260"/>
            </w:pPr>
            <w:r>
              <w:rPr>
                <w:rFonts w:ascii="Consolas" w:cs="Consolas" w:eastAsia="Consolas" w:hAnsi="Consolas"/>
                <w:color w:val="1F2937"/>
                <w:sz w:val="17"/>
                <w:szCs w:val="17"/>
              </w:rPr>
              <w:t xml:space="preserve">  champsConcernes  Json?               // ex. ["ninea","raisonSociale","statutFiscal"]</w:t>
            </w:r>
          </w:p>
          <w:p>
            <w:pPr>
              <w:spacing w:after="20" w:before="20" w:line="260"/>
            </w:pPr>
            <w:r>
              <w:rPr>
                <w:rFonts w:ascii="Consolas" w:cs="Consolas" w:eastAsia="Consolas" w:hAnsi="Consolas"/>
                <w:color w:val="1F2937"/>
                <w:sz w:val="17"/>
                <w:szCs w:val="17"/>
              </w:rPr>
              <w:t xml:space="preserve">  commentaire      String?             @db.Text</w:t>
            </w:r>
          </w:p>
          <w:p>
            <w:pPr>
              <w:spacing w:after="20" w:before="20" w:line="260"/>
            </w:pPr>
            <w:r>
              <w:rPr>
                <w:rFonts w:ascii="Consolas" w:cs="Consolas" w:eastAsia="Consolas" w:hAnsi="Consolas"/>
                <w:color w:val="1F2937"/>
                <w:sz w:val="17"/>
                <w:szCs w:val="17"/>
              </w:rPr>
              <w:t xml:space="preserve">  volumetrieEst    String?</w:t>
            </w:r>
          </w:p>
          <w:p>
            <w:pPr>
              <w:spacing w:after="20" w:before="20" w:line="260"/>
            </w:pPr>
            <w:r>
              <w:rPr>
                <w:rFonts w:ascii="Consolas" w:cs="Consolas" w:eastAsia="Consolas" w:hAnsi="Consolas"/>
                <w:color w:val="1F2937"/>
                <w:sz w:val="17"/>
                <w:szCs w:val="17"/>
              </w:rPr>
              <w:t xml:space="preserve">  criticite        String?             // FAIBLE | MOYENNE | CRITIQUE</w:t>
            </w:r>
          </w:p>
          <w:p>
            <w:pPr>
              <w:spacing w:after="20" w:before="20" w:line="260"/>
            </w:pPr>
            <w:r>
              <w:rPr>
                <w:rFonts w:ascii="Consolas" w:cs="Consolas" w:eastAsia="Consolas" w:hAnsi="Consolas"/>
                <w:color w:val="1F2937"/>
                <w:sz w:val="17"/>
                <w:szCs w:val="17"/>
              </w:rPr>
              <w:t xml:space="preserve">  dateAjout        DateTime            @default(now())</w:t>
            </w:r>
          </w:p>
          <w:p>
            <w:pPr>
              <w:spacing w:after="20" w:before="20" w:line="260"/>
            </w:pPr>
            <w:r>
              <w:rPr>
                <w:rFonts w:ascii="Consolas" w:cs="Consolas" w:eastAsia="Consolas" w:hAnsi="Consolas"/>
                <w:color w:val="1F2937"/>
                <w:sz w:val="17"/>
                <w:szCs w:val="17"/>
              </w:rPr>
              <w:t xml:space="preserve">  ajoutePar        String?</w:t>
            </w:r>
          </w:p>
          <w:p>
            <w:pPr>
              <w:spacing w:after="20" w:before="20" w:line="260"/>
            </w:pPr>
            <w:r>
              <w:rPr>
                <w:rFonts w:ascii="Consolas" w:cs="Consolas" w:eastAsia="Consolas" w:hAnsi="Consolas"/>
                <w:color w:val="1F2937"/>
                <w:sz w:val="17"/>
                <w:szCs w:val="17"/>
              </w:rPr>
              <w:t xml:space="preserve"> </w:t>
            </w:r>
          </w:p>
          <w:p>
            <w:pPr>
              <w:spacing w:after="20" w:before="20" w:line="260"/>
            </w:pPr>
            <w:r>
              <w:rPr>
                <w:rFonts w:ascii="Consolas" w:cs="Consolas" w:eastAsia="Consolas" w:hAnsi="Consolas"/>
                <w:color w:val="1F2937"/>
                <w:sz w:val="17"/>
                <w:szCs w:val="17"/>
              </w:rPr>
              <w:t xml:space="preserve">  casUsage         CasUsageMVP         @relation(fields: [casUsageId], references: [id], onDelete: Cascade)</w:t>
            </w:r>
          </w:p>
          <w:p>
            <w:pPr>
              <w:spacing w:after="20" w:before="20" w:line="260"/>
            </w:pPr>
            <w:r>
              <w:rPr>
                <w:rFonts w:ascii="Consolas" w:cs="Consolas" w:eastAsia="Consolas" w:hAnsi="Consolas"/>
                <w:color w:val="1F2937"/>
                <w:sz w:val="17"/>
                <w:szCs w:val="17"/>
              </w:rPr>
              <w:t xml:space="preserve">  registre         RegistreNational    @relation(fields: [registreId], references: [id])</w:t>
            </w:r>
          </w:p>
          <w:p>
            <w:pPr>
              <w:spacing w:after="20" w:before="20" w:line="260"/>
            </w:pPr>
            <w:r>
              <w:rPr>
                <w:rFonts w:ascii="Consolas" w:cs="Consolas" w:eastAsia="Consolas" w:hAnsi="Consolas"/>
                <w:color w:val="1F2937"/>
                <w:sz w:val="17"/>
                <w:szCs w:val="17"/>
              </w:rPr>
              <w:t xml:space="preserve"> </w:t>
            </w:r>
          </w:p>
          <w:p>
            <w:pPr>
              <w:spacing w:after="20" w:before="20" w:line="260"/>
            </w:pPr>
            <w:r>
              <w:rPr>
                <w:rFonts w:ascii="Consolas" w:cs="Consolas" w:eastAsia="Consolas" w:hAnsi="Consolas"/>
                <w:color w:val="1F2937"/>
                <w:sz w:val="17"/>
                <w:szCs w:val="17"/>
              </w:rPr>
              <w:t xml:space="preserve">  @@unique([casUsageId, registreId, mode])</w:t>
            </w:r>
          </w:p>
          <w:p>
            <w:pPr>
              <w:spacing w:after="20" w:before="20" w:line="260"/>
            </w:pPr>
            <w:r>
              <w:rPr>
                <w:rFonts w:ascii="Consolas" w:cs="Consolas" w:eastAsia="Consolas" w:hAnsi="Consolas"/>
                <w:color w:val="1F2937"/>
                <w:sz w:val="17"/>
                <w:szCs w:val="17"/>
              </w:rPr>
              <w:t xml:space="preserve">  @@index([registreId, mode])</w:t>
            </w:r>
          </w:p>
          <w:p>
            <w:pPr>
              <w:spacing w:after="20" w:before="20" w:line="260"/>
            </w:pPr>
            <w:r>
              <w:rPr>
                <w:rFonts w:ascii="Consolas" w:cs="Consolas" w:eastAsia="Consolas" w:hAnsi="Consolas"/>
                <w:color w:val="1F2937"/>
                <w:sz w:val="17"/>
                <w:szCs w:val="17"/>
              </w:rPr>
              <w:t xml:space="preserve">  @@index([casUsageId])</w:t>
            </w:r>
          </w:p>
          <w:p>
            <w:pPr>
              <w:spacing w:after="20" w:before="20" w:line="260"/>
            </w:pPr>
            <w:r>
              <w:rPr>
                <w:rFonts w:ascii="Consolas" w:cs="Consolas" w:eastAsia="Consolas" w:hAnsi="Consolas"/>
                <w:color w:val="1F2937"/>
                <w:sz w:val="17"/>
                <w:szCs w:val="17"/>
              </w:rPr>
              <w:t xml:space="preserve">  @@map("cas_usage_registre")</w:t>
            </w:r>
          </w:p>
          <w:p>
            <w:pPr>
              <w:spacing w:after="20" w:before="20" w:line="260"/>
            </w:pPr>
            <w:r>
              <w:rPr>
                <w:rFonts w:ascii="Consolas" w:cs="Consolas" w:eastAsia="Consolas" w:hAnsi="Consolas"/>
                <w:color w:val="1F2937"/>
                <w:sz w:val="17"/>
                <w:szCs w:val="17"/>
              </w:rPr>
              <w:t xml:space="preserve">}</w:t>
            </w:r>
          </w:p>
        </w:tc>
      </w:tr>
    </w:tbl>
    <w:p>
      <w:pPr>
        <w:pStyle w:val="Heading2"/>
        <w:spacing w:after="160" w:before="300"/>
      </w:pPr>
      <w:r>
        <w:rPr>
          <w:rFonts w:ascii="Poppins" w:cs="Poppins" w:eastAsia="Poppins" w:hAnsi="Poppins"/>
          <w:b/>
          <w:bCs/>
          <w:color w:val="0A6B68"/>
          <w:sz w:val="26"/>
          <w:szCs w:val="26"/>
        </w:rPr>
        <w:t xml:space="preserve">2.4 Migration SQL</w:t>
      </w:r>
    </w:p>
    <w:p>
      <w:pPr>
        <w:spacing w:after="80" w:before="80" w:line="300"/>
        <w:jc w:val="both"/>
      </w:pPr>
      <w:r>
        <w:rPr>
          <w:rFonts w:ascii="Poppins" w:cs="Poppins" w:eastAsia="Poppins" w:hAnsi="Poppins"/>
          <w:color w:val="1F2937"/>
          <w:sz w:val="20"/>
          <w:szCs w:val="20"/>
        </w:rPr>
        <w:t xml:space="preserve">La migration additionnelle est livrée dans le fichier migration_registre.sql. Elle est idempotente, non destructive, et ne modifie aucune table existante. Elle comprend :</w:t>
      </w:r>
    </w:p>
    <w:p>
      <w:pPr>
        <w:pStyle w:val="ListParagraph"/>
        <w:numPr>
          <w:ilvl w:val="0"/>
          <w:numId w:val="2"/>
        </w:numPr>
        <w:spacing w:after="60" w:before="60" w:line="280"/>
      </w:pPr>
      <w:r>
        <w:rPr>
          <w:rFonts w:ascii="Poppins" w:cs="Poppins" w:eastAsia="Poppins" w:hAnsi="Poppins"/>
          <w:color w:val="1F2937"/>
          <w:sz w:val="20"/>
          <w:szCs w:val="20"/>
        </w:rPr>
        <w:t xml:space="preserve">la création du type ENUM RegistreUsageMode ;</w:t>
      </w:r>
    </w:p>
    <w:p>
      <w:pPr>
        <w:pStyle w:val="ListParagraph"/>
        <w:numPr>
          <w:ilvl w:val="0"/>
          <w:numId w:val="2"/>
        </w:numPr>
        <w:spacing w:after="60" w:before="60" w:line="280"/>
      </w:pPr>
      <w:r>
        <w:rPr>
          <w:rFonts w:ascii="Poppins" w:cs="Poppins" w:eastAsia="Poppins" w:hAnsi="Poppins"/>
          <w:color w:val="1F2937"/>
          <w:sz w:val="20"/>
          <w:szCs w:val="20"/>
        </w:rPr>
        <w:t xml:space="preserve">la création de la table cas_usage_registre avec ses contraintes de clé étrangère, son unicité composite et ses index ;</w:t>
      </w:r>
    </w:p>
    <w:p>
      <w:pPr>
        <w:pStyle w:val="ListParagraph"/>
        <w:numPr>
          <w:ilvl w:val="0"/>
          <w:numId w:val="2"/>
        </w:numPr>
        <w:spacing w:after="60" w:before="60" w:line="280"/>
      </w:pPr>
      <w:r>
        <w:rPr>
          <w:rFonts w:ascii="Poppins" w:cs="Poppins" w:eastAsia="Poppins" w:hAnsi="Poppins"/>
          <w:color w:val="1F2937"/>
          <w:sz w:val="20"/>
          <w:szCs w:val="20"/>
        </w:rPr>
        <w:t xml:space="preserve">la création d'une vue v_couverture_registre précalculant l'agrégation cas d'usage par référentiel et par mode, utilisée par le composant UI « Couverture par référentiel ».</w:t>
      </w:r>
    </w:p>
    <w:p>
      <w:r>
        <w:br w:type="page"/>
      </w:r>
    </w:p>
    <w:p>
      <w:pPr>
        <w:pStyle w:val="Heading1"/>
        <w:spacing w:after="200" w:before="400"/>
      </w:pPr>
      <w:r>
        <w:rPr>
          <w:rFonts w:ascii="Poppins" w:cs="Poppins" w:eastAsia="Poppins" w:hAnsi="Poppins"/>
          <w:b/>
          <w:bCs/>
          <w:color w:val="0C1F3A"/>
          <w:sz w:val="32"/>
          <w:szCs w:val="32"/>
        </w:rPr>
        <w:t xml:space="preserve">3. Composants d'interface additionnels</w:t>
      </w:r>
    </w:p>
    <w:p>
      <w:pPr>
        <w:pStyle w:val="Heading2"/>
        <w:spacing w:after="160" w:before="300"/>
      </w:pPr>
      <w:r>
        <w:rPr>
          <w:rFonts w:ascii="Poppins" w:cs="Poppins" w:eastAsia="Poppins" w:hAnsi="Poppins"/>
          <w:b/>
          <w:bCs/>
          <w:color w:val="0A6B68"/>
          <w:sz w:val="26"/>
          <w:szCs w:val="26"/>
        </w:rPr>
        <w:t xml:space="preserve">3.1 Bloc « Référentiels touchés » sur la page détail</w:t>
      </w:r>
    </w:p>
    <w:p>
      <w:pPr>
        <w:spacing w:after="80" w:before="80" w:line="300"/>
        <w:jc w:val="both"/>
      </w:pPr>
      <w:r>
        <w:rPr>
          <w:rFonts w:ascii="Poppins" w:cs="Poppins" w:eastAsia="Poppins" w:hAnsi="Poppins"/>
          <w:color w:val="1F2937"/>
          <w:sz w:val="20"/>
          <w:szCs w:val="20"/>
        </w:rPr>
        <w:t xml:space="preserve">La page détail d'un cas d'usage (section 3.2 du document v1.0) est enrichie d'un bloc « Référentiels touchés ». Ce bloc affiche, pour chaque référentiel associé, le mode d'usage, les champs concernés et, si la donnée est disponible, le nombre de cas d'usage similaires touchant le même référentiel dans le même mode. Un lien direct permet de basculer sur la vue « Couverture par référentiel » filtrée sur le référentiel courant.</w:t>
      </w:r>
    </w:p>
    <w:p>
      <w:pPr>
        <w:pStyle w:val="Heading2"/>
        <w:spacing w:after="160" w:before="300"/>
      </w:pPr>
      <w:r>
        <w:rPr>
          <w:rFonts w:ascii="Poppins" w:cs="Poppins" w:eastAsia="Poppins" w:hAnsi="Poppins"/>
          <w:b/>
          <w:bCs/>
          <w:color w:val="0A6B68"/>
          <w:sz w:val="26"/>
          <w:szCs w:val="26"/>
        </w:rPr>
        <w:t xml:space="preserve">3.2 Vue « Couverture par référentiel »</w:t>
      </w:r>
    </w:p>
    <w:p>
      <w:pPr>
        <w:spacing w:after="80" w:before="80" w:line="300"/>
        <w:jc w:val="both"/>
      </w:pPr>
      <w:r>
        <w:rPr>
          <w:rFonts w:ascii="Poppins" w:cs="Poppins" w:eastAsia="Poppins" w:hAnsi="Poppins"/>
          <w:color w:val="1F2937"/>
          <w:sz w:val="20"/>
          <w:szCs w:val="20"/>
        </w:rPr>
        <w:t xml:space="preserve">Une nouvelle vue est ajoutée au menu « Vue 360° » du dashboard. Elle présente, pour chaque référentiel national, une carte synthétique avec :</w:t>
      </w:r>
    </w:p>
    <w:p>
      <w:pPr>
        <w:pStyle w:val="ListParagraph"/>
        <w:numPr>
          <w:ilvl w:val="0"/>
          <w:numId w:val="2"/>
        </w:numPr>
        <w:spacing w:after="60" w:before="60" w:line="280"/>
      </w:pPr>
      <w:r>
        <w:rPr>
          <w:rFonts w:ascii="Poppins" w:cs="Poppins" w:eastAsia="Poppins" w:hAnsi="Poppins"/>
          <w:color w:val="1F2937"/>
          <w:sz w:val="20"/>
          <w:szCs w:val="20"/>
        </w:rPr>
        <w:t xml:space="preserve">le code et libellé du référentiel (NINEA, RCCM, Casier judiciaire, RNU, etc.) ;</w:t>
      </w:r>
    </w:p>
    <w:p>
      <w:pPr>
        <w:pStyle w:val="ListParagraph"/>
        <w:numPr>
          <w:ilvl w:val="0"/>
          <w:numId w:val="2"/>
        </w:numPr>
        <w:spacing w:after="60" w:before="60" w:line="280"/>
      </w:pPr>
      <w:r>
        <w:rPr>
          <w:rFonts w:ascii="Poppins" w:cs="Poppins" w:eastAsia="Poppins" w:hAnsi="Poppins"/>
          <w:color w:val="1F2937"/>
          <w:sz w:val="20"/>
          <w:szCs w:val="20"/>
        </w:rPr>
        <w:t xml:space="preserve">l'administration détentrice (ANSD, MJ, DGPSN…) et le statut d'exposition PINS (exposé / non exposé / partiellement exposé) ;</w:t>
      </w:r>
    </w:p>
    <w:p>
      <w:pPr>
        <w:pStyle w:val="ListParagraph"/>
        <w:numPr>
          <w:ilvl w:val="0"/>
          <w:numId w:val="2"/>
        </w:numPr>
        <w:spacing w:after="60" w:before="60" w:line="280"/>
      </w:pPr>
      <w:r>
        <w:rPr>
          <w:rFonts w:ascii="Poppins" w:cs="Poppins" w:eastAsia="Poppins" w:hAnsi="Poppins"/>
          <w:color w:val="1F2937"/>
          <w:sz w:val="20"/>
          <w:szCs w:val="20"/>
        </w:rPr>
        <w:t xml:space="preserve">trois compteurs par mode d'usage : nombre de cas d'usage CONSOMME, ALIMENTE, CREE ;</w:t>
      </w:r>
    </w:p>
    <w:p>
      <w:pPr>
        <w:pStyle w:val="ListParagraph"/>
        <w:numPr>
          <w:ilvl w:val="0"/>
          <w:numId w:val="2"/>
        </w:numPr>
        <w:spacing w:after="60" w:before="60" w:line="280"/>
      </w:pPr>
      <w:r>
        <w:rPr>
          <w:rFonts w:ascii="Poppins" w:cs="Poppins" w:eastAsia="Poppins" w:hAnsi="Poppins"/>
          <w:color w:val="1F2937"/>
          <w:sz w:val="20"/>
          <w:szCs w:val="20"/>
        </w:rPr>
        <w:t xml:space="preserve">une liste compacte des administrations consommatrices et des secteurs concernés ;</w:t>
      </w:r>
    </w:p>
    <w:p>
      <w:pPr>
        <w:pStyle w:val="ListParagraph"/>
        <w:numPr>
          <w:ilvl w:val="0"/>
          <w:numId w:val="2"/>
        </w:numPr>
        <w:spacing w:after="60" w:before="60" w:line="280"/>
      </w:pPr>
      <w:r>
        <w:rPr>
          <w:rFonts w:ascii="Poppins" w:cs="Poppins" w:eastAsia="Poppins" w:hAnsi="Poppins"/>
          <w:color w:val="1F2937"/>
          <w:sz w:val="20"/>
          <w:szCs w:val="20"/>
        </w:rPr>
        <w:t xml:space="preserve">un indicateur de priorité Doing Business, mis en évidence pour le triptyque NINEA / RCCM / Casier.</w:t>
      </w:r>
    </w:p>
    <w:p>
      <w:pPr>
        <w:spacing w:after="80" w:before="80" w:line="300"/>
        <w:jc w:val="both"/>
      </w:pPr>
      <w:r>
        <w:rPr>
          <w:rFonts w:ascii="Poppins" w:cs="Poppins" w:eastAsia="Poppins" w:hAnsi="Poppins"/>
          <w:color w:val="1F2937"/>
          <w:sz w:val="20"/>
          <w:szCs w:val="20"/>
        </w:rPr>
        <w:t xml:space="preserve">Un clic sur une carte ouvre une vue détaillée listant tous les cas d'usage associés, filtrable par mode et par statut dans le workflow.</w:t>
      </w:r>
    </w:p>
    <w:p>
      <w:pPr>
        <w:pStyle w:val="Heading2"/>
        <w:spacing w:after="160" w:before="300"/>
      </w:pPr>
      <w:r>
        <w:rPr>
          <w:rFonts w:ascii="Poppins" w:cs="Poppins" w:eastAsia="Poppins" w:hAnsi="Poppins"/>
          <w:b/>
          <w:bCs/>
          <w:color w:val="0A6B68"/>
          <w:sz w:val="26"/>
          <w:szCs w:val="26"/>
        </w:rPr>
        <w:t xml:space="preserve">3.3 Composant « Cas d'usage similaires existants »</w:t>
      </w:r>
    </w:p>
    <w:p>
      <w:pPr>
        <w:spacing w:after="80" w:before="80" w:line="300"/>
        <w:jc w:val="both"/>
      </w:pPr>
      <w:r>
        <w:rPr>
          <w:rFonts w:ascii="Poppins" w:cs="Poppins" w:eastAsia="Poppins" w:hAnsi="Poppins"/>
          <w:color w:val="1F2937"/>
          <w:sz w:val="20"/>
          <w:szCs w:val="20"/>
        </w:rPr>
        <w:t xml:space="preserve">Au moment de la déclaration d'un nouveau cas d'usage, l'interface propose une étape de rattachement aux référentiels. Dès qu'un référentiel est sélectionné et qu'au moins un champ concerné est renseigné, le composant affiche en temps réel les cas d'usage existants qui touchent le même référentiel avec un recouvrement d'attributs supérieur à un seuil (50 % par défaut). L'utilisateur voit :</w:t>
      </w:r>
    </w:p>
    <w:p>
      <w:pPr>
        <w:pStyle w:val="ListParagraph"/>
        <w:numPr>
          <w:ilvl w:val="0"/>
          <w:numId w:val="2"/>
        </w:numPr>
        <w:spacing w:after="60" w:before="60" w:line="280"/>
      </w:pPr>
      <w:r>
        <w:rPr>
          <w:rFonts w:ascii="Poppins" w:cs="Poppins" w:eastAsia="Poppins" w:hAnsi="Poppins"/>
          <w:color w:val="1F2937"/>
          <w:sz w:val="20"/>
          <w:szCs w:val="20"/>
        </w:rPr>
        <w:t xml:space="preserve">l'identifiant et le titre du cas d'usage similaire ;</w:t>
      </w:r>
    </w:p>
    <w:p>
      <w:pPr>
        <w:pStyle w:val="ListParagraph"/>
        <w:numPr>
          <w:ilvl w:val="0"/>
          <w:numId w:val="2"/>
        </w:numPr>
        <w:spacing w:after="60" w:before="60" w:line="280"/>
      </w:pPr>
      <w:r>
        <w:rPr>
          <w:rFonts w:ascii="Poppins" w:cs="Poppins" w:eastAsia="Poppins" w:hAnsi="Poppins"/>
          <w:color w:val="1F2937"/>
          <w:sz w:val="20"/>
          <w:szCs w:val="20"/>
        </w:rPr>
        <w:t xml:space="preserve">son initiateur, son statut et son mode d'interaction avec le référentiel ;</w:t>
      </w:r>
    </w:p>
    <w:p>
      <w:pPr>
        <w:pStyle w:val="ListParagraph"/>
        <w:numPr>
          <w:ilvl w:val="0"/>
          <w:numId w:val="2"/>
        </w:numPr>
        <w:spacing w:after="60" w:before="60" w:line="280"/>
      </w:pPr>
      <w:r>
        <w:rPr>
          <w:rFonts w:ascii="Poppins" w:cs="Poppins" w:eastAsia="Poppins" w:hAnsi="Poppins"/>
          <w:color w:val="1F2937"/>
          <w:sz w:val="20"/>
          <w:szCs w:val="20"/>
        </w:rPr>
        <w:t xml:space="preserve">le taux de recouvrement des champs concernés ;</w:t>
      </w:r>
    </w:p>
    <w:p>
      <w:pPr>
        <w:pStyle w:val="ListParagraph"/>
        <w:numPr>
          <w:ilvl w:val="0"/>
          <w:numId w:val="2"/>
        </w:numPr>
        <w:spacing w:after="60" w:before="60" w:line="280"/>
      </w:pPr>
      <w:r>
        <w:rPr>
          <w:rFonts w:ascii="Poppins" w:cs="Poppins" w:eastAsia="Poppins" w:hAnsi="Poppins"/>
          <w:color w:val="1F2937"/>
          <w:sz w:val="20"/>
          <w:szCs w:val="20"/>
        </w:rPr>
        <w:t xml:space="preserve">trois boutons d'action : « Me raccorder à ce cas d'usage », « Poursuivre malgré le recouvrement » (avec motivation obligatoire), « Contacter l'initiateur ».</w:t>
      </w:r>
    </w:p>
    <w:p>
      <w:pPr>
        <w:spacing w:after="80" w:before="80" w:line="300"/>
        <w:jc w:val="both"/>
      </w:pPr>
      <w:r>
        <w:rPr>
          <w:rFonts w:ascii="Poppins" w:cs="Poppins" w:eastAsia="Poppins" w:hAnsi="Poppins"/>
          <w:color w:val="1F2937"/>
          <w:sz w:val="20"/>
          <w:szCs w:val="20"/>
        </w:rPr>
        <w:t xml:space="preserve">Ce composant matérialise le mécanisme anti-duplication. Il ne bloque pas la déclaration, mais force la prise de conscience et la justification explicite de toute duplication.</w:t>
      </w:r>
    </w:p>
    <w:p>
      <w:pPr>
        <w:pStyle w:val="Heading2"/>
        <w:spacing w:after="160" w:before="300"/>
      </w:pPr>
      <w:r>
        <w:rPr>
          <w:rFonts w:ascii="Poppins" w:cs="Poppins" w:eastAsia="Poppins" w:hAnsi="Poppins"/>
          <w:b/>
          <w:bCs/>
          <w:color w:val="0A6B68"/>
          <w:sz w:val="26"/>
          <w:szCs w:val="26"/>
        </w:rPr>
        <w:t xml:space="preserve">3.4 Alimentation du Radar sectoriel</w:t>
      </w:r>
    </w:p>
    <w:p>
      <w:pPr>
        <w:spacing w:after="80" w:before="80" w:line="300"/>
        <w:jc w:val="both"/>
      </w:pPr>
      <w:r>
        <w:rPr>
          <w:rFonts w:ascii="Poppins" w:cs="Poppins" w:eastAsia="Poppins" w:hAnsi="Poppins"/>
          <w:color w:val="1F2937"/>
          <w:sz w:val="20"/>
          <w:szCs w:val="20"/>
        </w:rPr>
        <w:t xml:space="preserve">Le bloc Radar sectoriel (défini en section 3.1 du document v1.0) s'appuie désormais sur la liaison CasUsageRegistre pour détecter les cas d'usage pertinents pour une administration. Une administration détentrice d'un référentiel est automatiquement alertée dès qu'un nouveau cas d'usage déclare ALIMENTE ou CREE sur son registre. Une administration consommatrice historique d'un référentiel est alertée dès qu'un nouveau cas d'usage déclare CONSOMME sur les mêmes champs qu'elle.</w:t>
      </w:r>
    </w:p>
    <w:p>
      <w:r>
        <w:br w:type="page"/>
      </w:r>
    </w:p>
    <w:p>
      <w:pPr>
        <w:pStyle w:val="Heading1"/>
        <w:spacing w:after="200" w:before="400"/>
      </w:pPr>
      <w:r>
        <w:rPr>
          <w:rFonts w:ascii="Poppins" w:cs="Poppins" w:eastAsia="Poppins" w:hAnsi="Poppins"/>
          <w:b/>
          <w:bCs/>
          <w:color w:val="0C1F3A"/>
          <w:sz w:val="32"/>
          <w:szCs w:val="32"/>
        </w:rPr>
        <w:t xml:space="preserve">4. Cas d'application : le triptyque Doing Business</w:t>
      </w:r>
    </w:p>
    <w:p>
      <w:pPr>
        <w:pStyle w:val="Heading2"/>
        <w:spacing w:after="160" w:before="300"/>
      </w:pPr>
      <w:r>
        <w:rPr>
          <w:rFonts w:ascii="Poppins" w:cs="Poppins" w:eastAsia="Poppins" w:hAnsi="Poppins"/>
          <w:b/>
          <w:bCs/>
          <w:color w:val="0A6B68"/>
          <w:sz w:val="26"/>
          <w:szCs w:val="26"/>
        </w:rPr>
        <w:t xml:space="preserve">4.1 Enjeu stratégique</w:t>
      </w:r>
    </w:p>
    <w:p>
      <w:pPr>
        <w:spacing w:after="80" w:before="80" w:line="300"/>
        <w:jc w:val="both"/>
      </w:pPr>
      <w:r>
        <w:rPr>
          <w:rFonts w:ascii="Poppins" w:cs="Poppins" w:eastAsia="Poppins" w:hAnsi="Poppins"/>
          <w:color w:val="1F2937"/>
          <w:sz w:val="20"/>
          <w:szCs w:val="20"/>
        </w:rPr>
        <w:t xml:space="preserve">La Matinée de la DPI a consacré les trois référentiels NINEA / RCCM / Casier judiciaire comme socle de l'axe Doing Business, avec quatre administrations consommatrices principales (DGD, DGID, DGCPT, ANSD) et trois administrations d'autorité (ANSD pour NINEA, MJ pour RCCM et Casier judiciaire).</w:t>
      </w:r>
    </w:p>
    <w:p>
      <w:pPr>
        <w:spacing w:after="80" w:before="80" w:line="300"/>
        <w:jc w:val="both"/>
      </w:pPr>
      <w:r>
        <w:rPr>
          <w:rFonts w:ascii="Poppins" w:cs="Poppins" w:eastAsia="Poppins" w:hAnsi="Poppins"/>
          <w:color w:val="1F2937"/>
          <w:sz w:val="20"/>
          <w:szCs w:val="20"/>
        </w:rPr>
        <w:t xml:space="preserve">Le mécanisme CasUsageRegistre permet de matérialiser cette doctrine dans l'application DPI-INTEROP en créant explicitement les associations entre les cas d'usage déjà qualifiés (ou à qualifier) et les trois référentiels fondateurs.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800"/>
        <w:gridCol w:w="2826"/>
      </w:tblGrid>
      <w:tr>
        <w:trPr>
          <w:tblHeader/>
        </w:trPr>
        <w:tc>
          <w:tcPr>
            <w:tcW w:type="dxa" w:w="1600"/>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Référentiel</w:t>
            </w:r>
          </w:p>
        </w:tc>
        <w:tc>
          <w:tcPr>
            <w:tcW w:type="dxa" w:w="1800"/>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Détenteur</w:t>
            </w:r>
          </w:p>
        </w:tc>
        <w:tc>
          <w:tcPr>
            <w:tcW w:type="dxa" w:w="2800"/>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Consommateurs pressentis</w:t>
            </w:r>
          </w:p>
        </w:tc>
        <w:tc>
          <w:tcPr>
            <w:tcW w:type="dxa" w:w="2826"/>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Statut exposition PINS</w:t>
            </w:r>
          </w:p>
        </w:tc>
      </w:tr>
      <w:tr>
        <w:tc>
          <w:tcPr>
            <w:tcW w:type="dxa" w:w="16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NINEA</w:t>
            </w:r>
          </w:p>
        </w:tc>
        <w:tc>
          <w:tcPr>
            <w:tcW w:type="dxa" w:w="18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b/>
                <w:bCs/>
                <w:color w:val="1F2937"/>
                <w:sz w:val="18"/>
                <w:szCs w:val="18"/>
              </w:rPr>
              <w:t xml:space="preserve">ANSD</w:t>
            </w:r>
          </w:p>
        </w:tc>
        <w:tc>
          <w:tcPr>
            <w:tcW w:type="dxa" w:w="28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DGD, DGID, DGCPT, APIX, DGPSN, MJ</w:t>
            </w:r>
          </w:p>
        </w:tc>
        <w:tc>
          <w:tcPr>
            <w:tcW w:type="dxa" w:w="28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i/>
                <w:iCs/>
                <w:color w:val="C55A18"/>
                <w:sz w:val="18"/>
                <w:szCs w:val="18"/>
              </w:rPr>
              <w:t xml:space="preserve">Partiellement exposé — à prioriser MVP 2.0</w:t>
            </w:r>
          </w:p>
        </w:tc>
      </w:tr>
      <w:tr>
        <w:tc>
          <w:tcPr>
            <w:tcW w:type="dxa" w:w="16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RCCM</w:t>
            </w:r>
          </w:p>
        </w:tc>
        <w:tc>
          <w:tcPr>
            <w:tcW w:type="dxa" w:w="18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b/>
                <w:bCs/>
                <w:color w:val="1F2937"/>
                <w:sz w:val="18"/>
                <w:szCs w:val="18"/>
              </w:rPr>
              <w:t xml:space="preserve">MJ / Greffes</w:t>
            </w:r>
          </w:p>
        </w:tc>
        <w:tc>
          <w:tcPr>
            <w:tcW w:type="dxa" w:w="28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APIX, DGID, ANSD, BCEAO</w:t>
            </w:r>
          </w:p>
        </w:tc>
        <w:tc>
          <w:tcPr>
            <w:tcW w:type="dxa" w:w="28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i/>
                <w:iCs/>
                <w:color w:val="C55A18"/>
                <w:sz w:val="18"/>
                <w:szCs w:val="18"/>
              </w:rPr>
              <w:t xml:space="preserve">Non exposé — à cadrer</w:t>
            </w:r>
          </w:p>
        </w:tc>
      </w:tr>
      <w:tr>
        <w:tc>
          <w:tcPr>
            <w:tcW w:type="dxa" w:w="16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Casier judiciaire</w:t>
            </w:r>
          </w:p>
        </w:tc>
        <w:tc>
          <w:tcPr>
            <w:tcW w:type="dxa" w:w="18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b/>
                <w:bCs/>
                <w:color w:val="1F2937"/>
                <w:sz w:val="18"/>
                <w:szCs w:val="18"/>
              </w:rPr>
              <w:t xml:space="preserve">MJ</w:t>
            </w:r>
          </w:p>
        </w:tc>
        <w:tc>
          <w:tcPr>
            <w:tcW w:type="dxa" w:w="28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APIX, DGID, employeurs publics</w:t>
            </w:r>
          </w:p>
        </w:tc>
        <w:tc>
          <w:tcPr>
            <w:tcW w:type="dxa" w:w="28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i/>
                <w:iCs/>
                <w:color w:val="B91C1C"/>
                <w:sz w:val="18"/>
                <w:szCs w:val="18"/>
              </w:rPr>
              <w:t xml:space="preserve">Non exposé — refus MJ en cours (cf. PINS-CU-019)</w:t>
            </w:r>
          </w:p>
        </w:tc>
      </w:tr>
      <w:tr>
        <w:tc>
          <w:tcPr>
            <w:tcW w:type="dxa" w:w="1600"/>
            <w:tcBorders>
              <w:top w:val="single" w:color="E1E4E8" w:sz="4"/>
              <w:left w:val="single" w:color="E1E4E8" w:sz="4"/>
              <w:bottom w:val="single" w:color="E1E4E8" w:sz="4"/>
              <w:right w:val="single" w:color="E1E4E8" w:sz="4"/>
            </w:tcBorders>
            <w:shd w:fill="D4EBE9"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A6B68"/>
                <w:sz w:val="18"/>
                <w:szCs w:val="18"/>
              </w:rPr>
              <w:t xml:space="preserve">RNU</w:t>
            </w:r>
          </w:p>
        </w:tc>
        <w:tc>
          <w:tcPr>
            <w:tcW w:type="dxa" w:w="18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b/>
                <w:bCs/>
                <w:color w:val="1F2937"/>
                <w:sz w:val="18"/>
                <w:szCs w:val="18"/>
              </w:rPr>
              <w:t xml:space="preserve">DGPSN</w:t>
            </w:r>
          </w:p>
        </w:tc>
        <w:tc>
          <w:tcPr>
            <w:tcW w:type="dxa" w:w="28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SEN-CSU, MFSSN, ministères sociaux</w:t>
            </w:r>
          </w:p>
        </w:tc>
        <w:tc>
          <w:tcPr>
            <w:tcW w:type="dxa" w:w="28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i/>
                <w:iCs/>
                <w:color w:val="0A6B68"/>
                <w:sz w:val="18"/>
                <w:szCs w:val="18"/>
              </w:rPr>
              <w:t xml:space="preserve">Exposé MVP 1.0 — RNU.GetBeneficiaire</w:t>
            </w:r>
          </w:p>
        </w:tc>
      </w:tr>
    </w:tbl>
    <w:p>
      <w:pPr>
        <w:spacing w:after="60" w:before="60"/>
      </w:pPr>
    </w:p>
    <w:p>
      <w:pPr>
        <w:pStyle w:val="Heading2"/>
        <w:spacing w:after="160" w:before="300"/>
      </w:pPr>
      <w:r>
        <w:rPr>
          <w:rFonts w:ascii="Poppins" w:cs="Poppins" w:eastAsia="Poppins" w:hAnsi="Poppins"/>
          <w:b/>
          <w:bCs/>
          <w:color w:val="0A6B68"/>
          <w:sz w:val="26"/>
          <w:szCs w:val="26"/>
        </w:rPr>
        <w:t xml:space="preserve">4.2 Résultat attendu pour la DU</w:t>
      </w:r>
    </w:p>
    <w:p>
      <w:pPr>
        <w:spacing w:after="80" w:before="80" w:line="300"/>
        <w:jc w:val="both"/>
      </w:pPr>
      <w:r>
        <w:rPr>
          <w:rFonts w:ascii="Poppins" w:cs="Poppins" w:eastAsia="Poppins" w:hAnsi="Poppins"/>
          <w:color w:val="1F2937"/>
          <w:sz w:val="20"/>
          <w:szCs w:val="20"/>
        </w:rPr>
        <w:t xml:space="preserve">Une fois le mécanisme déployé et les cas d'usage existants ré-associés à leurs référentiels, la DU dispose pour la première fois d'une vue instantanée actionnable :</w:t>
      </w:r>
    </w:p>
    <w:p>
      <w:pPr>
        <w:pStyle w:val="ListParagraph"/>
        <w:numPr>
          <w:ilvl w:val="0"/>
          <w:numId w:val="2"/>
        </w:numPr>
        <w:spacing w:after="60" w:before="60" w:line="280"/>
      </w:pPr>
      <w:r>
        <w:rPr>
          <w:rFonts w:ascii="Poppins" w:cs="Poppins" w:eastAsia="Poppins" w:hAnsi="Poppins"/>
          <w:b/>
          <w:bCs/>
          <w:color w:val="1F2937"/>
          <w:sz w:val="20"/>
          <w:szCs w:val="20"/>
        </w:rPr>
        <w:t xml:space="preserve">Pour NINEA</w:t>
      </w:r>
      <w:r>
        <w:rPr>
          <w:rFonts w:ascii="Poppins" w:cs="Poppins" w:eastAsia="Poppins" w:hAnsi="Poppins"/>
          <w:color w:val="1F2937"/>
          <w:sz w:val="20"/>
          <w:szCs w:val="20"/>
        </w:rPr>
        <w:t xml:space="preserve"> : tous les cas d'usage qui consomment ou alimentent le référentiel, avec identification immédiate des doublons potentiels (par exemple plusieurs cas d'usage consommant les mêmes attributs NINEA pour des finalités proches) et des gaps (absence d'exposition d'un attribut critique).</w:t>
      </w:r>
    </w:p>
    <w:p>
      <w:pPr>
        <w:pStyle w:val="ListParagraph"/>
        <w:numPr>
          <w:ilvl w:val="0"/>
          <w:numId w:val="2"/>
        </w:numPr>
        <w:spacing w:after="60" w:before="60" w:line="280"/>
      </w:pPr>
      <w:r>
        <w:rPr>
          <w:rFonts w:ascii="Poppins" w:cs="Poppins" w:eastAsia="Poppins" w:hAnsi="Poppins"/>
          <w:b/>
          <w:bCs/>
          <w:color w:val="1F2937"/>
          <w:sz w:val="20"/>
          <w:szCs w:val="20"/>
        </w:rPr>
        <w:t xml:space="preserve">Pour RCCM et Casier judiciaire</w:t>
      </w:r>
      <w:r>
        <w:rPr>
          <w:rFonts w:ascii="Poppins" w:cs="Poppins" w:eastAsia="Poppins" w:hAnsi="Poppins"/>
          <w:color w:val="1F2937"/>
          <w:sz w:val="20"/>
          <w:szCs w:val="20"/>
        </w:rPr>
        <w:t xml:space="preserve"> : confirmation de l'absence de services PINS correspondants et génération automatique de cas d'usage candidats à prioriser pour MVP 2.0+.</w:t>
      </w:r>
    </w:p>
    <w:p>
      <w:pPr>
        <w:pStyle w:val="ListParagraph"/>
        <w:numPr>
          <w:ilvl w:val="0"/>
          <w:numId w:val="2"/>
        </w:numPr>
        <w:spacing w:after="60" w:before="60" w:line="280"/>
      </w:pPr>
      <w:r>
        <w:rPr>
          <w:rFonts w:ascii="Poppins" w:cs="Poppins" w:eastAsia="Poppins" w:hAnsi="Poppins"/>
          <w:b/>
          <w:bCs/>
          <w:color w:val="1F2937"/>
          <w:sz w:val="20"/>
          <w:szCs w:val="20"/>
        </w:rPr>
        <w:t xml:space="preserve">Pour tout référentiel</w:t>
      </w:r>
      <w:r>
        <w:rPr>
          <w:rFonts w:ascii="Poppins" w:cs="Poppins" w:eastAsia="Poppins" w:hAnsi="Poppins"/>
          <w:color w:val="1F2937"/>
          <w:sz w:val="20"/>
          <w:szCs w:val="20"/>
        </w:rPr>
        <w:t xml:space="preserve"> : capacité à répondre en temps réel aux sollicitations du SP GouvNum, de l'AEG et des partenaires GIZ / JICA sur l'état de la couverture.</w:t>
      </w:r>
    </w:p>
    <w:p>
      <w:pPr>
        <w:pStyle w:val="Heading2"/>
        <w:spacing w:after="160" w:before="300"/>
      </w:pPr>
      <w:r>
        <w:rPr>
          <w:rFonts w:ascii="Poppins" w:cs="Poppins" w:eastAsia="Poppins" w:hAnsi="Poppins"/>
          <w:b/>
          <w:bCs/>
          <w:color w:val="0A6B68"/>
          <w:sz w:val="26"/>
          <w:szCs w:val="26"/>
        </w:rPr>
        <w:t xml:space="preserve">4.3 Alimentation de la note de cadrage GouvNum – AEG – Interop</w:t>
      </w:r>
    </w:p>
    <w:p>
      <w:pPr>
        <w:spacing w:after="80" w:before="80" w:line="300"/>
        <w:jc w:val="both"/>
      </w:pPr>
      <w:r>
        <w:rPr>
          <w:rFonts w:ascii="Poppins" w:cs="Poppins" w:eastAsia="Poppins" w:hAnsi="Poppins"/>
          <w:color w:val="1F2937"/>
          <w:sz w:val="20"/>
          <w:szCs w:val="20"/>
        </w:rPr>
        <w:t xml:space="preserve">La décision 3 de la Matinée de la DPI engage la DU à rédiger une note de cadrage formelle sur l'articulation GouvNum – AEG – Interop. Le mécanisme CasUsageRegistre fournit à cette note un point d'ancrage concret : il démontre que la plateforme DPI-INTEROP est déjà capable de porter la traçabilité sémantique que l'AEG doit produire, et qu'il suffit à l'AEG de fournir les définitions canoniques des référentiels sémantiques pour que le PINS les consomme opérationnellement. Ce constat renforce la position défendue lors de la Matinée : l'AEG complète le PINS, elle ne s'y substitue pas.</w:t>
      </w:r>
    </w:p>
    <w:p>
      <w:r>
        <w:br w:type="page"/>
      </w:r>
    </w:p>
    <w:p>
      <w:pPr>
        <w:pStyle w:val="Heading1"/>
        <w:spacing w:after="200" w:before="400"/>
      </w:pPr>
      <w:r>
        <w:rPr>
          <w:rFonts w:ascii="Poppins" w:cs="Poppins" w:eastAsia="Poppins" w:hAnsi="Poppins"/>
          <w:b/>
          <w:bCs/>
          <w:color w:val="0C1F3A"/>
          <w:sz w:val="32"/>
          <w:szCs w:val="32"/>
        </w:rPr>
        <w:t xml:space="preserve">5. Plan de mise en œuvre</w:t>
      </w:r>
    </w:p>
    <w:p>
      <w:pPr>
        <w:pStyle w:val="Heading2"/>
        <w:spacing w:after="160" w:before="300"/>
      </w:pPr>
      <w:r>
        <w:rPr>
          <w:rFonts w:ascii="Poppins" w:cs="Poppins" w:eastAsia="Poppins" w:hAnsi="Poppins"/>
          <w:b/>
          <w:bCs/>
          <w:color w:val="0A6B68"/>
          <w:sz w:val="26"/>
          <w:szCs w:val="26"/>
        </w:rPr>
        <w:t xml:space="preserve">5.1 Rattachement à la roadmap principale</w:t>
      </w:r>
    </w:p>
    <w:p>
      <w:pPr>
        <w:spacing w:after="80" w:before="80" w:line="300"/>
        <w:jc w:val="both"/>
      </w:pPr>
      <w:r>
        <w:rPr>
          <w:rFonts w:ascii="Poppins" w:cs="Poppins" w:eastAsia="Poppins" w:hAnsi="Poppins"/>
          <w:color w:val="1F2937"/>
          <w:sz w:val="20"/>
          <w:szCs w:val="20"/>
        </w:rPr>
        <w:t xml:space="preserve">L'addendum s'intègre naturellement dans la roadmap de la Vue 360° définie dans le document v1.0 (huit phases P0 à P7). Il n'introduit pas de phase additionnelle, il enrichit les phases existantes sans en décaler le calendrier global.</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4926"/>
      </w:tblGrid>
      <w:tr>
        <w:trPr>
          <w:tblHeader/>
        </w:trPr>
        <w:tc>
          <w:tcPr>
            <w:tcW w:type="dxa" w:w="1100"/>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Phase</w:t>
            </w:r>
          </w:p>
        </w:tc>
        <w:tc>
          <w:tcPr>
            <w:tcW w:type="dxa" w:w="3000"/>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Livrable existant (v1.0)</w:t>
            </w:r>
          </w:p>
        </w:tc>
        <w:tc>
          <w:tcPr>
            <w:tcW w:type="dxa" w:w="4926"/>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Enrichissement apporté par l'addendum v1.1</w:t>
            </w:r>
          </w:p>
        </w:tc>
      </w:tr>
      <w:tr>
        <w:tc>
          <w:tcPr>
            <w:tcW w:type="dxa" w:w="11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C55A18"/>
                <w:sz w:val="18"/>
                <w:szCs w:val="18"/>
              </w:rPr>
              <w:t xml:space="preserve">P1</w:t>
            </w:r>
          </w:p>
        </w:tc>
        <w:tc>
          <w:tcPr>
            <w:tcW w:type="dxa" w:w="3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Migration schéma Prisma principale.</w:t>
            </w:r>
          </w:p>
        </w:tc>
        <w:tc>
          <w:tcPr>
            <w:tcW w:type="dxa" w:w="49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Exécution additionnelle de migration_registre.sql ; intégration du modèle CasUsageRegistre au schéma principal.</w:t>
            </w:r>
          </w:p>
        </w:tc>
      </w:tr>
      <w:tr>
        <w:tc>
          <w:tcPr>
            <w:tcW w:type="dxa" w:w="11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C55A18"/>
                <w:sz w:val="18"/>
                <w:szCs w:val="18"/>
              </w:rPr>
              <w:t xml:space="preserve">P2</w:t>
            </w:r>
          </w:p>
        </w:tc>
        <w:tc>
          <w:tcPr>
            <w:tcW w:type="dxa" w:w="3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API backend des cas d'usage et consultations.</w:t>
            </w:r>
          </w:p>
        </w:tc>
        <w:tc>
          <w:tcPr>
            <w:tcW w:type="dxa" w:w="49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Trois endpoints additionnels : GET /api/registres/couverture, GET /api/registres/:id/cas-usages, POST /api/use-cases/:id/registres.</w:t>
            </w:r>
          </w:p>
        </w:tc>
      </w:tr>
      <w:tr>
        <w:tc>
          <w:tcPr>
            <w:tcW w:type="dxa" w:w="11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C55A18"/>
                <w:sz w:val="18"/>
                <w:szCs w:val="18"/>
              </w:rPr>
              <w:t xml:space="preserve">P3</w:t>
            </w:r>
          </w:p>
        </w:tc>
        <w:tc>
          <w:tcPr>
            <w:tcW w:type="dxa" w:w="3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Dashboard sectoriel enrichi.</w:t>
            </w:r>
          </w:p>
        </w:tc>
        <w:tc>
          <w:tcPr>
            <w:tcW w:type="dxa" w:w="49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Ajout d'un cinquième bloc « Couverture par référentiel » (DU) ou enrichissement du bloc Radar sectoriel (admin).</w:t>
            </w:r>
          </w:p>
        </w:tc>
      </w:tr>
      <w:tr>
        <w:tc>
          <w:tcPr>
            <w:tcW w:type="dxa" w:w="11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C55A18"/>
                <w:sz w:val="18"/>
                <w:szCs w:val="18"/>
              </w:rPr>
              <w:t xml:space="preserve">P4</w:t>
            </w:r>
          </w:p>
        </w:tc>
        <w:tc>
          <w:tcPr>
            <w:tcW w:type="dxa" w:w="30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Page détail d'un cas d'usage.</w:t>
            </w:r>
          </w:p>
        </w:tc>
        <w:tc>
          <w:tcPr>
            <w:tcW w:type="dxa" w:w="49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Ajout du bloc « Référentiels touchés » et du composant « Cas d'usage similaires existants » au formulaire de déclaration.</w:t>
            </w:r>
          </w:p>
        </w:tc>
      </w:tr>
    </w:tbl>
    <w:p>
      <w:pPr>
        <w:spacing w:after="60" w:before="60"/>
      </w:pPr>
    </w:p>
    <w:p>
      <w:pPr>
        <w:pStyle w:val="Heading2"/>
        <w:spacing w:after="160" w:before="300"/>
      </w:pPr>
      <w:r>
        <w:rPr>
          <w:rFonts w:ascii="Poppins" w:cs="Poppins" w:eastAsia="Poppins" w:hAnsi="Poppins"/>
          <w:b/>
          <w:bCs/>
          <w:color w:val="0A6B68"/>
          <w:sz w:val="26"/>
          <w:szCs w:val="26"/>
        </w:rPr>
        <w:t xml:space="preserve">5.2 Migration fonctionnelle des cas d'usage existants</w:t>
      </w:r>
    </w:p>
    <w:p>
      <w:pPr>
        <w:spacing w:after="80" w:before="80" w:line="300"/>
        <w:jc w:val="both"/>
      </w:pPr>
      <w:r>
        <w:rPr>
          <w:rFonts w:ascii="Poppins" w:cs="Poppins" w:eastAsia="Poppins" w:hAnsi="Poppins"/>
          <w:color w:val="1F2937"/>
          <w:sz w:val="20"/>
          <w:szCs w:val="20"/>
        </w:rPr>
        <w:t xml:space="preserve">Pour les cas d'usage déjà qualifiés au catalogue PINS, un atelier de ré-association aux référentiels est organisé avec la DU. Chaque cas d'usage est passé en revue et associé au(x) référentiel(s) qu'il touche, avec son mode d'usage et la liste des champs concernés. Ce travail s'appuie sur la Cartographie des cas d'usage Finances v4.1 déjà produite. À l'issue, un rapport de couverture consolidé est publié et intégré à la note de cadrage GouvNum – AEG – Interop.</w:t>
      </w:r>
    </w:p>
    <w:p>
      <w:pPr>
        <w:pStyle w:val="Heading2"/>
        <w:spacing w:after="160" w:before="300"/>
      </w:pPr>
      <w:r>
        <w:rPr>
          <w:rFonts w:ascii="Poppins" w:cs="Poppins" w:eastAsia="Poppins" w:hAnsi="Poppins"/>
          <w:b/>
          <w:bCs/>
          <w:color w:val="0A6B68"/>
          <w:sz w:val="26"/>
          <w:szCs w:val="26"/>
        </w:rPr>
        <w:t xml:space="preserve">5.3 Indicateurs de pilotage</w:t>
      </w:r>
    </w:p>
    <w:p>
      <w:pPr>
        <w:spacing w:after="80" w:before="80" w:line="300"/>
        <w:jc w:val="both"/>
      </w:pPr>
      <w:r>
        <w:rPr>
          <w:rFonts w:ascii="Poppins" w:cs="Poppins" w:eastAsia="Poppins" w:hAnsi="Poppins"/>
          <w:color w:val="1F2937"/>
          <w:sz w:val="20"/>
          <w:szCs w:val="20"/>
        </w:rPr>
        <w:t xml:space="preserve">Trois indicateurs sont ajoutés au tableau de bord de pilotage de la DU :</w:t>
      </w:r>
    </w:p>
    <w:p>
      <w:pPr>
        <w:pStyle w:val="ListParagraph"/>
        <w:numPr>
          <w:ilvl w:val="0"/>
          <w:numId w:val="2"/>
        </w:numPr>
        <w:spacing w:after="60" w:before="60" w:line="280"/>
      </w:pPr>
      <w:r>
        <w:rPr>
          <w:rFonts w:ascii="Poppins" w:cs="Poppins" w:eastAsia="Poppins" w:hAnsi="Poppins"/>
          <w:b/>
          <w:bCs/>
          <w:color w:val="1F2937"/>
          <w:sz w:val="20"/>
          <w:szCs w:val="20"/>
        </w:rPr>
        <w:t xml:space="preserve">Taux de rattachement</w:t>
      </w:r>
      <w:r>
        <w:rPr>
          <w:rFonts w:ascii="Poppins" w:cs="Poppins" w:eastAsia="Poppins" w:hAnsi="Poppins"/>
          <w:color w:val="1F2937"/>
          <w:sz w:val="20"/>
          <w:szCs w:val="20"/>
        </w:rPr>
        <w:t xml:space="preserve"> : pourcentage de cas d'usage qualifiés ayant au moins une association à un référentiel national. Cible : 100 %.</w:t>
      </w:r>
    </w:p>
    <w:p>
      <w:pPr>
        <w:pStyle w:val="ListParagraph"/>
        <w:numPr>
          <w:ilvl w:val="0"/>
          <w:numId w:val="2"/>
        </w:numPr>
        <w:spacing w:after="60" w:before="60" w:line="280"/>
      </w:pPr>
      <w:r>
        <w:rPr>
          <w:rFonts w:ascii="Poppins" w:cs="Poppins" w:eastAsia="Poppins" w:hAnsi="Poppins"/>
          <w:b/>
          <w:bCs/>
          <w:color w:val="1F2937"/>
          <w:sz w:val="20"/>
          <w:szCs w:val="20"/>
        </w:rPr>
        <w:t xml:space="preserve">Taux de couverture Doing Business</w:t>
      </w:r>
      <w:r>
        <w:rPr>
          <w:rFonts w:ascii="Poppins" w:cs="Poppins" w:eastAsia="Poppins" w:hAnsi="Poppins"/>
          <w:color w:val="1F2937"/>
          <w:sz w:val="20"/>
          <w:szCs w:val="20"/>
        </w:rPr>
        <w:t xml:space="preserve"> : nombre de cas d'usage actifs sur le triptyque NINEA / RCCM / Casier judiciaire, pondéré par le volume de consommation. Cible : 100 % sur NINEA à fin T3 2026, ouverture à RCCM et Casier sur MVP 2.0+.</w:t>
      </w:r>
    </w:p>
    <w:p>
      <w:pPr>
        <w:pStyle w:val="ListParagraph"/>
        <w:numPr>
          <w:ilvl w:val="0"/>
          <w:numId w:val="2"/>
        </w:numPr>
        <w:spacing w:after="60" w:before="60" w:line="280"/>
      </w:pPr>
      <w:r>
        <w:rPr>
          <w:rFonts w:ascii="Poppins" w:cs="Poppins" w:eastAsia="Poppins" w:hAnsi="Poppins"/>
          <w:b/>
          <w:bCs/>
          <w:color w:val="1F2937"/>
          <w:sz w:val="20"/>
          <w:szCs w:val="20"/>
        </w:rPr>
        <w:t xml:space="preserve">Taux de détection de duplication</w:t>
      </w:r>
      <w:r>
        <w:rPr>
          <w:rFonts w:ascii="Poppins" w:cs="Poppins" w:eastAsia="Poppins" w:hAnsi="Poppins"/>
          <w:color w:val="1F2937"/>
          <w:sz w:val="20"/>
          <w:szCs w:val="20"/>
        </w:rPr>
        <w:t xml:space="preserve"> : nombre de déclarations où le composant « Cas d'usage similaires existants » a remonté au moins un match, rapporté au total des déclarations. Sert à mesurer l'effet anti-duplication effectif.</w:t>
      </w:r>
    </w:p>
    <w:p>
      <w:pPr>
        <w:spacing w:after="60" w:before="60"/>
      </w:pPr>
    </w:p>
    <w:p>
      <w:pPr>
        <w:pStyle w:val="Heading2"/>
        <w:spacing w:after="160" w:before="300"/>
      </w:pPr>
      <w:r>
        <w:rPr>
          <w:rFonts w:ascii="Poppins" w:cs="Poppins" w:eastAsia="Poppins" w:hAnsi="Poppins"/>
          <w:b/>
          <w:bCs/>
          <w:color w:val="0A6B68"/>
          <w:sz w:val="26"/>
          <w:szCs w:val="26"/>
        </w:rPr>
        <w:t xml:space="preserve">5.4 Validation</w:t>
      </w:r>
    </w:p>
    <w:p>
      <w:pPr>
        <w:spacing w:after="80" w:before="80" w:line="300"/>
        <w:jc w:val="both"/>
      </w:pPr>
      <w:r>
        <w:rPr>
          <w:rFonts w:ascii="Poppins" w:cs="Poppins" w:eastAsia="Poppins" w:hAnsi="Poppins"/>
          <w:color w:val="1F2937"/>
          <w:sz w:val="20"/>
          <w:szCs w:val="20"/>
        </w:rPr>
        <w:t xml:space="preserve">Le présent addendum est soumis à la validation du Directeur de la Delivery Unit, M. Mohamed DIABY. Une fois validé, il sera référencé comme annexe contractuelle du document de conception v1.0 et intégré à la version consolidée v1.1 livrée à l'équipe de développement.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pPr>
            <w:r>
              <w:rPr>
                <w:rFonts w:ascii="Poppins" w:cs="Poppins" w:eastAsia="Poppins" w:hAnsi="Poppins"/>
                <w:b/>
                <w:bCs/>
                <w:color w:val="0C1F3A"/>
                <w:sz w:val="18"/>
                <w:szCs w:val="18"/>
              </w:rPr>
              <w:t xml:space="preserve">Rédacteur</w:t>
            </w:r>
          </w:p>
        </w:tc>
        <w:tc>
          <w:tcPr>
            <w:tcW w:type="dxa" w:w="4513"/>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pPr>
            <w:r>
              <w:rPr>
                <w:rFonts w:ascii="Poppins" w:cs="Poppins" w:eastAsia="Poppins" w:hAnsi="Poppins"/>
                <w:b/>
                <w:bCs/>
                <w:color w:val="0C1F3A"/>
                <w:sz w:val="18"/>
                <w:szCs w:val="18"/>
              </w:rPr>
              <w:t xml:space="preserve">Validation</w:t>
            </w:r>
          </w:p>
        </w:tc>
      </w:tr>
      <w:tr>
        <w:tc>
          <w:tcPr>
            <w:tcW w:type="dxa" w:w="4513"/>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80"/>
            </w:pPr>
            <w:r>
              <w:rPr>
                <w:rFonts w:ascii="Poppins" w:cs="Poppins" w:eastAsia="Poppins" w:hAnsi="Poppins"/>
                <w:b/>
                <w:bCs/>
                <w:color w:val="1F2937"/>
                <w:sz w:val="20"/>
                <w:szCs w:val="20"/>
              </w:rPr>
              <w:t xml:space="preserve">Birama DIOP</w:t>
            </w:r>
          </w:p>
          <w:p>
            <w:pPr>
              <w:spacing w:after="40" w:before="0"/>
            </w:pPr>
            <w:r>
              <w:rPr>
                <w:rFonts w:ascii="Poppins" w:cs="Poppins" w:eastAsia="Poppins" w:hAnsi="Poppins"/>
                <w:i/>
                <w:iCs/>
                <w:color w:val="374151"/>
                <w:sz w:val="18"/>
                <w:szCs w:val="18"/>
              </w:rPr>
              <w:t xml:space="preserve">Point Focal National d'Interopérabilité</w:t>
            </w:r>
          </w:p>
          <w:p>
            <w:pPr>
              <w:spacing w:after="40" w:before="0"/>
            </w:pPr>
            <w:r>
              <w:rPr>
                <w:rFonts w:ascii="Poppins" w:cs="Poppins" w:eastAsia="Poppins" w:hAnsi="Poppins"/>
                <w:i/>
                <w:iCs/>
                <w:color w:val="374151"/>
                <w:sz w:val="18"/>
                <w:szCs w:val="18"/>
              </w:rPr>
              <w:t xml:space="preserve">Architecte DPI — MCTN / SENUM SA</w:t>
            </w:r>
          </w:p>
          <w:p>
            <w:pPr>
              <w:spacing w:after="40" w:before="200"/>
            </w:pPr>
            <w:r>
              <w:rPr>
                <w:rFonts w:ascii="Poppins" w:cs="Poppins" w:eastAsia="Poppins" w:hAnsi="Poppins"/>
                <w:color w:val="1F2937"/>
                <w:sz w:val="18"/>
                <w:szCs w:val="18"/>
              </w:rPr>
              <w:t xml:space="preserve">Date : 22 avril 2026</w:t>
            </w:r>
          </w:p>
          <w:p>
            <w:pPr>
              <w:spacing w:after="40" w:before="600"/>
            </w:pPr>
            <w:r>
              <w:rPr>
                <w:rFonts w:ascii="Poppins" w:cs="Poppins" w:eastAsia="Poppins" w:hAnsi="Poppins"/>
                <w:color w:val="1F2937"/>
                <w:sz w:val="18"/>
                <w:szCs w:val="18"/>
              </w:rPr>
              <w:t xml:space="preserve">Signature :</w:t>
            </w:r>
          </w:p>
        </w:tc>
        <w:tc>
          <w:tcPr>
            <w:tcW w:type="dxa" w:w="4513"/>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80"/>
            </w:pPr>
            <w:r>
              <w:rPr>
                <w:rFonts w:ascii="Poppins" w:cs="Poppins" w:eastAsia="Poppins" w:hAnsi="Poppins"/>
                <w:b/>
                <w:bCs/>
                <w:color w:val="1F2937"/>
                <w:sz w:val="20"/>
                <w:szCs w:val="20"/>
              </w:rPr>
              <w:t xml:space="preserve">Mohamed DIABY</w:t>
            </w:r>
          </w:p>
          <w:p>
            <w:pPr>
              <w:spacing w:after="40" w:before="0"/>
            </w:pPr>
            <w:r>
              <w:rPr>
                <w:rFonts w:ascii="Poppins" w:cs="Poppins" w:eastAsia="Poppins" w:hAnsi="Poppins"/>
                <w:i/>
                <w:iCs/>
                <w:color w:val="374151"/>
                <w:sz w:val="18"/>
                <w:szCs w:val="18"/>
              </w:rPr>
              <w:t xml:space="preserve">Directeur Delivery Unit</w:t>
            </w:r>
          </w:p>
          <w:p>
            <w:pPr>
              <w:spacing w:after="40" w:before="0"/>
            </w:pPr>
            <w:r>
              <w:rPr>
                <w:rFonts w:ascii="Poppins" w:cs="Poppins" w:eastAsia="Poppins" w:hAnsi="Poppins"/>
                <w:i/>
                <w:iCs/>
                <w:color w:val="374151"/>
                <w:sz w:val="18"/>
                <w:szCs w:val="18"/>
              </w:rPr>
              <w:t xml:space="preserve">MCTN</w:t>
            </w:r>
          </w:p>
          <w:p>
            <w:pPr>
              <w:spacing w:after="40" w:before="200"/>
            </w:pPr>
            <w:r>
              <w:rPr>
                <w:rFonts w:ascii="Poppins" w:cs="Poppins" w:eastAsia="Poppins" w:hAnsi="Poppins"/>
                <w:color w:val="1F2937"/>
                <w:sz w:val="18"/>
                <w:szCs w:val="18"/>
              </w:rPr>
              <w:t xml:space="preserve">Date :</w:t>
            </w:r>
          </w:p>
          <w:p>
            <w:pPr>
              <w:spacing w:after="40" w:before="600"/>
            </w:pPr>
            <w:r>
              <w:rPr>
                <w:rFonts w:ascii="Poppins" w:cs="Poppins" w:eastAsia="Poppins" w:hAnsi="Poppins"/>
                <w:color w:val="1F2937"/>
                <w:sz w:val="18"/>
                <w:szCs w:val="18"/>
              </w:rPr>
              <w:t xml:space="preserve">Signature :</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6B68" w:sz="6" w:space="4"/>
      </w:pBdr>
      <w:tabs>
        <w:tab w:val="right" w:pos="9026"/>
      </w:tabs>
    </w:pPr>
    <w:r>
      <w:rPr>
        <w:rFonts w:ascii="Poppins" w:cs="Poppins" w:eastAsia="Poppins" w:hAnsi="Poppins"/>
        <w:i/>
        <w:iCs/>
        <w:color w:val="9CA3AF"/>
        <w:sz w:val="14"/>
        <w:szCs w:val="14"/>
      </w:rPr>
      <w:t xml:space="preserve">Diffusion restreinte — Usage interne</w:t>
    </w:r>
    <w:r>
      <w:rPr>
        <w:rFonts w:ascii="Poppins" w:cs="Poppins" w:eastAsia="Poppins" w:hAnsi="Poppins"/>
        <w:sz w:val="14"/>
        <w:szCs w:val="14"/>
      </w:rPr>
      <w:t xml:space="preserve">	</w:t>
    </w:r>
    <w:r>
      <w:rPr>
        <w:rFonts w:ascii="Poppins" w:cs="Poppins" w:eastAsia="Poppins" w:hAnsi="Poppins"/>
        <w:color w:val="374151"/>
        <w:sz w:val="14"/>
        <w:szCs w:val="14"/>
      </w:rPr>
      <w:t xml:space="preserve">Page </w:t>
    </w:r>
    <w:r>
      <w:rPr>
        <w:rFonts w:ascii="Poppins" w:cs="Poppins" w:eastAsia="Poppins" w:hAnsi="Poppins"/>
        <w:b/>
        <w:bCs/>
        <w:color w:val="374151"/>
        <w:sz w:val="14"/>
        <w:szCs w:val="14"/>
      </w:rPr>
      <w:fldChar w:fldCharType="begin"/>
      <w:instrText xml:space="preserve">PAGE</w:instrText>
      <w:fldChar w:fldCharType="separate"/>
      <w:fldChar w:fldCharType="end"/>
    </w:r>
    <w:r>
      <w:rPr>
        <w:rFonts w:ascii="Poppins" w:cs="Poppins" w:eastAsia="Poppins" w:hAnsi="Poppins"/>
        <w:color w:val="374151"/>
        <w:sz w:val="14"/>
        <w:szCs w:val="14"/>
      </w:rPr>
      <w:t xml:space="preserve"> / </w:t>
    </w:r>
    <w:r>
      <w:rPr>
        <w:rFonts w:ascii="Poppins" w:cs="Poppins" w:eastAsia="Poppins" w:hAnsi="Poppins"/>
        <w:color w:val="374151"/>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6B68" w:sz="6" w:space="4"/>
      </w:pBdr>
      <w:tabs>
        <w:tab w:val="right" w:pos="9026"/>
      </w:tabs>
    </w:pPr>
    <w:r>
      <w:rPr>
        <w:rFonts w:ascii="Poppins" w:cs="Poppins" w:eastAsia="Poppins" w:hAnsi="Poppins"/>
        <w:b/>
        <w:bCs/>
        <w:color w:val="0C1F3A"/>
        <w:sz w:val="16"/>
        <w:szCs w:val="16"/>
      </w:rPr>
      <w:t xml:space="preserve">MCTN / DU — Application DPI-INTEROP</w:t>
    </w:r>
    <w:r>
      <w:rPr>
        <w:rFonts w:ascii="Poppins" w:cs="Poppins" w:eastAsia="Poppins" w:hAnsi="Poppins"/>
        <w:sz w:val="16"/>
        <w:szCs w:val="16"/>
      </w:rPr>
      <w:t xml:space="preserve">	</w:t>
    </w:r>
    <w:r>
      <w:rPr>
        <w:rFonts w:ascii="Poppins" w:cs="Poppins" w:eastAsia="Poppins" w:hAnsi="Poppins"/>
        <w:i/>
        <w:iCs/>
        <w:color w:val="374151"/>
        <w:sz w:val="16"/>
        <w:szCs w:val="16"/>
      </w:rPr>
      <w:t xml:space="preserve">Addendum v1.1 — Liaison référentiels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Poppins" w:cs="Poppins" w:eastAsia="Poppins" w:hAnsi="Poppins"/>
      <w:b/>
      <w:bCs/>
      <w:color w:val="0C1F3A"/>
      <w:sz w:val="32"/>
      <w:szCs w:val="32"/>
    </w:rPr>
  </w:style>
  <w:style w:type="paragraph" w:styleId="Heading2">
    <w:name w:val="Heading 2"/>
    <w:basedOn w:val="Normal"/>
    <w:next w:val="Normal"/>
    <w:qFormat/>
    <w:pPr>
      <w:spacing w:after="160" w:before="300"/>
      <w:outlineLvl w:val="1"/>
    </w:pPr>
    <w:rPr>
      <w:rFonts w:ascii="Poppins" w:cs="Poppins" w:eastAsia="Poppins" w:hAnsi="Poppins"/>
      <w:b/>
      <w:bCs/>
      <w:color w:val="0A6B68"/>
      <w:sz w:val="26"/>
      <w:szCs w:val="26"/>
    </w:rPr>
  </w:style>
  <w:style w:type="paragraph" w:styleId="Heading3">
    <w:name w:val="Heading 3"/>
    <w:basedOn w:val="Normal"/>
    <w:next w:val="Normal"/>
    <w:qFormat/>
    <w:pPr>
      <w:spacing w:after="120" w:before="240"/>
      <w:outlineLvl w:val="2"/>
    </w:pPr>
    <w:rPr>
      <w:rFonts w:ascii="Poppins" w:cs="Poppins" w:eastAsia="Poppins" w:hAnsi="Poppins"/>
      <w:b/>
      <w:bCs/>
      <w:color w:val="0C1F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2026-04-22T20:18:48.919Z</dcterms:created>
  <dcterms:modified xsi:type="dcterms:W3CDTF">2026-04-22T20:18:48.920Z</dcterms:modified>
</cp:coreProperties>
</file>

<file path=docProps/custom.xml><?xml version="1.0" encoding="utf-8"?>
<Properties xmlns="http://schemas.openxmlformats.org/officeDocument/2006/custom-properties" xmlns:vt="http://schemas.openxmlformats.org/officeDocument/2006/docPropsVTypes"/>
</file>