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Poppins" w:cs="Poppins" w:eastAsia="Poppins" w:hAnsi="Poppins"/>
          <w:b/>
          <w:bCs/>
          <w:color w:val="0C1F3A"/>
          <w:sz w:val="16"/>
          <w:szCs w:val="16"/>
        </w:rPr>
        <w:t xml:space="preserve">RÉPUBLIQUE DU SÉNÉGAL</w:t>
      </w:r>
      <w:r>
        <w:rPr>
          <w:rFonts w:ascii="Poppins" w:cs="Poppins" w:eastAsia="Poppins" w:hAnsi="Poppins"/>
          <w:color w:val="9CA3AF"/>
          <w:sz w:val="16"/>
          <w:szCs w:val="16"/>
        </w:rPr>
        <w:t xml:space="preserve">  |  </w:t>
      </w:r>
      <w:r>
        <w:rPr>
          <w:rFonts w:ascii="Poppins" w:cs="Poppins" w:eastAsia="Poppins" w:hAnsi="Poppins"/>
          <w:i/>
          <w:iCs/>
          <w:color w:val="374151"/>
          <w:sz w:val="16"/>
          <w:szCs w:val="16"/>
        </w:rPr>
        <w:t xml:space="preserve">Un Peuple – Un But – Une Foi</w:t>
      </w:r>
    </w:p>
    <w:p>
      <w:pPr>
        <w:spacing w:after="120" w:before="0"/>
      </w:pPr>
      <w:r>
        <w:rPr>
          <w:rFonts w:ascii="Poppins" w:cs="Poppins" w:eastAsia="Poppins" w:hAnsi="Poppins"/>
          <w:b/>
          <w:bCs/>
          <w:color w:val="0C1F3A"/>
          <w:sz w:val="18"/>
          <w:szCs w:val="18"/>
        </w:rPr>
        <w:t xml:space="preserve">MINISTÈRE DE LA COMMUNICATION, DES TÉLÉCOMMUNICATIONS ET DU NUMÉRIQUE</w:t>
      </w:r>
    </w:p>
    <w:p>
      <w:pPr>
        <w:spacing w:after="600" w:before="0"/>
      </w:pPr>
      <w:r>
        <w:rPr>
          <w:rFonts w:ascii="Poppins" w:cs="Poppins" w:eastAsia="Poppins" w:hAnsi="Poppins"/>
          <w:b/>
          <w:bCs/>
          <w:color w:val="0A6B68"/>
          <w:sz w:val="16"/>
          <w:szCs w:val="16"/>
        </w:rPr>
        <w:t xml:space="preserve">DELIVERY UNIT — SENUM 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6B68" w:val="clear"/>
            <w:tcMar>
              <w:top w:type="dxa" w:w="120"/>
              <w:left w:type="dxa" w:w="200"/>
              <w:bottom w:type="dxa" w:w="120"/>
              <w:right w:type="dxa" w:w="200"/>
            </w:tcMar>
          </w:tcPr>
          <w:p>
            <w:pPr>
              <w:jc w:val="left"/>
            </w:pPr>
            <w:r>
              <w:rPr>
                <w:rFonts w:ascii="Poppins" w:cs="Poppins" w:eastAsia="Poppins" w:hAnsi="Poppins"/>
                <w:b/>
                <w:bCs/>
                <w:color w:val="FFFFFF"/>
                <w:spacing w:val="40"/>
                <w:sz w:val="18"/>
                <w:szCs w:val="18"/>
              </w:rPr>
              <w:t xml:space="preserve">DOCUMENT DE CONCEPTION FONCTIONNELLE</w:t>
            </w:r>
          </w:p>
        </w:tc>
      </w:tr>
    </w:tbl>
    <w:p>
      <w:pPr>
        <w:spacing w:after="60" w:before="60"/>
      </w:pPr>
    </w:p>
    <w:p>
      <w:pPr>
        <w:spacing w:after="120" w:before="200"/>
      </w:pPr>
      <w:r>
        <w:rPr>
          <w:rFonts w:ascii="Poppins" w:cs="Poppins" w:eastAsia="Poppins" w:hAnsi="Poppins"/>
          <w:b/>
          <w:bCs/>
          <w:color w:val="0C1F3A"/>
          <w:sz w:val="40"/>
          <w:szCs w:val="40"/>
        </w:rPr>
        <w:t xml:space="preserve">Vue 360° des cas d'usage PINS</w:t>
      </w:r>
    </w:p>
    <w:p>
      <w:pPr>
        <w:spacing w:after="600" w:before="0"/>
      </w:pPr>
      <w:r>
        <w:rPr>
          <w:rFonts w:ascii="Poppins" w:cs="Poppins" w:eastAsia="Poppins" w:hAnsi="Poppins"/>
          <w:i/>
          <w:iCs/>
          <w:color w:val="374151"/>
          <w:sz w:val="24"/>
          <w:szCs w:val="24"/>
        </w:rPr>
        <w:t xml:space="preserve">Application DPI-INTEROP — Évolution du dashboard sectoriel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55A18" w:val="clear"/>
            <w:tcMar>
              <w:top w:type="dxa" w:w="120"/>
              <w:left w:type="dxa" w:w="200"/>
              <w:bottom w:type="dxa" w:w="120"/>
              <w:right w:type="dxa" w:w="200"/>
            </w:tcMar>
          </w:tcPr>
          <w:p>
            <w:pPr>
              <w:jc w:val="left"/>
            </w:pPr>
            <w:r>
              <w:rPr>
                <w:rFonts w:ascii="Poppins" w:cs="Poppins" w:eastAsia="Poppins" w:hAnsi="Poppins"/>
                <w:b/>
                <w:bCs/>
                <w:color w:val="FFFFFF"/>
                <w:spacing w:val="40"/>
                <w:sz w:val="14"/>
                <w:szCs w:val="14"/>
              </w:rPr>
              <w:t xml:space="preserve">DIFFUSION RESTREINTE — USAGE INTERNE MCTN / SENUM SA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Référence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MCTN/DU/APP-DPI-INTEROP/CONC-2026-02</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Version</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1.0</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Date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22 avril 2026</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Auteur</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Birama DIOP — Point Focal National d'Interopérabilité / Architecte DPI</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Pour validation</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 Mohamed DIABY, Directeur Delivery Unit</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Pour implémentation</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Équipe de développement DPI-INTEROP</w:t>
            </w:r>
          </w:p>
        </w:tc>
      </w:tr>
    </w:tbl>
    <w:p>
      <w:r>
        <w:br w:type="page"/>
      </w:r>
    </w:p>
    <w:p>
      <w:pPr>
        <w:pStyle w:val="Heading1"/>
        <w:spacing w:after="200" w:before="400"/>
      </w:pPr>
      <w:r>
        <w:rPr>
          <w:rFonts w:ascii="Poppins" w:cs="Poppins" w:eastAsia="Poppins" w:hAnsi="Poppins"/>
          <w:b/>
          <w:bCs/>
          <w:color w:val="0C1F3A"/>
          <w:sz w:val="32"/>
          <w:szCs w:val="32"/>
        </w:rPr>
        <w:t xml:space="preserve">1. Contexte et objectifs</w:t>
      </w:r>
    </w:p>
    <w:p>
      <w:pPr>
        <w:pStyle w:val="Heading2"/>
        <w:spacing w:after="160" w:before="300"/>
      </w:pPr>
      <w:r>
        <w:rPr>
          <w:rFonts w:ascii="Poppins" w:cs="Poppins" w:eastAsia="Poppins" w:hAnsi="Poppins"/>
          <w:b/>
          <w:bCs/>
          <w:color w:val="0A6B68"/>
          <w:sz w:val="26"/>
          <w:szCs w:val="26"/>
        </w:rPr>
        <w:t xml:space="preserve">1.1 État actuel du dashboard sectoriel</w:t>
      </w:r>
    </w:p>
    <w:p>
      <w:pPr>
        <w:spacing w:after="80" w:before="80" w:line="300"/>
        <w:jc w:val="both"/>
      </w:pPr>
      <w:r>
        <w:rPr>
          <w:rFonts w:ascii="Poppins" w:cs="Poppins" w:eastAsia="Poppins" w:hAnsi="Poppins"/>
          <w:color w:val="1F2937"/>
          <w:sz w:val="20"/>
          <w:szCs w:val="20"/>
        </w:rPr>
        <w:t xml:space="preserve">Le dashboard sectoriel actuel de l'application DPI-INTEROP offre à chaque institution connectée à la plateforme PINS une vue synthétique en deux volets : les données qu'elle consomme en provenance d'autres administrations, et les données qu'elle fournit aux administrations tierces. Cette vue est de nature comptable et rétrospective : elle décrit ce qui est matérialisé en flux techniques ou en cas d'usage déjà qualifiés.</w:t>
      </w:r>
    </w:p>
    <w:p>
      <w:pPr>
        <w:spacing w:after="80" w:before="80" w:line="300"/>
        <w:jc w:val="both"/>
      </w:pPr>
      <w:r>
        <w:rPr>
          <w:rFonts w:ascii="Poppins" w:cs="Poppins" w:eastAsia="Poppins" w:hAnsi="Poppins"/>
          <w:color w:val="1F2937"/>
          <w:sz w:val="20"/>
          <w:szCs w:val="20"/>
        </w:rPr>
        <w:t xml:space="preserve">Un bandeau « Actions requises » signale de manière embryonnaire les sollicitations ouvertes — questionnaire non soumis, Data Owner non désigné, participation requise sur un cas d'usage. Cet embryon est insuffisant pour supporter une véritable gouvernance collaborative des échanges inter-administrations.</w:t>
      </w:r>
    </w:p>
    <w:p>
      <w:pPr>
        <w:pStyle w:val="Heading2"/>
        <w:spacing w:after="160" w:before="300"/>
      </w:pPr>
      <w:r>
        <w:rPr>
          <w:rFonts w:ascii="Poppins" w:cs="Poppins" w:eastAsia="Poppins" w:hAnsi="Poppins"/>
          <w:b/>
          <w:bCs/>
          <w:color w:val="0A6B68"/>
          <w:sz w:val="26"/>
          <w:szCs w:val="26"/>
        </w:rPr>
        <w:t xml:space="preserve">1.2 Limite fonctionnelle identifiée</w:t>
      </w:r>
    </w:p>
    <w:p>
      <w:pPr>
        <w:spacing w:after="80" w:before="80" w:line="300"/>
        <w:jc w:val="both"/>
      </w:pPr>
      <w:r>
        <w:rPr>
          <w:rFonts w:ascii="Poppins" w:cs="Poppins" w:eastAsia="Poppins" w:hAnsi="Poppins"/>
          <w:color w:val="1F2937"/>
          <w:sz w:val="20"/>
          <w:szCs w:val="20"/>
        </w:rPr>
        <w:t xml:space="preserve">La dimension collaborative et prospective du cycle de vie des cas d'usage est absente de la vue sectorielle. Lorsqu'une administration initie la déclaration d'un cas d'usage qui implique d'autres administrations comme fournisseurs de données, consommateurs ou parties prenantes, ces dernières ne disposent d'aucun mécanisme pour :</w:t>
      </w:r>
    </w:p>
    <w:p>
      <w:pPr>
        <w:pStyle w:val="ListParagraph"/>
        <w:numPr>
          <w:ilvl w:val="0"/>
          <w:numId w:val="2"/>
        </w:numPr>
        <w:spacing w:after="60" w:before="60" w:line="280"/>
      </w:pPr>
      <w:r>
        <w:rPr>
          <w:rFonts w:ascii="Poppins" w:cs="Poppins" w:eastAsia="Poppins" w:hAnsi="Poppins"/>
          <w:color w:val="1F2937"/>
          <w:sz w:val="20"/>
          <w:szCs w:val="20"/>
        </w:rPr>
        <w:t xml:space="preserve">consulter l'ensemble des cas d'usage qui les concernent à tous les stades du pipeline (déclaré, en qualification, en consultation, priorisé, en production) ;</w:t>
      </w:r>
    </w:p>
    <w:p>
      <w:pPr>
        <w:pStyle w:val="ListParagraph"/>
        <w:numPr>
          <w:ilvl w:val="0"/>
          <w:numId w:val="2"/>
        </w:numPr>
        <w:spacing w:after="60" w:before="60" w:line="280"/>
      </w:pPr>
      <w:r>
        <w:rPr>
          <w:rFonts w:ascii="Poppins" w:cs="Poppins" w:eastAsia="Poppins" w:hAnsi="Poppins"/>
          <w:color w:val="1F2937"/>
          <w:sz w:val="20"/>
          <w:szCs w:val="20"/>
        </w:rPr>
        <w:t xml:space="preserve">formaliser un avis — validation, réserve, refus motivé, demande de précisions — sur les sollicitations reçues ;</w:t>
      </w:r>
    </w:p>
    <w:p>
      <w:pPr>
        <w:pStyle w:val="ListParagraph"/>
        <w:numPr>
          <w:ilvl w:val="0"/>
          <w:numId w:val="2"/>
        </w:numPr>
        <w:spacing w:after="60" w:before="60" w:line="280"/>
      </w:pPr>
      <w:r>
        <w:rPr>
          <w:rFonts w:ascii="Poppins" w:cs="Poppins" w:eastAsia="Poppins" w:hAnsi="Poppins"/>
          <w:color w:val="1F2937"/>
          <w:sz w:val="20"/>
          <w:szCs w:val="20"/>
        </w:rPr>
        <w:t xml:space="preserve">suivre en temps réel l'état de la consultation sur leurs propres demandes sortantes ;</w:t>
      </w:r>
    </w:p>
    <w:p>
      <w:pPr>
        <w:pStyle w:val="ListParagraph"/>
        <w:numPr>
          <w:ilvl w:val="0"/>
          <w:numId w:val="2"/>
        </w:numPr>
        <w:spacing w:after="60" w:before="60" w:line="280"/>
      </w:pPr>
      <w:r>
        <w:rPr>
          <w:rFonts w:ascii="Poppins" w:cs="Poppins" w:eastAsia="Poppins" w:hAnsi="Poppins"/>
          <w:color w:val="1F2937"/>
          <w:sz w:val="20"/>
          <w:szCs w:val="20"/>
        </w:rPr>
        <w:t xml:space="preserve">faire de la veille sur les cas d'usage déclarés dans d'autres administrations qui touchent leurs données ou leurs processus métier, afin de pouvoir s'auto-saisir comme partie prenante en amont.</w:t>
      </w:r>
    </w:p>
    <w:p>
      <w:pPr>
        <w:spacing w:after="80" w:before="80" w:line="300"/>
        <w:jc w:val="both"/>
      </w:pPr>
      <w:r>
        <w:rPr>
          <w:rFonts w:ascii="Poppins" w:cs="Poppins" w:eastAsia="Poppins" w:hAnsi="Poppins"/>
          <w:color w:val="1F2937"/>
          <w:sz w:val="20"/>
          <w:szCs w:val="20"/>
        </w:rPr>
        <w:t xml:space="preserve">Cette lacune engendre un risque réel de fragmentation : des cas d'usage peuvent être validés et mis en œuvre sans que des administrations légitimement concernées aient été associées, reproduisant in fine les silos que la plateforme PINS est précisément destinée à abolir.</w:t>
      </w:r>
    </w:p>
    <w:p>
      <w:pPr>
        <w:pStyle w:val="Heading2"/>
        <w:spacing w:after="160" w:before="300"/>
      </w:pPr>
      <w:r>
        <w:rPr>
          <w:rFonts w:ascii="Poppins" w:cs="Poppins" w:eastAsia="Poppins" w:hAnsi="Poppins"/>
          <w:b/>
          <w:bCs/>
          <w:color w:val="0A6B68"/>
          <w:sz w:val="26"/>
          <w:szCs w:val="26"/>
        </w:rPr>
        <w:t xml:space="preserve">1.3 Objectifs du présent document</w:t>
      </w:r>
    </w:p>
    <w:p>
      <w:pPr>
        <w:spacing w:after="80" w:before="80" w:line="300"/>
        <w:jc w:val="both"/>
      </w:pPr>
      <w:r>
        <w:rPr>
          <w:rFonts w:ascii="Poppins" w:cs="Poppins" w:eastAsia="Poppins" w:hAnsi="Poppins"/>
          <w:color w:val="1F2937"/>
          <w:sz w:val="20"/>
          <w:szCs w:val="20"/>
        </w:rPr>
        <w:t xml:space="preserve">Le présent document de conception fonctionnelle définit l'architecture de la Vue 360° des cas d'usage PINS à intégrer dans l'application DPI-INTEROP. Il couvre :</w:t>
      </w:r>
    </w:p>
    <w:p>
      <w:pPr>
        <w:pStyle w:val="ListParagraph"/>
        <w:numPr>
          <w:ilvl w:val="0"/>
          <w:numId w:val="2"/>
        </w:numPr>
        <w:spacing w:after="60" w:before="60" w:line="280"/>
      </w:pPr>
      <w:r>
        <w:rPr>
          <w:rFonts w:ascii="Poppins" w:cs="Poppins" w:eastAsia="Poppins" w:hAnsi="Poppins"/>
          <w:color w:val="1F2937"/>
          <w:sz w:val="20"/>
          <w:szCs w:val="20"/>
        </w:rPr>
        <w:t xml:space="preserve">la structuration des rôles qu'une administration peut jouer dans le cycle de vie d'un cas d'usage ;</w:t>
      </w:r>
    </w:p>
    <w:p>
      <w:pPr>
        <w:pStyle w:val="ListParagraph"/>
        <w:numPr>
          <w:ilvl w:val="0"/>
          <w:numId w:val="2"/>
        </w:numPr>
        <w:spacing w:after="60" w:before="60" w:line="280"/>
      </w:pPr>
      <w:r>
        <w:rPr>
          <w:rFonts w:ascii="Poppins" w:cs="Poppins" w:eastAsia="Poppins" w:hAnsi="Poppins"/>
          <w:color w:val="1F2937"/>
          <w:sz w:val="20"/>
          <w:szCs w:val="20"/>
        </w:rPr>
        <w:t xml:space="preserve">la politique de visibilité retenue — transparence contrôlée ;</w:t>
      </w:r>
    </w:p>
    <w:p>
      <w:pPr>
        <w:pStyle w:val="ListParagraph"/>
        <w:numPr>
          <w:ilvl w:val="0"/>
          <w:numId w:val="2"/>
        </w:numPr>
        <w:spacing w:after="60" w:before="60" w:line="280"/>
      </w:pPr>
      <w:r>
        <w:rPr>
          <w:rFonts w:ascii="Poppins" w:cs="Poppins" w:eastAsia="Poppins" w:hAnsi="Poppins"/>
          <w:color w:val="1F2937"/>
          <w:sz w:val="20"/>
          <w:szCs w:val="20"/>
        </w:rPr>
        <w:t xml:space="preserve">le design des composants d'interface — dashboard sectoriel enrichi, page détail d'un cas d'usage, modal de réponse à une sollicitation ;</w:t>
      </w:r>
    </w:p>
    <w:p>
      <w:pPr>
        <w:pStyle w:val="ListParagraph"/>
        <w:numPr>
          <w:ilvl w:val="0"/>
          <w:numId w:val="2"/>
        </w:numPr>
        <w:spacing w:after="60" w:before="60" w:line="280"/>
      </w:pPr>
      <w:r>
        <w:rPr>
          <w:rFonts w:ascii="Poppins" w:cs="Poppins" w:eastAsia="Poppins" w:hAnsi="Poppins"/>
          <w:color w:val="1F2937"/>
          <w:sz w:val="20"/>
          <w:szCs w:val="20"/>
        </w:rPr>
        <w:t xml:space="preserve">l'évolution du modèle de données Prisma et les règles de migration ;</w:t>
      </w:r>
    </w:p>
    <w:p>
      <w:pPr>
        <w:pStyle w:val="ListParagraph"/>
        <w:numPr>
          <w:ilvl w:val="0"/>
          <w:numId w:val="2"/>
        </w:numPr>
        <w:spacing w:after="60" w:before="60" w:line="280"/>
      </w:pPr>
      <w:r>
        <w:rPr>
          <w:rFonts w:ascii="Poppins" w:cs="Poppins" w:eastAsia="Poppins" w:hAnsi="Poppins"/>
          <w:color w:val="1F2937"/>
          <w:sz w:val="20"/>
          <w:szCs w:val="20"/>
        </w:rPr>
        <w:t xml:space="preserve">la spécification des API backend et des règles d'autorisation ;</w:t>
      </w:r>
    </w:p>
    <w:p>
      <w:pPr>
        <w:pStyle w:val="ListParagraph"/>
        <w:numPr>
          <w:ilvl w:val="0"/>
          <w:numId w:val="2"/>
        </w:numPr>
        <w:spacing w:after="60" w:before="60" w:line="280"/>
      </w:pPr>
      <w:r>
        <w:rPr>
          <w:rFonts w:ascii="Poppins" w:cs="Poppins" w:eastAsia="Poppins" w:hAnsi="Poppins"/>
          <w:color w:val="1F2937"/>
          <w:sz w:val="20"/>
          <w:szCs w:val="20"/>
        </w:rPr>
        <w:t xml:space="preserve">la feuille de route d'implémentation et de recette.</w:t>
      </w:r>
    </w:p>
    <w:p>
      <w:pPr>
        <w:pStyle w:val="Heading2"/>
        <w:spacing w:after="160" w:before="300"/>
      </w:pPr>
      <w:r>
        <w:rPr>
          <w:rFonts w:ascii="Poppins" w:cs="Poppins" w:eastAsia="Poppins" w:hAnsi="Poppins"/>
          <w:b/>
          <w:bCs/>
          <w:color w:val="0A6B68"/>
          <w:sz w:val="26"/>
          <w:szCs w:val="26"/>
        </w:rPr>
        <w:t xml:space="preserve">1.4 Principes directeurs</w:t>
      </w:r>
    </w:p>
    <w:p>
      <w:pPr>
        <w:spacing w:after="80" w:before="80" w:line="300"/>
        <w:jc w:val="both"/>
      </w:pPr>
      <w:r>
        <w:rPr>
          <w:rFonts w:ascii="Poppins" w:cs="Poppins" w:eastAsia="Poppins" w:hAnsi="Poppins"/>
          <w:color w:val="1F2937"/>
          <w:sz w:val="20"/>
          <w:szCs w:val="20"/>
        </w:rPr>
        <w:t xml:space="preserve">La conception repose sur quatre principes directeurs, tous cohérents avec la philosophie générale de la plateforme PINS et le cadre de gouvernance défini par le Règlement Général d'Interopérabilité (RGI) :</w:t>
      </w:r>
    </w:p>
    <w:p>
      <w:pPr>
        <w:pStyle w:val="ListParagraph"/>
        <w:numPr>
          <w:ilvl w:val="0"/>
          <w:numId w:val="2"/>
        </w:numPr>
        <w:spacing w:after="60" w:before="60" w:line="280"/>
      </w:pPr>
      <w:r>
        <w:rPr>
          <w:rFonts w:ascii="Poppins" w:cs="Poppins" w:eastAsia="Poppins" w:hAnsi="Poppins"/>
          <w:b/>
          <w:bCs/>
          <w:color w:val="0A6B68"/>
          <w:sz w:val="20"/>
          <w:szCs w:val="20"/>
        </w:rPr>
        <w:t xml:space="preserve">Transparence contrôlée</w:t>
      </w:r>
      <w:r>
        <w:rPr>
          <w:rFonts w:ascii="Poppins" w:cs="Poppins" w:eastAsia="Poppins" w:hAnsi="Poppins"/>
          <w:color w:val="1F2937"/>
          <w:sz w:val="20"/>
          <w:szCs w:val="20"/>
        </w:rPr>
        <w:t xml:space="preserve"> — toute administration connectée à PINS peut voir les métadonnées de tous les cas d'usage du catalogue, mais les détails techniques et les informations sensibles ne sont accessibles qu'aux parties prenantes formellement désignées.</w:t>
      </w:r>
    </w:p>
    <w:p>
      <w:pPr>
        <w:pStyle w:val="ListParagraph"/>
        <w:numPr>
          <w:ilvl w:val="0"/>
          <w:numId w:val="2"/>
        </w:numPr>
        <w:spacing w:after="60" w:before="60" w:line="280"/>
      </w:pPr>
      <w:r>
        <w:rPr>
          <w:rFonts w:ascii="Poppins" w:cs="Poppins" w:eastAsia="Poppins" w:hAnsi="Poppins"/>
          <w:b/>
          <w:bCs/>
          <w:color w:val="0A6B68"/>
          <w:sz w:val="20"/>
          <w:szCs w:val="20"/>
        </w:rPr>
        <w:t xml:space="preserve">Auto-saisine</w:t>
      </w:r>
      <w:r>
        <w:rPr>
          <w:rFonts w:ascii="Poppins" w:cs="Poppins" w:eastAsia="Poppins" w:hAnsi="Poppins"/>
          <w:color w:val="1F2937"/>
          <w:sz w:val="20"/>
          <w:szCs w:val="20"/>
        </w:rPr>
        <w:t xml:space="preserve"> — une administration dont les données ou les processus sont touchés par un cas d'usage peut se porter partie prenante même si elle n'a pas été nominée initialement.</w:t>
      </w:r>
    </w:p>
    <w:p>
      <w:pPr>
        <w:pStyle w:val="ListParagraph"/>
        <w:numPr>
          <w:ilvl w:val="0"/>
          <w:numId w:val="2"/>
        </w:numPr>
        <w:spacing w:after="60" w:before="60" w:line="280"/>
      </w:pPr>
      <w:r>
        <w:rPr>
          <w:rFonts w:ascii="Poppins" w:cs="Poppins" w:eastAsia="Poppins" w:hAnsi="Poppins"/>
          <w:b/>
          <w:bCs/>
          <w:color w:val="0A6B68"/>
          <w:sz w:val="20"/>
          <w:szCs w:val="20"/>
        </w:rPr>
        <w:t xml:space="preserve">Redevabilité</w:t>
      </w:r>
      <w:r>
        <w:rPr>
          <w:rFonts w:ascii="Poppins" w:cs="Poppins" w:eastAsia="Poppins" w:hAnsi="Poppins"/>
          <w:color w:val="1F2937"/>
          <w:sz w:val="20"/>
          <w:szCs w:val="20"/>
        </w:rPr>
        <w:t xml:space="preserve"> — tout avis formel d'une administration est horodaté, signé institutionnellement et conservé en historique inaltérable.</w:t>
      </w:r>
    </w:p>
    <w:p>
      <w:pPr>
        <w:pStyle w:val="ListParagraph"/>
        <w:numPr>
          <w:ilvl w:val="0"/>
          <w:numId w:val="2"/>
        </w:numPr>
        <w:spacing w:after="60" w:before="60" w:line="280"/>
      </w:pPr>
      <w:r>
        <w:rPr>
          <w:rFonts w:ascii="Poppins" w:cs="Poppins" w:eastAsia="Poppins" w:hAnsi="Poppins"/>
          <w:b/>
          <w:bCs/>
          <w:color w:val="0A6B68"/>
          <w:sz w:val="20"/>
          <w:szCs w:val="20"/>
        </w:rPr>
        <w:t xml:space="preserve">Non-régression</w:t>
      </w:r>
      <w:r>
        <w:rPr>
          <w:rFonts w:ascii="Poppins" w:cs="Poppins" w:eastAsia="Poppins" w:hAnsi="Poppins"/>
          <w:color w:val="1F2937"/>
          <w:sz w:val="20"/>
          <w:szCs w:val="20"/>
        </w:rPr>
        <w:t xml:space="preserve"> — l'évolution préserve l'ensemble des fonctionnalités existantes et le modèle de données actuel, en particulier la relation maître-esclave entre </w:t>
      </w:r>
      <w:r>
        <w:rPr>
          <w:rFonts w:ascii="Poppins" w:cs="Poppins" w:eastAsia="Poppins" w:hAnsi="Poppins"/>
          <w:b/>
          <w:bCs/>
          <w:color w:val="1F2937"/>
          <w:sz w:val="20"/>
          <w:szCs w:val="20"/>
        </w:rPr>
        <w:t xml:space="preserve">CasUsageMVP</w:t>
      </w:r>
      <w:r>
        <w:rPr>
          <w:rFonts w:ascii="Poppins" w:cs="Poppins" w:eastAsia="Poppins" w:hAnsi="Poppins"/>
          <w:color w:val="1F2937"/>
          <w:sz w:val="20"/>
          <w:szCs w:val="20"/>
        </w:rPr>
        <w:t xml:space="preserve"> (source autoritative) et </w:t>
      </w:r>
      <w:r>
        <w:rPr>
          <w:rFonts w:ascii="Poppins" w:cs="Poppins" w:eastAsia="Poppins" w:hAnsi="Poppins"/>
          <w:b/>
          <w:bCs/>
          <w:color w:val="1F2937"/>
          <w:sz w:val="20"/>
          <w:szCs w:val="20"/>
        </w:rPr>
        <w:t xml:space="preserve">FluxInstitution</w:t>
      </w:r>
      <w:r>
        <w:rPr>
          <w:rFonts w:ascii="Poppins" w:cs="Poppins" w:eastAsia="Poppins" w:hAnsi="Poppins"/>
          <w:color w:val="1F2937"/>
          <w:sz w:val="20"/>
          <w:szCs w:val="20"/>
        </w:rPr>
        <w:t xml:space="preserve"> (liaison).</w:t>
      </w:r>
    </w:p>
    <w:p>
      <w:r>
        <w:br w:type="page"/>
      </w:r>
    </w:p>
    <w:p>
      <w:pPr>
        <w:pStyle w:val="Heading1"/>
        <w:spacing w:after="200" w:before="400"/>
      </w:pPr>
      <w:r>
        <w:rPr>
          <w:rFonts w:ascii="Poppins" w:cs="Poppins" w:eastAsia="Poppins" w:hAnsi="Poppins"/>
          <w:b/>
          <w:bCs/>
          <w:color w:val="0C1F3A"/>
          <w:sz w:val="32"/>
          <w:szCs w:val="32"/>
        </w:rPr>
        <w:t xml:space="preserve">2. Architecture fonctionnelle</w:t>
      </w:r>
    </w:p>
    <w:p>
      <w:pPr>
        <w:pStyle w:val="Heading2"/>
        <w:spacing w:after="160" w:before="300"/>
      </w:pPr>
      <w:r>
        <w:rPr>
          <w:rFonts w:ascii="Poppins" w:cs="Poppins" w:eastAsia="Poppins" w:hAnsi="Poppins"/>
          <w:b/>
          <w:bCs/>
          <w:color w:val="0A6B68"/>
          <w:sz w:val="26"/>
          <w:szCs w:val="26"/>
        </w:rPr>
        <w:t xml:space="preserve">2.1 Les cinq rôles d'une institution dans un cas d'usage</w:t>
      </w:r>
    </w:p>
    <w:p>
      <w:pPr>
        <w:spacing w:after="80" w:before="80" w:line="300"/>
        <w:jc w:val="both"/>
      </w:pPr>
      <w:r>
        <w:rPr>
          <w:rFonts w:ascii="Poppins" w:cs="Poppins" w:eastAsia="Poppins" w:hAnsi="Poppins"/>
          <w:color w:val="1F2937"/>
          <w:sz w:val="20"/>
          <w:szCs w:val="20"/>
        </w:rPr>
        <w:t xml:space="preserve">Chaque cas d'usage implique plusieurs institutions qui y jouent des rôles distincts. Une même institution peut d'ailleurs jouer plusieurs rôles sur un même cas d'usage — par exemple être initiatrice et consommatrice — ou des rôles différents sur des cas d'usage différents. La typologie retenue est la suivante :</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Rôle</w:t>
            </w:r>
          </w:p>
        </w:tc>
        <w:tc>
          <w:tcPr>
            <w:tcW w:type="dxa" w:w="3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Description</w:t>
            </w:r>
          </w:p>
        </w:tc>
        <w:tc>
          <w:tcPr>
            <w:tcW w:type="dxa" w:w="36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Exemple</w:t>
            </w:r>
          </w:p>
        </w:tc>
      </w:tr>
      <w:tr>
        <w:tc>
          <w:tcPr>
            <w:tcW w:type="dxa" w:w="20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Initiateur</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Administration qui déclare le besoin d'un échange de données et porte la demande dans le pipeline.</w:t>
            </w:r>
          </w:p>
        </w:tc>
        <w:tc>
          <w:tcPr>
            <w:tcW w:type="dxa" w:w="36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 DGPSN déclare avoir besoin des données NINEA de l'ANSD pour qualifier les bénéficiaires RNU.</w:t>
            </w:r>
          </w:p>
        </w:tc>
      </w:tr>
      <w:tr>
        <w:tc>
          <w:tcPr>
            <w:tcW w:type="dxa" w:w="20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Fournisseur</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Administration détentrice des données sollicitées. Son avis conditionne la qualification du cas d'usage.</w:t>
            </w:r>
          </w:p>
        </w:tc>
        <w:tc>
          <w:tcPr>
            <w:tcW w:type="dxa" w:w="36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L'ANSD est sollicitée comme détenteur du registre NINEA ; son accord formel est requis.</w:t>
            </w:r>
          </w:p>
        </w:tc>
      </w:tr>
      <w:tr>
        <w:tc>
          <w:tcPr>
            <w:tcW w:type="dxa" w:w="20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Consommateur</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Administration destinataire et utilisatrice effective des données. Souvent confondue avec l'initiateur, mais pas toujours.</w:t>
            </w:r>
          </w:p>
        </w:tc>
        <w:tc>
          <w:tcPr>
            <w:tcW w:type="dxa" w:w="36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 DGCPT reçoit les déclarations DGID pour réconciliation, à la demande initiée par le CT MFB.</w:t>
            </w:r>
          </w:p>
        </w:tc>
      </w:tr>
      <w:tr>
        <w:tc>
          <w:tcPr>
            <w:tcW w:type="dxa" w:w="20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Partie prenante</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Administration ni fournisseur ni consommateur, dont les données ou processus sont impactés par le flux.</w:t>
            </w:r>
          </w:p>
        </w:tc>
        <w:tc>
          <w:tcPr>
            <w:tcW w:type="dxa" w:w="36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 CDP consultée pour avis sur la conformité données personnelles ; la DGCPT impactée en aval.</w:t>
            </w:r>
          </w:p>
        </w:tc>
      </w:tr>
      <w:tr>
        <w:tc>
          <w:tcPr>
            <w:tcW w:type="dxa" w:w="2000"/>
            <w:tcBorders>
              <w:top w:val="single" w:color="E1E4E8" w:sz="4"/>
              <w:left w:val="single" w:color="E1E4E8" w:sz="4"/>
              <w:bottom w:val="single" w:color="E1E4E8" w:sz="4"/>
              <w:right w:val="single" w:color="E1E4E8" w:sz="4"/>
            </w:tcBorders>
            <w:shd w:fill="FADBC8"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Arbitre</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Rôle réservé à la DU / SENUM SA : qualification, priorisation, arbitrage des désaccords, mise en production.</w:t>
            </w:r>
          </w:p>
        </w:tc>
        <w:tc>
          <w:tcPr>
            <w:tcW w:type="dxa" w:w="36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 DU qualifie le cas d'usage après consultation et l'inscrit au catalogue priorisé.</w:t>
            </w:r>
          </w:p>
        </w:tc>
      </w:tr>
    </w:tbl>
    <w:p>
      <w:pPr>
        <w:spacing w:after="60" w:before="60"/>
      </w:pPr>
    </w:p>
    <w:p>
      <w:pPr>
        <w:spacing w:after="80" w:before="80" w:line="300"/>
        <w:jc w:val="both"/>
      </w:pPr>
      <w:r>
        <w:rPr>
          <w:rFonts w:ascii="Poppins" w:cs="Poppins" w:eastAsia="Poppins" w:hAnsi="Poppins"/>
          <w:color w:val="1F2937"/>
          <w:sz w:val="20"/>
          <w:szCs w:val="20"/>
        </w:rPr>
        <w:t xml:space="preserve">Cette typologie est la brique conceptuelle centrale de la Vue 360°. Elle détermine à la fois les droits de visibilité, les actions disponibles dans l'interface, et le contenu des notifications adressées à chaque acteur.</w:t>
      </w:r>
    </w:p>
    <w:p>
      <w:pPr>
        <w:pStyle w:val="Heading2"/>
        <w:spacing w:after="160" w:before="300"/>
      </w:pPr>
      <w:r>
        <w:rPr>
          <w:rFonts w:ascii="Poppins" w:cs="Poppins" w:eastAsia="Poppins" w:hAnsi="Poppins"/>
          <w:b/>
          <w:bCs/>
          <w:color w:val="0A6B68"/>
          <w:sz w:val="26"/>
          <w:szCs w:val="26"/>
        </w:rPr>
        <w:t xml:space="preserve">2.2 Politique de visibilité : transparence contrôlée</w:t>
      </w:r>
    </w:p>
    <w:p>
      <w:pPr>
        <w:spacing w:after="80" w:before="80" w:line="300"/>
        <w:jc w:val="both"/>
      </w:pPr>
      <w:r>
        <w:rPr>
          <w:rFonts w:ascii="Poppins" w:cs="Poppins" w:eastAsia="Poppins" w:hAnsi="Poppins"/>
          <w:color w:val="1F2937"/>
          <w:sz w:val="20"/>
          <w:szCs w:val="20"/>
        </w:rPr>
        <w:t xml:space="preserve">La politique retenue — validée par le pilotage DPI — est la transparence contrôlée. Elle concilie deux exigences contradictoires : la transparence institutionnelle nécessaire à la coordination et à l'auto-saisine d'une part, la protection des informations sensibles et des données à caractère personnel d'autre part.</w:t>
      </w:r>
    </w:p>
    <w:p>
      <w:pPr>
        <w:spacing w:after="80" w:before="80" w:line="300"/>
        <w:jc w:val="both"/>
      </w:pPr>
      <w:r>
        <w:rPr>
          <w:rFonts w:ascii="Poppins" w:cs="Poppins" w:eastAsia="Poppins" w:hAnsi="Poppins"/>
          <w:color w:val="1F2937"/>
          <w:sz w:val="20"/>
          <w:szCs w:val="20"/>
        </w:rPr>
        <w:t xml:space="preserve">Le principe est le suivant : toute administration connectée à PINS voit les métadonnées de tous les cas d'usage du catalogue (titre, initiateur, parties prenantes, statut, résumé, base légale), mais seules les parties prenantes formellement désignées accèdent aux détails techniques, aux spécifications, à la volumétrie, aux pièces jointes et au fil d'avis formels. La DU et SENUM SA disposent d'une visibilité complète sur l'ensemble des cas d'usage, incluant les journaux d'audit.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Information</w:t>
            </w:r>
          </w:p>
        </w:tc>
        <w:tc>
          <w:tcPr>
            <w:tcW w:type="dxa" w:w="20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center"/>
            </w:pPr>
            <w:r>
              <w:rPr>
                <w:rFonts w:ascii="Poppins" w:cs="Poppins" w:eastAsia="Poppins" w:hAnsi="Poppins"/>
                <w:b/>
                <w:bCs/>
                <w:color w:val="FFFFFF"/>
                <w:sz w:val="18"/>
                <w:szCs w:val="18"/>
              </w:rPr>
              <w:t xml:space="preserve">Toute admin PINS</w:t>
            </w:r>
          </w:p>
        </w:tc>
        <w:tc>
          <w:tcPr>
            <w:tcW w:type="dxa" w:w="20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center"/>
            </w:pPr>
            <w:r>
              <w:rPr>
                <w:rFonts w:ascii="Poppins" w:cs="Poppins" w:eastAsia="Poppins" w:hAnsi="Poppins"/>
                <w:b/>
                <w:bCs/>
                <w:color w:val="FFFFFF"/>
                <w:sz w:val="18"/>
                <w:szCs w:val="18"/>
              </w:rPr>
              <w:t xml:space="preserve">Parties prenantes</w:t>
            </w:r>
          </w:p>
        </w:tc>
        <w:tc>
          <w:tcPr>
            <w:tcW w:type="dxa" w:w="20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center"/>
            </w:pPr>
            <w:r>
              <w:rPr>
                <w:rFonts w:ascii="Poppins" w:cs="Poppins" w:eastAsia="Poppins" w:hAnsi="Poppins"/>
                <w:b/>
                <w:bCs/>
                <w:color w:val="FFFFFF"/>
                <w:sz w:val="18"/>
                <w:szCs w:val="18"/>
              </w:rPr>
              <w:t xml:space="preserve">DU / SENUM SA</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Titre du cas d'usage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Initiateur et parties prenantes</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Statut dans le workflow</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Dates (déclaration, qualification, production)</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Résumé métier (2–3 lignes)</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Base légale invoquée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Spécifications techniques détaillées</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9CA3AF"/>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Liste des champs de données échangés</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9CA3AF"/>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Volumétrie et fréquence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9CA3AF"/>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Fil d'avis formels</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9CA3AF"/>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Pièces jointes et conventions</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9CA3AF"/>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Historique des transitions</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val="false"/>
                <w:bCs w:val="false"/>
                <w:color w:val="1F2937"/>
                <w:sz w:val="18"/>
                <w:szCs w:val="18"/>
              </w:rPr>
              <w:t xml:space="preserve">Synthétique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val="false"/>
                <w:bCs w:val="false"/>
                <w:color w:val="1F2937"/>
                <w:sz w:val="18"/>
                <w:szCs w:val="18"/>
              </w:rPr>
              <w:t xml:space="preserve">Détaillé</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val="false"/>
                <w:bCs w:val="false"/>
                <w:color w:val="1F2937"/>
                <w:sz w:val="18"/>
                <w:szCs w:val="18"/>
              </w:rPr>
              <w:t xml:space="preserve">Détaillé + logs</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Données sensibles / PII</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9CA3AF"/>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val="false"/>
                <w:bCs w:val="false"/>
                <w:color w:val="1F2937"/>
                <w:sz w:val="18"/>
                <w:szCs w:val="18"/>
              </w:rPr>
              <w:t xml:space="preserve">Partiel</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r>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Arbitrage et décisions DU</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9CA3AF"/>
                <w:sz w:val="18"/>
                <w:szCs w:val="18"/>
              </w:rPr>
              <w:t xml:space="preserve">—</w:t>
            </w:r>
          </w:p>
        </w:tc>
        <w:tc>
          <w:tcPr>
            <w:tcW w:type="dxa" w:w="2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val="false"/>
                <w:bCs w:val="false"/>
                <w:color w:val="1F2937"/>
                <w:sz w:val="18"/>
                <w:szCs w:val="18"/>
              </w:rPr>
              <w:t xml:space="preserve">Notification</w:t>
            </w:r>
          </w:p>
        </w:tc>
        <w:tc>
          <w:tcPr>
            <w:tcW w:type="dxa" w:w="20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8"/>
                <w:szCs w:val="18"/>
              </w:rPr>
              <w:t xml:space="preserve">✔</w:t>
            </w:r>
          </w:p>
        </w:tc>
      </w:tr>
    </w:tbl>
    <w:p>
      <w:pPr>
        <w:spacing w:after="60" w:before="60"/>
      </w:pPr>
    </w:p>
    <w:p>
      <w:pPr>
        <w:pStyle w:val="Heading2"/>
        <w:spacing w:after="160" w:before="300"/>
      </w:pPr>
      <w:r>
        <w:rPr>
          <w:rFonts w:ascii="Poppins" w:cs="Poppins" w:eastAsia="Poppins" w:hAnsi="Poppins"/>
          <w:b/>
          <w:bCs/>
          <w:color w:val="0A6B68"/>
          <w:sz w:val="26"/>
          <w:szCs w:val="26"/>
        </w:rPr>
        <w:t xml:space="preserve">2.3 Cycle de vie d'un cas d'usage</w:t>
      </w:r>
    </w:p>
    <w:p>
      <w:pPr>
        <w:spacing w:after="80" w:before="80" w:line="300"/>
        <w:jc w:val="both"/>
      </w:pPr>
      <w:r>
        <w:rPr>
          <w:rFonts w:ascii="Poppins" w:cs="Poppins" w:eastAsia="Poppins" w:hAnsi="Poppins"/>
          <w:color w:val="1F2937"/>
          <w:sz w:val="20"/>
          <w:szCs w:val="20"/>
        </w:rPr>
        <w:t xml:space="preserve">Le workflow d'un cas d'usage s'inscrit dans le pipeline de qualification déjà en vigueur au sein de la DU : déclaré → qualifié → priorisé → financé → conventionné → en production. Il est enrichi pour intégrer explicitement la phase de consultation des parties prenantes et les transitions d'arbitrage.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400"/>
        <w:gridCol w:w="2126"/>
      </w:tblGrid>
      <w:tr>
        <w:trPr>
          <w:tblHeader/>
        </w:trPr>
        <w:tc>
          <w:tcPr>
            <w:tcW w:type="dxa" w:w="17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Étape</w:t>
            </w:r>
          </w:p>
        </w:tc>
        <w:tc>
          <w:tcPr>
            <w:tcW w:type="dxa" w:w="28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Description</w:t>
            </w:r>
          </w:p>
        </w:tc>
        <w:tc>
          <w:tcPr>
            <w:tcW w:type="dxa" w:w="2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Acteur déclencheur</w:t>
            </w:r>
          </w:p>
        </w:tc>
        <w:tc>
          <w:tcPr>
            <w:tcW w:type="dxa" w:w="21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Statut UseCase</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1. Déclaration</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L'initiateur renseigne la fiche du cas d'usage et désigne les parties prenantes pressenties.</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Institution initiatrice</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DECLARE</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2. Consultation</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Les parties prenantes sont notifiées et sollicitées pour avis formel dans un délai cadré.</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Système / DU</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EN_CONSULTATION</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3. Auto-saisine (optionnelle)</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Une admin non initialement sollicitée se porte partie prenante si concernée.</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Toute admin PINS</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EN_CONSULTATION</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4. Validation conjointe</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Consolidation des avis ; résolution des réserves ou refus ; arbitrage DU si nécessaire.</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DU / Parties prenantes</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VALIDATION_CONJOINTE</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5. Qualification</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 DU qualifie formellement le cas d'usage et l'inscrit au catalogue.</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DU</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QUALIFIE</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6. Priorisation</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Inscription à la matrice de priorisation MVP (N.0 / N+1.0).</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DU</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PRIORISE</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7. Financement</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Identification de la source de financement (État, GIZ, partenaire).</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DU / MCTN</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FINANCEMENT_OK</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8. Convention</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Signature de la convention d'échange bilatérale / multilatérale.</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Institutions</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CONVENTIONNE</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9. Production</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Déploiement technique et mise en service effective du flux sur PINS.</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SENUM SA</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EN_PRODUCTION</w:t>
            </w:r>
          </w:p>
        </w:tc>
      </w:tr>
      <w:tr>
        <w:tc>
          <w:tcPr>
            <w:tcW w:type="dxa" w:w="1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10. Rétro (optionnel)</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Suspension, amendement ou retrait du cas d'usage sur décision DU.</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8"/>
                <w:szCs w:val="18"/>
              </w:rPr>
              <w:t xml:space="preserve">DU</w:t>
            </w:r>
          </w:p>
        </w:tc>
        <w:tc>
          <w:tcPr>
            <w:tcW w:type="dxa" w:w="2126"/>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SUSPENDU / RETIRE</w:t>
            </w:r>
          </w:p>
        </w:tc>
      </w:tr>
    </w:tbl>
    <w:p>
      <w:pPr>
        <w:spacing w:after="60" w:before="60"/>
      </w:pPr>
    </w:p>
    <w:p>
      <w:pPr>
        <w:spacing w:after="80" w:before="80" w:line="300"/>
        <w:jc w:val="both"/>
      </w:pPr>
      <w:r>
        <w:rPr>
          <w:rFonts w:ascii="Poppins" w:cs="Poppins" w:eastAsia="Poppins" w:hAnsi="Poppins"/>
          <w:color w:val="1F2937"/>
          <w:sz w:val="20"/>
          <w:szCs w:val="20"/>
        </w:rPr>
        <w:t xml:space="preserve">Chaque transition d'état est journalisée dans la table UseCaseStatusHistory avec auteur, horodatage, motif et, le cas échéant, pièce justificative. L'historique est inaltérable et consultable par toutes les parties prenantes formellement désignées.</w:t>
      </w:r>
    </w:p>
    <w:p>
      <w:r>
        <w:br w:type="page"/>
      </w:r>
    </w:p>
    <w:p>
      <w:pPr>
        <w:pStyle w:val="Heading1"/>
        <w:spacing w:after="200" w:before="400"/>
      </w:pPr>
      <w:r>
        <w:rPr>
          <w:rFonts w:ascii="Poppins" w:cs="Poppins" w:eastAsia="Poppins" w:hAnsi="Poppins"/>
          <w:b/>
          <w:bCs/>
          <w:color w:val="0C1F3A"/>
          <w:sz w:val="32"/>
          <w:szCs w:val="32"/>
        </w:rPr>
        <w:t xml:space="preserve">3. Composants d'interface utilisateur</w:t>
      </w:r>
    </w:p>
    <w:p>
      <w:pPr>
        <w:pStyle w:val="Heading2"/>
        <w:spacing w:after="160" w:before="300"/>
      </w:pPr>
      <w:r>
        <w:rPr>
          <w:rFonts w:ascii="Poppins" w:cs="Poppins" w:eastAsia="Poppins" w:hAnsi="Poppins"/>
          <w:b/>
          <w:bCs/>
          <w:color w:val="0A6B68"/>
          <w:sz w:val="26"/>
          <w:szCs w:val="26"/>
        </w:rPr>
        <w:t xml:space="preserve">3.1 Dashboard sectoriel enrichi</w:t>
      </w:r>
    </w:p>
    <w:p>
      <w:pPr>
        <w:spacing w:after="80" w:before="80" w:line="300"/>
        <w:jc w:val="both"/>
      </w:pPr>
      <w:r>
        <w:rPr>
          <w:rFonts w:ascii="Poppins" w:cs="Poppins" w:eastAsia="Poppins" w:hAnsi="Poppins"/>
          <w:color w:val="1F2937"/>
          <w:sz w:val="20"/>
          <w:szCs w:val="20"/>
        </w:rPr>
        <w:t xml:space="preserve">Le dashboard sectoriel conserve son en-tête actuel (cartes de synthèse, bandeau actions requises, blocs « Données que je consomme » et « Données que je fournis », conventions d'échange). Il est enrichi de quatre blocs additionnels, alignés sur le cycle de vie des cas d'usage et sur les rôles de l'institution.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400"/>
        <w:gridCol w:w="2526"/>
      </w:tblGrid>
      <w:tr>
        <w:trPr>
          <w:tblHeader/>
        </w:trPr>
        <w:tc>
          <w:tcPr>
            <w:tcW w:type="dxa" w:w="7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center"/>
            </w:pPr>
            <w:r>
              <w:rPr>
                <w:rFonts w:ascii="Poppins" w:cs="Poppins" w:eastAsia="Poppins" w:hAnsi="Poppins"/>
                <w:b/>
                <w:bCs/>
                <w:color w:val="FFFFFF"/>
                <w:sz w:val="18"/>
                <w:szCs w:val="18"/>
              </w:rPr>
              <w:t xml:space="preserve">#</w:t>
            </w:r>
          </w:p>
        </w:tc>
        <w:tc>
          <w:tcPr>
            <w:tcW w:type="dxa" w:w="2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Bloc</w:t>
            </w:r>
          </w:p>
        </w:tc>
        <w:tc>
          <w:tcPr>
            <w:tcW w:type="dxa" w:w="3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Contenu</w:t>
            </w:r>
          </w:p>
        </w:tc>
        <w:tc>
          <w:tcPr>
            <w:tcW w:type="dxa" w:w="25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Action</w:t>
            </w:r>
          </w:p>
        </w:tc>
      </w:tr>
      <w:tr>
        <w:tc>
          <w:tcPr>
            <w:tcW w:type="dxa" w:w="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1</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Sollicitations en attente</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Cas d'usage où mon institution est fournisseur, consommateur ou partie prenante ; avis attendu ; délai imparti ; SLA de réponse.</w:t>
            </w:r>
          </w:p>
        </w:tc>
        <w:tc>
          <w:tcPr>
            <w:tcW w:type="dxa" w:w="2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0A6B68"/>
                <w:sz w:val="18"/>
                <w:szCs w:val="18"/>
              </w:rPr>
              <w:t xml:space="preserve">Donner mon avis (modal dédié).</w:t>
            </w:r>
          </w:p>
        </w:tc>
      </w:tr>
      <w:tr>
        <w:tc>
          <w:tcPr>
            <w:tcW w:type="dxa" w:w="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2</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Mes cas d'usage initiés</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Cas d'usage déclarés par mon institution ; état d'avancement de la consultation ; tableau de réponses par partie prenante.</w:t>
            </w:r>
          </w:p>
        </w:tc>
        <w:tc>
          <w:tcPr>
            <w:tcW w:type="dxa" w:w="2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0A6B68"/>
                <w:sz w:val="18"/>
                <w:szCs w:val="18"/>
              </w:rPr>
              <w:t xml:space="preserve">Relancer, préciser, retirer.</w:t>
            </w:r>
          </w:p>
        </w:tc>
      </w:tr>
      <w:tr>
        <w:tc>
          <w:tcPr>
            <w:tcW w:type="dxa" w:w="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3</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Cas d'usage qui me concernent</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Vue exhaustive de tous les cas d'usage impliquant mon institution, à tous les stades ; filtres par rôle, statut, admin partenaire, période.</w:t>
            </w:r>
          </w:p>
        </w:tc>
        <w:tc>
          <w:tcPr>
            <w:tcW w:type="dxa" w:w="2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0A6B68"/>
                <w:sz w:val="18"/>
                <w:szCs w:val="18"/>
              </w:rPr>
              <w:t xml:space="preserve">Ouvrir la fiche détaillée.</w:t>
            </w:r>
          </w:p>
        </w:tc>
      </w:tr>
      <w:tr>
        <w:tc>
          <w:tcPr>
            <w:tcW w:type="dxa" w:w="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4</w:t>
            </w:r>
          </w:p>
        </w:tc>
        <w:tc>
          <w:tcPr>
            <w:tcW w:type="dxa" w:w="2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Radar sectoriel</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Cas d'usage déclarés ailleurs mais dont les données ou les processus touchent mon périmètre, sans que je sois encore nominé.</w:t>
            </w:r>
          </w:p>
        </w:tc>
        <w:tc>
          <w:tcPr>
            <w:tcW w:type="dxa" w:w="2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0A6B68"/>
                <w:sz w:val="18"/>
                <w:szCs w:val="18"/>
              </w:rPr>
              <w:t xml:space="preserve">Proposer mon inclusion (auto-saisine).</w:t>
            </w:r>
          </w:p>
        </w:tc>
      </w:tr>
    </w:tbl>
    <w:p>
      <w:pPr>
        <w:spacing w:after="60" w:before="60"/>
      </w:pPr>
    </w:p>
    <w:p>
      <w:pPr>
        <w:spacing w:after="80" w:before="80" w:line="300"/>
        <w:jc w:val="both"/>
      </w:pPr>
      <w:r>
        <w:rPr>
          <w:rFonts w:ascii="Poppins" w:cs="Poppins" w:eastAsia="Poppins" w:hAnsi="Poppins"/>
          <w:color w:val="1F2937"/>
          <w:sz w:val="20"/>
          <w:szCs w:val="20"/>
        </w:rPr>
        <w:t xml:space="preserve">Les blocs 1 et 2 privilégient l'action : chaque ligne porte un bouton permettant à l'utilisateur de répondre à la sollicitation ou de suivre la consultation. Les blocs 3 et 4 privilégient la lecture et la navigation, avec des filtres puissants pour permettre aux directeurs SI et aux Data Owners de piloter leur portefeuille.</w:t>
      </w:r>
    </w:p>
    <w:p>
      <w:pPr>
        <w:pStyle w:val="Heading2"/>
        <w:spacing w:after="160" w:before="300"/>
      </w:pPr>
      <w:r>
        <w:rPr>
          <w:rFonts w:ascii="Poppins" w:cs="Poppins" w:eastAsia="Poppins" w:hAnsi="Poppins"/>
          <w:b/>
          <w:bCs/>
          <w:color w:val="0A6B68"/>
          <w:sz w:val="26"/>
          <w:szCs w:val="26"/>
        </w:rPr>
        <w:t xml:space="preserve">3.2 Page détail d'un cas d'usage</w:t>
      </w:r>
    </w:p>
    <w:p>
      <w:pPr>
        <w:spacing w:after="80" w:before="80" w:line="300"/>
        <w:jc w:val="both"/>
      </w:pPr>
      <w:r>
        <w:rPr>
          <w:rFonts w:ascii="Poppins" w:cs="Poppins" w:eastAsia="Poppins" w:hAnsi="Poppins"/>
          <w:color w:val="1F2937"/>
          <w:sz w:val="20"/>
          <w:szCs w:val="20"/>
        </w:rPr>
        <w:t xml:space="preserve">La page détail regroupe toutes les informations et actions associées à un cas d'usage, avec un affichage conditionnel fondé sur le rôle de l'institution connectée. Elle comprend :</w:t>
      </w:r>
    </w:p>
    <w:p>
      <w:pPr>
        <w:pStyle w:val="ListParagraph"/>
        <w:numPr>
          <w:ilvl w:val="0"/>
          <w:numId w:val="2"/>
        </w:numPr>
        <w:spacing w:after="60" w:before="60" w:line="280"/>
      </w:pPr>
      <w:r>
        <w:rPr>
          <w:rFonts w:ascii="Poppins" w:cs="Poppins" w:eastAsia="Poppins" w:hAnsi="Poppins"/>
          <w:b/>
          <w:bCs/>
          <w:color w:val="1F2937"/>
          <w:sz w:val="20"/>
          <w:szCs w:val="20"/>
        </w:rPr>
        <w:t xml:space="preserve">Fiche descriptive</w:t>
      </w:r>
      <w:r>
        <w:rPr>
          <w:rFonts w:ascii="Poppins" w:cs="Poppins" w:eastAsia="Poppins" w:hAnsi="Poppins"/>
          <w:color w:val="1F2937"/>
          <w:sz w:val="20"/>
          <w:szCs w:val="20"/>
        </w:rPr>
        <w:t xml:space="preserve"> — identifiant PINS-CU-XXX, titre, résumé métier, initiateur, date de déclaration, base légale invoquée, statut dans le workflow.</w:t>
      </w:r>
    </w:p>
    <w:p>
      <w:pPr>
        <w:pStyle w:val="ListParagraph"/>
        <w:numPr>
          <w:ilvl w:val="0"/>
          <w:numId w:val="2"/>
        </w:numPr>
        <w:spacing w:after="60" w:before="60" w:line="280"/>
      </w:pPr>
      <w:r>
        <w:rPr>
          <w:rFonts w:ascii="Poppins" w:cs="Poppins" w:eastAsia="Poppins" w:hAnsi="Poppins"/>
          <w:b/>
          <w:bCs/>
          <w:color w:val="1F2937"/>
          <w:sz w:val="20"/>
          <w:szCs w:val="20"/>
        </w:rPr>
        <w:t xml:space="preserve">Spécifications techniques</w:t>
      </w:r>
      <w:r>
        <w:rPr>
          <w:rFonts w:ascii="Poppins" w:cs="Poppins" w:eastAsia="Poppins" w:hAnsi="Poppins"/>
          <w:color w:val="1F2937"/>
          <w:sz w:val="20"/>
          <w:szCs w:val="20"/>
        </w:rPr>
        <w:t xml:space="preserve"> — liste des champs de données échangés, volumétrie, fréquence, format, protocole d'échange, registres concernés — </w:t>
      </w:r>
      <w:r>
        <w:rPr>
          <w:rFonts w:ascii="Poppins" w:cs="Poppins" w:eastAsia="Poppins" w:hAnsi="Poppins"/>
          <w:i/>
          <w:iCs/>
          <w:color w:val="1F2937"/>
          <w:sz w:val="20"/>
          <w:szCs w:val="20"/>
        </w:rPr>
        <w:t xml:space="preserve">visible uniquement aux parties prenantes formellement désignées.</w:t>
      </w:r>
    </w:p>
    <w:p>
      <w:pPr>
        <w:pStyle w:val="ListParagraph"/>
        <w:numPr>
          <w:ilvl w:val="0"/>
          <w:numId w:val="2"/>
        </w:numPr>
        <w:spacing w:after="60" w:before="60" w:line="280"/>
      </w:pPr>
      <w:r>
        <w:rPr>
          <w:rFonts w:ascii="Poppins" w:cs="Poppins" w:eastAsia="Poppins" w:hAnsi="Poppins"/>
          <w:b/>
          <w:bCs/>
          <w:color w:val="1F2937"/>
          <w:sz w:val="20"/>
          <w:szCs w:val="20"/>
        </w:rPr>
        <w:t xml:space="preserve">Parties prenantes</w:t>
      </w:r>
      <w:r>
        <w:rPr>
          <w:rFonts w:ascii="Poppins" w:cs="Poppins" w:eastAsia="Poppins" w:hAnsi="Poppins"/>
          <w:color w:val="1F2937"/>
          <w:sz w:val="20"/>
          <w:szCs w:val="20"/>
        </w:rPr>
        <w:t xml:space="preserve"> — tableau listant chaque institution impliquée, son rôle, son statut de réponse (en attente / avis donné / validé / réservé / refusé motivé), la date de l'avis et l'auteur de la réponse.</w:t>
      </w:r>
    </w:p>
    <w:p>
      <w:pPr>
        <w:pStyle w:val="ListParagraph"/>
        <w:numPr>
          <w:ilvl w:val="0"/>
          <w:numId w:val="2"/>
        </w:numPr>
        <w:spacing w:after="60" w:before="60" w:line="280"/>
      </w:pPr>
      <w:r>
        <w:rPr>
          <w:rFonts w:ascii="Poppins" w:cs="Poppins" w:eastAsia="Poppins" w:hAnsi="Poppins"/>
          <w:b/>
          <w:bCs/>
          <w:color w:val="1F2937"/>
          <w:sz w:val="20"/>
          <w:szCs w:val="20"/>
        </w:rPr>
        <w:t xml:space="preserve">Fil d'avis formels</w:t>
      </w:r>
      <w:r>
        <w:rPr>
          <w:rFonts w:ascii="Poppins" w:cs="Poppins" w:eastAsia="Poppins" w:hAnsi="Poppins"/>
          <w:color w:val="1F2937"/>
          <w:sz w:val="20"/>
          <w:szCs w:val="20"/>
        </w:rPr>
        <w:t xml:space="preserve"> — historique horodaté des avis donnés par chaque institution, avec leur nature (VALIDATION, RESERVE, REFUS, QUESTION, CONTRE_PROPOSITION), leur motivation et les pièces jointes éventuelles. Pas un chat libre : chaque contribution est un avis institutionnel signé.</w:t>
      </w:r>
    </w:p>
    <w:p>
      <w:pPr>
        <w:pStyle w:val="ListParagraph"/>
        <w:numPr>
          <w:ilvl w:val="0"/>
          <w:numId w:val="2"/>
        </w:numPr>
        <w:spacing w:after="60" w:before="60" w:line="280"/>
      </w:pPr>
      <w:r>
        <w:rPr>
          <w:rFonts w:ascii="Poppins" w:cs="Poppins" w:eastAsia="Poppins" w:hAnsi="Poppins"/>
          <w:b/>
          <w:bCs/>
          <w:color w:val="1F2937"/>
          <w:sz w:val="20"/>
          <w:szCs w:val="20"/>
        </w:rPr>
        <w:t xml:space="preserve">Timeline des transitions</w:t>
      </w:r>
      <w:r>
        <w:rPr>
          <w:rFonts w:ascii="Poppins" w:cs="Poppins" w:eastAsia="Poppins" w:hAnsi="Poppins"/>
          <w:color w:val="1F2937"/>
          <w:sz w:val="20"/>
          <w:szCs w:val="20"/>
        </w:rPr>
        <w:t xml:space="preserve"> — succession des changements d'état avec auteur, date, motif.</w:t>
      </w:r>
    </w:p>
    <w:p>
      <w:pPr>
        <w:pStyle w:val="ListParagraph"/>
        <w:numPr>
          <w:ilvl w:val="0"/>
          <w:numId w:val="2"/>
        </w:numPr>
        <w:spacing w:after="60" w:before="60" w:line="280"/>
      </w:pPr>
      <w:r>
        <w:rPr>
          <w:rFonts w:ascii="Poppins" w:cs="Poppins" w:eastAsia="Poppins" w:hAnsi="Poppins"/>
          <w:b/>
          <w:bCs/>
          <w:color w:val="1F2937"/>
          <w:sz w:val="20"/>
          <w:szCs w:val="20"/>
        </w:rPr>
        <w:t xml:space="preserve">Actions contextuelles</w:t>
      </w:r>
      <w:r>
        <w:rPr>
          <w:rFonts w:ascii="Poppins" w:cs="Poppins" w:eastAsia="Poppins" w:hAnsi="Poppins"/>
          <w:color w:val="1F2937"/>
          <w:sz w:val="20"/>
          <w:szCs w:val="20"/>
        </w:rPr>
        <w:t xml:space="preserve"> — dépendent du rôle et du statut : Donner mon avis, Demander précisions, Contester, Contre-proposer, Relancer, Valider, Qualifier, Suspendre (DU uniquement).</w:t>
      </w:r>
    </w:p>
    <w:p>
      <w:pPr>
        <w:pStyle w:val="Heading2"/>
        <w:spacing w:after="160" w:before="300"/>
      </w:pPr>
      <w:r>
        <w:rPr>
          <w:rFonts w:ascii="Poppins" w:cs="Poppins" w:eastAsia="Poppins" w:hAnsi="Poppins"/>
          <w:b/>
          <w:bCs/>
          <w:color w:val="0A6B68"/>
          <w:sz w:val="26"/>
          <w:szCs w:val="26"/>
        </w:rPr>
        <w:t xml:space="preserve">3.3 Modal de réponse à une sollicitation</w:t>
      </w:r>
    </w:p>
    <w:p>
      <w:pPr>
        <w:spacing w:after="80" w:before="80" w:line="300"/>
        <w:jc w:val="both"/>
      </w:pPr>
      <w:r>
        <w:rPr>
          <w:rFonts w:ascii="Poppins" w:cs="Poppins" w:eastAsia="Poppins" w:hAnsi="Poppins"/>
          <w:color w:val="1F2937"/>
          <w:sz w:val="20"/>
          <w:szCs w:val="20"/>
        </w:rPr>
        <w:t xml:space="preserve">Le modal « Donner mon avis » est l'interface principale de formalisation d'une position institutionnelle. Il impose une structure stricte :</w:t>
      </w:r>
    </w:p>
    <w:p>
      <w:pPr>
        <w:pStyle w:val="ListParagraph"/>
        <w:numPr>
          <w:ilvl w:val="0"/>
          <w:numId w:val="2"/>
        </w:numPr>
        <w:spacing w:after="60" w:before="60" w:line="280"/>
      </w:pPr>
      <w:r>
        <w:rPr>
          <w:rFonts w:ascii="Poppins" w:cs="Poppins" w:eastAsia="Poppins" w:hAnsi="Poppins"/>
          <w:b/>
          <w:bCs/>
          <w:color w:val="1F2937"/>
          <w:sz w:val="20"/>
          <w:szCs w:val="20"/>
        </w:rPr>
        <w:t xml:space="preserve">Type d'avis</w:t>
      </w:r>
      <w:r>
        <w:rPr>
          <w:rFonts w:ascii="Poppins" w:cs="Poppins" w:eastAsia="Poppins" w:hAnsi="Poppins"/>
          <w:color w:val="1F2937"/>
          <w:sz w:val="20"/>
          <w:szCs w:val="20"/>
        </w:rPr>
        <w:t xml:space="preserve"> (radio exclusif) : VALIDATION / RESERVE / REFUS_MOTIVE / QUESTION / CONTRE_PROPOSITION ;</w:t>
      </w:r>
    </w:p>
    <w:p>
      <w:pPr>
        <w:pStyle w:val="ListParagraph"/>
        <w:numPr>
          <w:ilvl w:val="0"/>
          <w:numId w:val="2"/>
        </w:numPr>
        <w:spacing w:after="60" w:before="60" w:line="280"/>
      </w:pPr>
      <w:r>
        <w:rPr>
          <w:rFonts w:ascii="Poppins" w:cs="Poppins" w:eastAsia="Poppins" w:hAnsi="Poppins"/>
          <w:b/>
          <w:bCs/>
          <w:color w:val="1F2937"/>
          <w:sz w:val="20"/>
          <w:szCs w:val="20"/>
        </w:rPr>
        <w:t xml:space="preserve">Motivation</w:t>
      </w:r>
      <w:r>
        <w:rPr>
          <w:rFonts w:ascii="Poppins" w:cs="Poppins" w:eastAsia="Poppins" w:hAnsi="Poppins"/>
          <w:color w:val="1F2937"/>
          <w:sz w:val="20"/>
          <w:szCs w:val="20"/>
        </w:rPr>
        <w:t xml:space="preserve"> (obligatoire pour RESERVE, REFUS et QUESTION, minimum 50 caractères) ;</w:t>
      </w:r>
    </w:p>
    <w:p>
      <w:pPr>
        <w:pStyle w:val="ListParagraph"/>
        <w:numPr>
          <w:ilvl w:val="0"/>
          <w:numId w:val="2"/>
        </w:numPr>
        <w:spacing w:after="60" w:before="60" w:line="280"/>
      </w:pPr>
      <w:r>
        <w:rPr>
          <w:rFonts w:ascii="Poppins" w:cs="Poppins" w:eastAsia="Poppins" w:hAnsi="Poppins"/>
          <w:b/>
          <w:bCs/>
          <w:color w:val="1F2937"/>
          <w:sz w:val="20"/>
          <w:szCs w:val="20"/>
        </w:rPr>
        <w:t xml:space="preserve">Pièces jointes</w:t>
      </w:r>
      <w:r>
        <w:rPr>
          <w:rFonts w:ascii="Poppins" w:cs="Poppins" w:eastAsia="Poppins" w:hAnsi="Poppins"/>
          <w:color w:val="1F2937"/>
          <w:sz w:val="20"/>
          <w:szCs w:val="20"/>
        </w:rPr>
        <w:t xml:space="preserve"> (facultatif, jusqu'à 3 fichiers ≤ 10 Mo) ;</w:t>
      </w:r>
    </w:p>
    <w:p>
      <w:pPr>
        <w:pStyle w:val="ListParagraph"/>
        <w:numPr>
          <w:ilvl w:val="0"/>
          <w:numId w:val="2"/>
        </w:numPr>
        <w:spacing w:after="60" w:before="60" w:line="280"/>
      </w:pPr>
      <w:r>
        <w:rPr>
          <w:rFonts w:ascii="Poppins" w:cs="Poppins" w:eastAsia="Poppins" w:hAnsi="Poppins"/>
          <w:b/>
          <w:bCs/>
          <w:color w:val="1F2937"/>
          <w:sz w:val="20"/>
          <w:szCs w:val="20"/>
        </w:rPr>
        <w:t xml:space="preserve">Auteur institutionnel</w:t>
      </w:r>
      <w:r>
        <w:rPr>
          <w:rFonts w:ascii="Poppins" w:cs="Poppins" w:eastAsia="Poppins" w:hAnsi="Poppins"/>
          <w:color w:val="1F2937"/>
          <w:sz w:val="20"/>
          <w:szCs w:val="20"/>
        </w:rPr>
        <w:t xml:space="preserve"> (rempli automatiquement depuis la session utilisateur) ;</w:t>
      </w:r>
    </w:p>
    <w:p>
      <w:pPr>
        <w:pStyle w:val="ListParagraph"/>
        <w:numPr>
          <w:ilvl w:val="0"/>
          <w:numId w:val="2"/>
        </w:numPr>
        <w:spacing w:after="60" w:before="60" w:line="280"/>
      </w:pPr>
      <w:r>
        <w:rPr>
          <w:rFonts w:ascii="Poppins" w:cs="Poppins" w:eastAsia="Poppins" w:hAnsi="Poppins"/>
          <w:b/>
          <w:bCs/>
          <w:color w:val="1F2937"/>
          <w:sz w:val="20"/>
          <w:szCs w:val="20"/>
        </w:rPr>
        <w:t xml:space="preserve">Validation hiérarchique</w:t>
      </w:r>
      <w:r>
        <w:rPr>
          <w:rFonts w:ascii="Poppins" w:cs="Poppins" w:eastAsia="Poppins" w:hAnsi="Poppins"/>
          <w:color w:val="1F2937"/>
          <w:sz w:val="20"/>
          <w:szCs w:val="20"/>
        </w:rPr>
        <w:t xml:space="preserve"> : l'avis est horodaté et figé dès soumission. Toute modification ultérieure crée un nouvel avis en amendement, sans effacer le précédent.</w:t>
      </w:r>
    </w:p>
    <w:p>
      <w:pPr>
        <w:pStyle w:val="Heading2"/>
        <w:spacing w:after="160" w:before="300"/>
      </w:pPr>
      <w:r>
        <w:rPr>
          <w:rFonts w:ascii="Poppins" w:cs="Poppins" w:eastAsia="Poppins" w:hAnsi="Poppins"/>
          <w:b/>
          <w:bCs/>
          <w:color w:val="0A6B68"/>
          <w:sz w:val="26"/>
          <w:szCs w:val="26"/>
        </w:rPr>
        <w:t xml:space="preserve">3.4 Vue d'arbitrage DU / SENUM SA</w:t>
      </w:r>
    </w:p>
    <w:p>
      <w:pPr>
        <w:spacing w:after="80" w:before="80" w:line="300"/>
        <w:jc w:val="both"/>
      </w:pPr>
      <w:r>
        <w:rPr>
          <w:rFonts w:ascii="Poppins" w:cs="Poppins" w:eastAsia="Poppins" w:hAnsi="Poppins"/>
          <w:color w:val="1F2937"/>
          <w:sz w:val="20"/>
          <w:szCs w:val="20"/>
        </w:rPr>
        <w:t xml:space="preserve">La DU dispose d'une vue d'arbitrage dédiée, accessible via un onglet supplémentaire. Elle expose :</w:t>
      </w:r>
    </w:p>
    <w:p>
      <w:pPr>
        <w:pStyle w:val="ListParagraph"/>
        <w:numPr>
          <w:ilvl w:val="0"/>
          <w:numId w:val="2"/>
        </w:numPr>
        <w:spacing w:after="60" w:before="60" w:line="280"/>
      </w:pPr>
      <w:r>
        <w:rPr>
          <w:rFonts w:ascii="Poppins" w:cs="Poppins" w:eastAsia="Poppins" w:hAnsi="Poppins"/>
          <w:color w:val="1F2937"/>
          <w:sz w:val="20"/>
          <w:szCs w:val="20"/>
        </w:rPr>
        <w:t xml:space="preserve">la file d'attente des cas d'usage en consultation approchant l'échéance de leur SLA ;</w:t>
      </w:r>
    </w:p>
    <w:p>
      <w:pPr>
        <w:pStyle w:val="ListParagraph"/>
        <w:numPr>
          <w:ilvl w:val="0"/>
          <w:numId w:val="2"/>
        </w:numPr>
        <w:spacing w:after="60" w:before="60" w:line="280"/>
      </w:pPr>
      <w:r>
        <w:rPr>
          <w:rFonts w:ascii="Poppins" w:cs="Poppins" w:eastAsia="Poppins" w:hAnsi="Poppins"/>
          <w:color w:val="1F2937"/>
          <w:sz w:val="20"/>
          <w:szCs w:val="20"/>
        </w:rPr>
        <w:t xml:space="preserve">les désaccords en cours (réserves non levées, refus motivés), avec résumé de la position de chaque partie ;</w:t>
      </w:r>
    </w:p>
    <w:p>
      <w:pPr>
        <w:pStyle w:val="ListParagraph"/>
        <w:numPr>
          <w:ilvl w:val="0"/>
          <w:numId w:val="2"/>
        </w:numPr>
        <w:spacing w:after="60" w:before="60" w:line="280"/>
      </w:pPr>
      <w:r>
        <w:rPr>
          <w:rFonts w:ascii="Poppins" w:cs="Poppins" w:eastAsia="Poppins" w:hAnsi="Poppins"/>
          <w:color w:val="1F2937"/>
          <w:sz w:val="20"/>
          <w:szCs w:val="20"/>
        </w:rPr>
        <w:t xml:space="preserve">les cas d'usage en validation conjointe prêts pour qualification ;</w:t>
      </w:r>
    </w:p>
    <w:p>
      <w:pPr>
        <w:pStyle w:val="ListParagraph"/>
        <w:numPr>
          <w:ilvl w:val="0"/>
          <w:numId w:val="2"/>
        </w:numPr>
        <w:spacing w:after="60" w:before="60" w:line="280"/>
      </w:pPr>
      <w:r>
        <w:rPr>
          <w:rFonts w:ascii="Poppins" w:cs="Poppins" w:eastAsia="Poppins" w:hAnsi="Poppins"/>
          <w:color w:val="1F2937"/>
          <w:sz w:val="20"/>
          <w:szCs w:val="20"/>
        </w:rPr>
        <w:t xml:space="preserve">les outils d'arbitrage : convocation d'une réunion de cadrage, demande d'avis externe (CDP, DGPSN, MCTN), décision d'arbitrage avec motivation conservée en historique ;</w:t>
      </w:r>
    </w:p>
    <w:p>
      <w:pPr>
        <w:pStyle w:val="ListParagraph"/>
        <w:numPr>
          <w:ilvl w:val="0"/>
          <w:numId w:val="2"/>
        </w:numPr>
        <w:spacing w:after="60" w:before="60" w:line="280"/>
      </w:pPr>
      <w:r>
        <w:rPr>
          <w:rFonts w:ascii="Poppins" w:cs="Poppins" w:eastAsia="Poppins" w:hAnsi="Poppins"/>
          <w:color w:val="1F2937"/>
          <w:sz w:val="20"/>
          <w:szCs w:val="20"/>
        </w:rPr>
        <w:t xml:space="preserve">un tableau de bord d'activité consolidé : cas d'usage par statut, par secteur, par ancienneté, indicateurs de performance du pipeline.</w:t>
      </w:r>
    </w:p>
    <w:p>
      <w:r>
        <w:br w:type="page"/>
      </w:r>
    </w:p>
    <w:p>
      <w:pPr>
        <w:pStyle w:val="Heading1"/>
        <w:spacing w:after="200" w:before="400"/>
      </w:pPr>
      <w:r>
        <w:rPr>
          <w:rFonts w:ascii="Poppins" w:cs="Poppins" w:eastAsia="Poppins" w:hAnsi="Poppins"/>
          <w:b/>
          <w:bCs/>
          <w:color w:val="0C1F3A"/>
          <w:sz w:val="32"/>
          <w:szCs w:val="32"/>
        </w:rPr>
        <w:t xml:space="preserve">4. Modèle de données</w:t>
      </w:r>
    </w:p>
    <w:p>
      <w:pPr>
        <w:pStyle w:val="Heading2"/>
        <w:spacing w:after="160" w:before="300"/>
      </w:pPr>
      <w:r>
        <w:rPr>
          <w:rFonts w:ascii="Poppins" w:cs="Poppins" w:eastAsia="Poppins" w:hAnsi="Poppins"/>
          <w:b/>
          <w:bCs/>
          <w:color w:val="0A6B68"/>
          <w:sz w:val="26"/>
          <w:szCs w:val="26"/>
        </w:rPr>
        <w:t xml:space="preserve">4.1 Principes d'évolution du schéma</w:t>
      </w:r>
    </w:p>
    <w:p>
      <w:pPr>
        <w:spacing w:after="80" w:before="80" w:line="300"/>
        <w:jc w:val="both"/>
      </w:pPr>
      <w:r>
        <w:rPr>
          <w:rFonts w:ascii="Poppins" w:cs="Poppins" w:eastAsia="Poppins" w:hAnsi="Poppins"/>
          <w:color w:val="1F2937"/>
          <w:sz w:val="20"/>
          <w:szCs w:val="20"/>
        </w:rPr>
        <w:t xml:space="preserve">L'évolution du schéma Prisma préserve strictement le modèle existant. La table CasUsageMVP demeure la source autoritative des cas d'usage, et la table FluxInstitution demeure la table de liaison entre cas d'usage et institutions. Les nouveaux modèles viennent en complément pour soutenir le cycle de vie, les consultations et les avis.</w:t>
      </w:r>
    </w:p>
    <w:p>
      <w:pPr>
        <w:spacing w:after="80" w:before="80" w:line="300"/>
        <w:jc w:val="both"/>
      </w:pPr>
      <w:r>
        <w:rPr>
          <w:rFonts w:ascii="Poppins" w:cs="Poppins" w:eastAsia="Poppins" w:hAnsi="Poppins"/>
          <w:color w:val="1F2937"/>
          <w:sz w:val="20"/>
          <w:szCs w:val="20"/>
        </w:rPr>
        <w:t xml:space="preserve">Cinq nouvelles entités sont introduites :</w:t>
      </w:r>
    </w:p>
    <w:p>
      <w:pPr>
        <w:pStyle w:val="ListParagraph"/>
        <w:numPr>
          <w:ilvl w:val="0"/>
          <w:numId w:val="2"/>
        </w:numPr>
        <w:spacing w:after="60" w:before="60" w:line="280"/>
      </w:pPr>
      <w:r>
        <w:rPr>
          <w:rFonts w:ascii="Poppins" w:cs="Poppins" w:eastAsia="Poppins" w:hAnsi="Poppins"/>
          <w:b/>
          <w:bCs/>
          <w:color w:val="1F2937"/>
          <w:sz w:val="20"/>
          <w:szCs w:val="20"/>
        </w:rPr>
        <w:t xml:space="preserve">UseCaseStakeholder</w:t>
      </w:r>
      <w:r>
        <w:rPr>
          <w:rFonts w:ascii="Poppins" w:cs="Poppins" w:eastAsia="Poppins" w:hAnsi="Poppins"/>
          <w:color w:val="1F2937"/>
          <w:sz w:val="20"/>
          <w:szCs w:val="20"/>
        </w:rPr>
        <w:t xml:space="preserve"> — association N-N enrichie entre cas d'usage et institutions, portant le rôle joué dans le cas d'usage. Elle coexiste avec FluxInstitution, dont elle étend la sémantique.</w:t>
      </w:r>
    </w:p>
    <w:p>
      <w:pPr>
        <w:pStyle w:val="ListParagraph"/>
        <w:numPr>
          <w:ilvl w:val="0"/>
          <w:numId w:val="2"/>
        </w:numPr>
        <w:spacing w:after="60" w:before="60" w:line="280"/>
      </w:pPr>
      <w:r>
        <w:rPr>
          <w:rFonts w:ascii="Poppins" w:cs="Poppins" w:eastAsia="Poppins" w:hAnsi="Poppins"/>
          <w:b/>
          <w:bCs/>
          <w:color w:val="1F2937"/>
          <w:sz w:val="20"/>
          <w:szCs w:val="20"/>
        </w:rPr>
        <w:t xml:space="preserve">UseCaseConsultation</w:t>
      </w:r>
      <w:r>
        <w:rPr>
          <w:rFonts w:ascii="Poppins" w:cs="Poppins" w:eastAsia="Poppins" w:hAnsi="Poppins"/>
          <w:color w:val="1F2937"/>
          <w:sz w:val="20"/>
          <w:szCs w:val="20"/>
        </w:rPr>
        <w:t xml:space="preserve"> — instance d'une demande d'avis adressée par le système à une partie prenante, avec un délai de réponse.</w:t>
      </w:r>
    </w:p>
    <w:p>
      <w:pPr>
        <w:pStyle w:val="ListParagraph"/>
        <w:numPr>
          <w:ilvl w:val="0"/>
          <w:numId w:val="2"/>
        </w:numPr>
        <w:spacing w:after="60" w:before="60" w:line="280"/>
      </w:pPr>
      <w:r>
        <w:rPr>
          <w:rFonts w:ascii="Poppins" w:cs="Poppins" w:eastAsia="Poppins" w:hAnsi="Poppins"/>
          <w:b/>
          <w:bCs/>
          <w:color w:val="1F2937"/>
          <w:sz w:val="20"/>
          <w:szCs w:val="20"/>
        </w:rPr>
        <w:t xml:space="preserve">UseCaseFeedback</w:t>
      </w:r>
      <w:r>
        <w:rPr>
          <w:rFonts w:ascii="Poppins" w:cs="Poppins" w:eastAsia="Poppins" w:hAnsi="Poppins"/>
          <w:color w:val="1F2937"/>
          <w:sz w:val="20"/>
          <w:szCs w:val="20"/>
        </w:rPr>
        <w:t xml:space="preserve"> — avis formel donné en réponse à une consultation.</w:t>
      </w:r>
    </w:p>
    <w:p>
      <w:pPr>
        <w:pStyle w:val="ListParagraph"/>
        <w:numPr>
          <w:ilvl w:val="0"/>
          <w:numId w:val="2"/>
        </w:numPr>
        <w:spacing w:after="60" w:before="60" w:line="280"/>
      </w:pPr>
      <w:r>
        <w:rPr>
          <w:rFonts w:ascii="Poppins" w:cs="Poppins" w:eastAsia="Poppins" w:hAnsi="Poppins"/>
          <w:b/>
          <w:bCs/>
          <w:color w:val="1F2937"/>
          <w:sz w:val="20"/>
          <w:szCs w:val="20"/>
        </w:rPr>
        <w:t xml:space="preserve">UseCaseStatusHistory</w:t>
      </w:r>
      <w:r>
        <w:rPr>
          <w:rFonts w:ascii="Poppins" w:cs="Poppins" w:eastAsia="Poppins" w:hAnsi="Poppins"/>
          <w:color w:val="1F2937"/>
          <w:sz w:val="20"/>
          <w:szCs w:val="20"/>
        </w:rPr>
        <w:t xml:space="preserve"> — journal inaltérable des transitions d'état.</w:t>
      </w:r>
    </w:p>
    <w:p>
      <w:pPr>
        <w:pStyle w:val="ListParagraph"/>
        <w:numPr>
          <w:ilvl w:val="0"/>
          <w:numId w:val="2"/>
        </w:numPr>
        <w:spacing w:after="60" w:before="60" w:line="280"/>
      </w:pPr>
      <w:r>
        <w:rPr>
          <w:rFonts w:ascii="Poppins" w:cs="Poppins" w:eastAsia="Poppins" w:hAnsi="Poppins"/>
          <w:b/>
          <w:bCs/>
          <w:color w:val="1F2937"/>
          <w:sz w:val="20"/>
          <w:szCs w:val="20"/>
        </w:rPr>
        <w:t xml:space="preserve">Notification</w:t>
      </w:r>
      <w:r>
        <w:rPr>
          <w:rFonts w:ascii="Poppins" w:cs="Poppins" w:eastAsia="Poppins" w:hAnsi="Poppins"/>
          <w:color w:val="1F2937"/>
          <w:sz w:val="20"/>
          <w:szCs w:val="20"/>
        </w:rPr>
        <w:t xml:space="preserve"> — notification in-app associée à un utilisateur, avec lien contextuel vers l'élément concerné.</w:t>
      </w:r>
    </w:p>
    <w:p>
      <w:pPr>
        <w:pStyle w:val="Heading2"/>
        <w:spacing w:after="160" w:before="300"/>
      </w:pPr>
      <w:r>
        <w:rPr>
          <w:rFonts w:ascii="Poppins" w:cs="Poppins" w:eastAsia="Poppins" w:hAnsi="Poppins"/>
          <w:b/>
          <w:bCs/>
          <w:color w:val="0A6B68"/>
          <w:sz w:val="26"/>
          <w:szCs w:val="26"/>
        </w:rPr>
        <w:t xml:space="preserve">4.2 Extraits du schéma Prisma</w:t>
      </w:r>
    </w:p>
    <w:p>
      <w:pPr>
        <w:spacing w:after="80" w:before="80" w:line="300"/>
        <w:jc w:val="both"/>
      </w:pPr>
      <w:r>
        <w:rPr>
          <w:rFonts w:ascii="Poppins" w:cs="Poppins" w:eastAsia="Poppins" w:hAnsi="Poppins"/>
          <w:color w:val="1F2937"/>
          <w:sz w:val="20"/>
          <w:szCs w:val="20"/>
        </w:rPr>
        <w:t xml:space="preserve">Les extraits ci-dessous donnent les définitions essentielles. Le schéma complet figure en annexe et dans le fichier schema.prisma livré avec le présent document.</w:t>
      </w:r>
    </w:p>
    <w:p>
      <w:pPr>
        <w:spacing w:after="60" w:before="60"/>
      </w:pPr>
    </w:p>
    <w:p>
      <w:pPr>
        <w:pStyle w:val="Heading3"/>
        <w:spacing w:after="120" w:before="240"/>
      </w:pPr>
      <w:r>
        <w:rPr>
          <w:rFonts w:ascii="Poppins" w:cs="Poppins" w:eastAsia="Poppins" w:hAnsi="Poppins"/>
          <w:b/>
          <w:bCs/>
          <w:color w:val="0C1F3A"/>
          <w:sz w:val="22"/>
          <w:szCs w:val="22"/>
        </w:rPr>
        <w:t xml:space="preserve">4.2.1 Énumérations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F8F9FA" w:val="clear"/>
            <w:tcMar>
              <w:top w:type="dxa" w:w="140"/>
              <w:left w:type="dxa" w:w="200"/>
              <w:bottom w:type="dxa" w:w="140"/>
              <w:right w:type="dxa" w:w="200"/>
            </w:tcMar>
          </w:tcPr>
          <w:p>
            <w:pPr>
              <w:spacing w:after="20" w:before="20" w:line="260"/>
            </w:pPr>
            <w:r>
              <w:rPr>
                <w:rFonts w:ascii="Consolas" w:cs="Consolas" w:eastAsia="Consolas" w:hAnsi="Consolas"/>
                <w:color w:val="1F2937"/>
                <w:sz w:val="17"/>
                <w:szCs w:val="17"/>
              </w:rPr>
              <w:t xml:space="preserve">enum UseCaseRole {</w:t>
            </w:r>
          </w:p>
          <w:p>
            <w:pPr>
              <w:spacing w:after="20" w:before="20" w:line="260"/>
            </w:pPr>
            <w:r>
              <w:rPr>
                <w:rFonts w:ascii="Consolas" w:cs="Consolas" w:eastAsia="Consolas" w:hAnsi="Consolas"/>
                <w:color w:val="1F2937"/>
                <w:sz w:val="17"/>
                <w:szCs w:val="17"/>
              </w:rPr>
              <w:t xml:space="preserve">  INITIATEUR</w:t>
            </w:r>
          </w:p>
          <w:p>
            <w:pPr>
              <w:spacing w:after="20" w:before="20" w:line="260"/>
            </w:pPr>
            <w:r>
              <w:rPr>
                <w:rFonts w:ascii="Consolas" w:cs="Consolas" w:eastAsia="Consolas" w:hAnsi="Consolas"/>
                <w:color w:val="1F2937"/>
                <w:sz w:val="17"/>
                <w:szCs w:val="17"/>
              </w:rPr>
              <w:t xml:space="preserve">  FOURNISSEUR</w:t>
            </w:r>
          </w:p>
          <w:p>
            <w:pPr>
              <w:spacing w:after="20" w:before="20" w:line="260"/>
            </w:pPr>
            <w:r>
              <w:rPr>
                <w:rFonts w:ascii="Consolas" w:cs="Consolas" w:eastAsia="Consolas" w:hAnsi="Consolas"/>
                <w:color w:val="1F2937"/>
                <w:sz w:val="17"/>
                <w:szCs w:val="17"/>
              </w:rPr>
              <w:t xml:space="preserve">  CONSOMMATEUR</w:t>
            </w:r>
          </w:p>
          <w:p>
            <w:pPr>
              <w:spacing w:after="20" w:before="20" w:line="260"/>
            </w:pPr>
            <w:r>
              <w:rPr>
                <w:rFonts w:ascii="Consolas" w:cs="Consolas" w:eastAsia="Consolas" w:hAnsi="Consolas"/>
                <w:color w:val="1F2937"/>
                <w:sz w:val="17"/>
                <w:szCs w:val="17"/>
              </w:rPr>
              <w:t xml:space="preserve">  PARTIE_PRENANTE</w:t>
            </w:r>
          </w:p>
          <w:p>
            <w:pPr>
              <w:spacing w:after="20" w:before="20" w:line="260"/>
            </w:pPr>
            <w:r>
              <w:rPr>
                <w:rFonts w:ascii="Consolas" w:cs="Consolas" w:eastAsia="Consolas" w:hAnsi="Consolas"/>
                <w:color w:val="1F2937"/>
                <w:sz w:val="17"/>
                <w:szCs w:val="17"/>
              </w:rPr>
              <w:t xml:space="preserv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enum UseCaseStatus {</w:t>
            </w:r>
          </w:p>
          <w:p>
            <w:pPr>
              <w:spacing w:after="20" w:before="20" w:line="260"/>
            </w:pPr>
            <w:r>
              <w:rPr>
                <w:rFonts w:ascii="Consolas" w:cs="Consolas" w:eastAsia="Consolas" w:hAnsi="Consolas"/>
                <w:color w:val="1F2937"/>
                <w:sz w:val="17"/>
                <w:szCs w:val="17"/>
              </w:rPr>
              <w:t xml:space="preserve">  DECLARE</w:t>
            </w:r>
          </w:p>
          <w:p>
            <w:pPr>
              <w:spacing w:after="20" w:before="20" w:line="260"/>
            </w:pPr>
            <w:r>
              <w:rPr>
                <w:rFonts w:ascii="Consolas" w:cs="Consolas" w:eastAsia="Consolas" w:hAnsi="Consolas"/>
                <w:color w:val="1F2937"/>
                <w:sz w:val="17"/>
                <w:szCs w:val="17"/>
              </w:rPr>
              <w:t xml:space="preserve">  EN_CONSULTATION</w:t>
            </w:r>
          </w:p>
          <w:p>
            <w:pPr>
              <w:spacing w:after="20" w:before="20" w:line="260"/>
            </w:pPr>
            <w:r>
              <w:rPr>
                <w:rFonts w:ascii="Consolas" w:cs="Consolas" w:eastAsia="Consolas" w:hAnsi="Consolas"/>
                <w:color w:val="1F2937"/>
                <w:sz w:val="17"/>
                <w:szCs w:val="17"/>
              </w:rPr>
              <w:t xml:space="preserve">  VALIDATION_CONJOINTE</w:t>
            </w:r>
          </w:p>
          <w:p>
            <w:pPr>
              <w:spacing w:after="20" w:before="20" w:line="260"/>
            </w:pPr>
            <w:r>
              <w:rPr>
                <w:rFonts w:ascii="Consolas" w:cs="Consolas" w:eastAsia="Consolas" w:hAnsi="Consolas"/>
                <w:color w:val="1F2937"/>
                <w:sz w:val="17"/>
                <w:szCs w:val="17"/>
              </w:rPr>
              <w:t xml:space="preserve">  QUALIFIE</w:t>
            </w:r>
          </w:p>
          <w:p>
            <w:pPr>
              <w:spacing w:after="20" w:before="20" w:line="260"/>
            </w:pPr>
            <w:r>
              <w:rPr>
                <w:rFonts w:ascii="Consolas" w:cs="Consolas" w:eastAsia="Consolas" w:hAnsi="Consolas"/>
                <w:color w:val="1F2937"/>
                <w:sz w:val="17"/>
                <w:szCs w:val="17"/>
              </w:rPr>
              <w:t xml:space="preserve">  PRIORISE</w:t>
            </w:r>
          </w:p>
          <w:p>
            <w:pPr>
              <w:spacing w:after="20" w:before="20" w:line="260"/>
            </w:pPr>
            <w:r>
              <w:rPr>
                <w:rFonts w:ascii="Consolas" w:cs="Consolas" w:eastAsia="Consolas" w:hAnsi="Consolas"/>
                <w:color w:val="1F2937"/>
                <w:sz w:val="17"/>
                <w:szCs w:val="17"/>
              </w:rPr>
              <w:t xml:space="preserve">  FINANCEMENT_OK</w:t>
            </w:r>
          </w:p>
          <w:p>
            <w:pPr>
              <w:spacing w:after="20" w:before="20" w:line="260"/>
            </w:pPr>
            <w:r>
              <w:rPr>
                <w:rFonts w:ascii="Consolas" w:cs="Consolas" w:eastAsia="Consolas" w:hAnsi="Consolas"/>
                <w:color w:val="1F2937"/>
                <w:sz w:val="17"/>
                <w:szCs w:val="17"/>
              </w:rPr>
              <w:t xml:space="preserve">  CONVENTIONNE</w:t>
            </w:r>
          </w:p>
          <w:p>
            <w:pPr>
              <w:spacing w:after="20" w:before="20" w:line="260"/>
            </w:pPr>
            <w:r>
              <w:rPr>
                <w:rFonts w:ascii="Consolas" w:cs="Consolas" w:eastAsia="Consolas" w:hAnsi="Consolas"/>
                <w:color w:val="1F2937"/>
                <w:sz w:val="17"/>
                <w:szCs w:val="17"/>
              </w:rPr>
              <w:t xml:space="preserve">  EN_PRODUCTION</w:t>
            </w:r>
          </w:p>
          <w:p>
            <w:pPr>
              <w:spacing w:after="20" w:before="20" w:line="260"/>
            </w:pPr>
            <w:r>
              <w:rPr>
                <w:rFonts w:ascii="Consolas" w:cs="Consolas" w:eastAsia="Consolas" w:hAnsi="Consolas"/>
                <w:color w:val="1F2937"/>
                <w:sz w:val="17"/>
                <w:szCs w:val="17"/>
              </w:rPr>
              <w:t xml:space="preserve">  SUSPENDU</w:t>
            </w:r>
          </w:p>
          <w:p>
            <w:pPr>
              <w:spacing w:after="20" w:before="20" w:line="260"/>
            </w:pPr>
            <w:r>
              <w:rPr>
                <w:rFonts w:ascii="Consolas" w:cs="Consolas" w:eastAsia="Consolas" w:hAnsi="Consolas"/>
                <w:color w:val="1F2937"/>
                <w:sz w:val="17"/>
                <w:szCs w:val="17"/>
              </w:rPr>
              <w:t xml:space="preserve">  RETIRE</w:t>
            </w:r>
          </w:p>
          <w:p>
            <w:pPr>
              <w:spacing w:after="20" w:before="20" w:line="260"/>
            </w:pPr>
            <w:r>
              <w:rPr>
                <w:rFonts w:ascii="Consolas" w:cs="Consolas" w:eastAsia="Consolas" w:hAnsi="Consolas"/>
                <w:color w:val="1F2937"/>
                <w:sz w:val="17"/>
                <w:szCs w:val="17"/>
              </w:rPr>
              <w:t xml:space="preserv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enum FeedbackType {</w:t>
            </w:r>
          </w:p>
          <w:p>
            <w:pPr>
              <w:spacing w:after="20" w:before="20" w:line="260"/>
            </w:pPr>
            <w:r>
              <w:rPr>
                <w:rFonts w:ascii="Consolas" w:cs="Consolas" w:eastAsia="Consolas" w:hAnsi="Consolas"/>
                <w:color w:val="1F2937"/>
                <w:sz w:val="17"/>
                <w:szCs w:val="17"/>
              </w:rPr>
              <w:t xml:space="preserve">  VALIDATION</w:t>
            </w:r>
          </w:p>
          <w:p>
            <w:pPr>
              <w:spacing w:after="20" w:before="20" w:line="260"/>
            </w:pPr>
            <w:r>
              <w:rPr>
                <w:rFonts w:ascii="Consolas" w:cs="Consolas" w:eastAsia="Consolas" w:hAnsi="Consolas"/>
                <w:color w:val="1F2937"/>
                <w:sz w:val="17"/>
                <w:szCs w:val="17"/>
              </w:rPr>
              <w:t xml:space="preserve">  RESERVE</w:t>
            </w:r>
          </w:p>
          <w:p>
            <w:pPr>
              <w:spacing w:after="20" w:before="20" w:line="260"/>
            </w:pPr>
            <w:r>
              <w:rPr>
                <w:rFonts w:ascii="Consolas" w:cs="Consolas" w:eastAsia="Consolas" w:hAnsi="Consolas"/>
                <w:color w:val="1F2937"/>
                <w:sz w:val="17"/>
                <w:szCs w:val="17"/>
              </w:rPr>
              <w:t xml:space="preserve">  REFUS_MOTIVE</w:t>
            </w:r>
          </w:p>
          <w:p>
            <w:pPr>
              <w:spacing w:after="20" w:before="20" w:line="260"/>
            </w:pPr>
            <w:r>
              <w:rPr>
                <w:rFonts w:ascii="Consolas" w:cs="Consolas" w:eastAsia="Consolas" w:hAnsi="Consolas"/>
                <w:color w:val="1F2937"/>
                <w:sz w:val="17"/>
                <w:szCs w:val="17"/>
              </w:rPr>
              <w:t xml:space="preserve">  QUESTION</w:t>
            </w:r>
          </w:p>
          <w:p>
            <w:pPr>
              <w:spacing w:after="20" w:before="20" w:line="260"/>
            </w:pPr>
            <w:r>
              <w:rPr>
                <w:rFonts w:ascii="Consolas" w:cs="Consolas" w:eastAsia="Consolas" w:hAnsi="Consolas"/>
                <w:color w:val="1F2937"/>
                <w:sz w:val="17"/>
                <w:szCs w:val="17"/>
              </w:rPr>
              <w:t xml:space="preserve">  CONTRE_PROPOSITION</w:t>
            </w:r>
          </w:p>
          <w:p>
            <w:pPr>
              <w:spacing w:after="20" w:before="20" w:line="260"/>
            </w:pPr>
            <w:r>
              <w:rPr>
                <w:rFonts w:ascii="Consolas" w:cs="Consolas" w:eastAsia="Consolas" w:hAnsi="Consolas"/>
                <w:color w:val="1F2937"/>
                <w:sz w:val="17"/>
                <w:szCs w:val="17"/>
              </w:rPr>
              <w:t xml:space="preserv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enum ConsultationStatus {</w:t>
            </w:r>
          </w:p>
          <w:p>
            <w:pPr>
              <w:spacing w:after="20" w:before="20" w:line="260"/>
            </w:pPr>
            <w:r>
              <w:rPr>
                <w:rFonts w:ascii="Consolas" w:cs="Consolas" w:eastAsia="Consolas" w:hAnsi="Consolas"/>
                <w:color w:val="1F2937"/>
                <w:sz w:val="17"/>
                <w:szCs w:val="17"/>
              </w:rPr>
              <w:t xml:space="preserve">  EN_ATTENTE</w:t>
            </w:r>
          </w:p>
          <w:p>
            <w:pPr>
              <w:spacing w:after="20" w:before="20" w:line="260"/>
            </w:pPr>
            <w:r>
              <w:rPr>
                <w:rFonts w:ascii="Consolas" w:cs="Consolas" w:eastAsia="Consolas" w:hAnsi="Consolas"/>
                <w:color w:val="1F2937"/>
                <w:sz w:val="17"/>
                <w:szCs w:val="17"/>
              </w:rPr>
              <w:t xml:space="preserve">  REPONDU</w:t>
            </w:r>
          </w:p>
          <w:p>
            <w:pPr>
              <w:spacing w:after="20" w:before="20" w:line="260"/>
            </w:pPr>
            <w:r>
              <w:rPr>
                <w:rFonts w:ascii="Consolas" w:cs="Consolas" w:eastAsia="Consolas" w:hAnsi="Consolas"/>
                <w:color w:val="1F2937"/>
                <w:sz w:val="17"/>
                <w:szCs w:val="17"/>
              </w:rPr>
              <w:t xml:space="preserve">  ECHU</w:t>
            </w:r>
          </w:p>
          <w:p>
            <w:pPr>
              <w:spacing w:after="20" w:before="20" w:line="260"/>
            </w:pPr>
            <w:r>
              <w:rPr>
                <w:rFonts w:ascii="Consolas" w:cs="Consolas" w:eastAsia="Consolas" w:hAnsi="Consolas"/>
                <w:color w:val="1F2937"/>
                <w:sz w:val="17"/>
                <w:szCs w:val="17"/>
              </w:rPr>
              <w:t xml:space="preserve">  ANNULE</w:t>
            </w:r>
          </w:p>
          <w:p>
            <w:pPr>
              <w:spacing w:after="20" w:before="20" w:line="260"/>
            </w:pPr>
            <w:r>
              <w:rPr>
                <w:rFonts w:ascii="Consolas" w:cs="Consolas" w:eastAsia="Consolas" w:hAnsi="Consolas"/>
                <w:color w:val="1F2937"/>
                <w:sz w:val="17"/>
                <w:szCs w:val="17"/>
              </w:rPr>
              <w:t xml:space="preserve">}</w:t>
            </w:r>
          </w:p>
        </w:tc>
      </w:tr>
    </w:tbl>
    <w:p>
      <w:pPr>
        <w:spacing w:after="60" w:before="60"/>
      </w:pPr>
    </w:p>
    <w:p>
      <w:pPr>
        <w:pStyle w:val="Heading3"/>
        <w:spacing w:after="120" w:before="240"/>
      </w:pPr>
      <w:r>
        <w:rPr>
          <w:rFonts w:ascii="Poppins" w:cs="Poppins" w:eastAsia="Poppins" w:hAnsi="Poppins"/>
          <w:b/>
          <w:bCs/>
          <w:color w:val="0C1F3A"/>
          <w:sz w:val="22"/>
          <w:szCs w:val="22"/>
        </w:rPr>
        <w:t xml:space="preserve">4.2.2 UseCaseStakeholder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F8F9FA" w:val="clear"/>
            <w:tcMar>
              <w:top w:type="dxa" w:w="140"/>
              <w:left w:type="dxa" w:w="200"/>
              <w:bottom w:type="dxa" w:w="140"/>
              <w:right w:type="dxa" w:w="200"/>
            </w:tcMar>
          </w:tcPr>
          <w:p>
            <w:pPr>
              <w:spacing w:after="20" w:before="20" w:line="260"/>
            </w:pPr>
            <w:r>
              <w:rPr>
                <w:rFonts w:ascii="Consolas" w:cs="Consolas" w:eastAsia="Consolas" w:hAnsi="Consolas"/>
                <w:color w:val="1F2937"/>
                <w:sz w:val="17"/>
                <w:szCs w:val="17"/>
              </w:rPr>
              <w:t xml:space="preserve">model UseCaseStakeholder {</w:t>
            </w:r>
          </w:p>
          <w:p>
            <w:pPr>
              <w:spacing w:after="20" w:before="20" w:line="260"/>
            </w:pPr>
            <w:r>
              <w:rPr>
                <w:rFonts w:ascii="Consolas" w:cs="Consolas" w:eastAsia="Consolas" w:hAnsi="Consolas"/>
                <w:color w:val="1F2937"/>
                <w:sz w:val="17"/>
                <w:szCs w:val="17"/>
              </w:rPr>
              <w:t xml:space="preserve">  id             String        @id @default(cuid())</w:t>
            </w:r>
          </w:p>
          <w:p>
            <w:pPr>
              <w:spacing w:after="20" w:before="20" w:line="260"/>
            </w:pPr>
            <w:r>
              <w:rPr>
                <w:rFonts w:ascii="Consolas" w:cs="Consolas" w:eastAsia="Consolas" w:hAnsi="Consolas"/>
                <w:color w:val="1F2937"/>
                <w:sz w:val="17"/>
                <w:szCs w:val="17"/>
              </w:rPr>
              <w:t xml:space="preserve">  casUsageId     String</w:t>
            </w:r>
          </w:p>
          <w:p>
            <w:pPr>
              <w:spacing w:after="20" w:before="20" w:line="260"/>
            </w:pPr>
            <w:r>
              <w:rPr>
                <w:rFonts w:ascii="Consolas" w:cs="Consolas" w:eastAsia="Consolas" w:hAnsi="Consolas"/>
                <w:color w:val="1F2937"/>
                <w:sz w:val="17"/>
                <w:szCs w:val="17"/>
              </w:rPr>
              <w:t xml:space="preserve">  institutionId  String</w:t>
            </w:r>
          </w:p>
          <w:p>
            <w:pPr>
              <w:spacing w:after="20" w:before="20" w:line="260"/>
            </w:pPr>
            <w:r>
              <w:rPr>
                <w:rFonts w:ascii="Consolas" w:cs="Consolas" w:eastAsia="Consolas" w:hAnsi="Consolas"/>
                <w:color w:val="1F2937"/>
                <w:sz w:val="17"/>
                <w:szCs w:val="17"/>
              </w:rPr>
              <w:t xml:space="preserve">  role           UseCaseRole</w:t>
            </w:r>
          </w:p>
          <w:p>
            <w:pPr>
              <w:spacing w:after="20" w:before="20" w:line="260"/>
            </w:pPr>
            <w:r>
              <w:rPr>
                <w:rFonts w:ascii="Consolas" w:cs="Consolas" w:eastAsia="Consolas" w:hAnsi="Consolas"/>
                <w:color w:val="1F2937"/>
                <w:sz w:val="17"/>
                <w:szCs w:val="17"/>
              </w:rPr>
              <w:t xml:space="preserve">  autoSaisine    Boolean       @default(false)</w:t>
            </w:r>
          </w:p>
          <w:p>
            <w:pPr>
              <w:spacing w:after="20" w:before="20" w:line="260"/>
            </w:pPr>
            <w:r>
              <w:rPr>
                <w:rFonts w:ascii="Consolas" w:cs="Consolas" w:eastAsia="Consolas" w:hAnsi="Consolas"/>
                <w:color w:val="1F2937"/>
                <w:sz w:val="17"/>
                <w:szCs w:val="17"/>
              </w:rPr>
              <w:t xml:space="preserve">  dateAjout      DateTime      @default(now())</w:t>
            </w:r>
          </w:p>
          <w:p>
            <w:pPr>
              <w:spacing w:after="20" w:before="20" w:line="260"/>
            </w:pPr>
            <w:r>
              <w:rPr>
                <w:rFonts w:ascii="Consolas" w:cs="Consolas" w:eastAsia="Consolas" w:hAnsi="Consolas"/>
                <w:color w:val="1F2937"/>
                <w:sz w:val="17"/>
                <w:szCs w:val="17"/>
              </w:rPr>
              <w:t xml:space="preserve">  ajoutePar      String?       // userId</w:t>
            </w:r>
          </w:p>
          <w:p>
            <w:pPr>
              <w:spacing w:after="20" w:before="20" w:line="260"/>
            </w:pPr>
            <w:r>
              <w:rPr>
                <w:rFonts w:ascii="Consolas" w:cs="Consolas" w:eastAsia="Consolas" w:hAnsi="Consolas"/>
                <w:color w:val="1F2937"/>
                <w:sz w:val="17"/>
                <w:szCs w:val="17"/>
              </w:rPr>
              <w:t xml:space="preserve">  actif          Boolean       @default(true)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casUsage       CasUsageMVP   @relation(fields: [casUsageId], references: [id], onDelete: Cascade)</w:t>
            </w:r>
          </w:p>
          <w:p>
            <w:pPr>
              <w:spacing w:after="20" w:before="20" w:line="260"/>
            </w:pPr>
            <w:r>
              <w:rPr>
                <w:rFonts w:ascii="Consolas" w:cs="Consolas" w:eastAsia="Consolas" w:hAnsi="Consolas"/>
                <w:color w:val="1F2937"/>
                <w:sz w:val="17"/>
                <w:szCs w:val="17"/>
              </w:rPr>
              <w:t xml:space="preserve">  institution    Institution   @relation(fields: [institutionId], references: [id])</w:t>
            </w:r>
          </w:p>
          <w:p>
            <w:pPr>
              <w:spacing w:after="20" w:before="20" w:line="260"/>
            </w:pPr>
            <w:r>
              <w:rPr>
                <w:rFonts w:ascii="Consolas" w:cs="Consolas" w:eastAsia="Consolas" w:hAnsi="Consolas"/>
                <w:color w:val="1F2937"/>
                <w:sz w:val="17"/>
                <w:szCs w:val="17"/>
              </w:rPr>
              <w:t xml:space="preserve">  consultations  UseCaseConsultation[]</w:t>
            </w:r>
          </w:p>
          <w:p>
            <w:pPr>
              <w:spacing w:after="20" w:before="20" w:line="260"/>
            </w:pPr>
            <w:r>
              <w:rPr>
                <w:rFonts w:ascii="Consolas" w:cs="Consolas" w:eastAsia="Consolas" w:hAnsi="Consolas"/>
                <w:color w:val="1F2937"/>
                <w:sz w:val="17"/>
                <w:szCs w:val="17"/>
              </w:rPr>
              <w:t xml:space="preserve">  feedbacks      UseCaseFeedback[]</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@@unique([casUsageId, institutionId, role])</w:t>
            </w:r>
          </w:p>
          <w:p>
            <w:pPr>
              <w:spacing w:after="20" w:before="20" w:line="260"/>
            </w:pPr>
            <w:r>
              <w:rPr>
                <w:rFonts w:ascii="Consolas" w:cs="Consolas" w:eastAsia="Consolas" w:hAnsi="Consolas"/>
                <w:color w:val="1F2937"/>
                <w:sz w:val="17"/>
                <w:szCs w:val="17"/>
              </w:rPr>
              <w:t xml:space="preserve">  @@index([institutionId, role])</w:t>
            </w:r>
          </w:p>
          <w:p>
            <w:pPr>
              <w:spacing w:after="20" w:before="20" w:line="260"/>
            </w:pPr>
            <w:r>
              <w:rPr>
                <w:rFonts w:ascii="Consolas" w:cs="Consolas" w:eastAsia="Consolas" w:hAnsi="Consolas"/>
                <w:color w:val="1F2937"/>
                <w:sz w:val="17"/>
                <w:szCs w:val="17"/>
              </w:rPr>
              <w:t xml:space="preserve">  @@index([casUsageId])</w:t>
            </w:r>
          </w:p>
          <w:p>
            <w:pPr>
              <w:spacing w:after="20" w:before="20" w:line="260"/>
            </w:pPr>
            <w:r>
              <w:rPr>
                <w:rFonts w:ascii="Consolas" w:cs="Consolas" w:eastAsia="Consolas" w:hAnsi="Consolas"/>
                <w:color w:val="1F2937"/>
                <w:sz w:val="17"/>
                <w:szCs w:val="17"/>
              </w:rPr>
              <w:t xml:space="preserve">}</w:t>
            </w:r>
          </w:p>
        </w:tc>
      </w:tr>
    </w:tbl>
    <w:p>
      <w:pPr>
        <w:spacing w:after="60" w:before="60"/>
      </w:pPr>
    </w:p>
    <w:p>
      <w:pPr>
        <w:pStyle w:val="Heading3"/>
        <w:spacing w:after="120" w:before="240"/>
      </w:pPr>
      <w:r>
        <w:rPr>
          <w:rFonts w:ascii="Poppins" w:cs="Poppins" w:eastAsia="Poppins" w:hAnsi="Poppins"/>
          <w:b/>
          <w:bCs/>
          <w:color w:val="0C1F3A"/>
          <w:sz w:val="22"/>
          <w:szCs w:val="22"/>
        </w:rPr>
        <w:t xml:space="preserve">4.2.3 UseCaseConsultation et UseCaseFeedback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F8F9FA" w:val="clear"/>
            <w:tcMar>
              <w:top w:type="dxa" w:w="140"/>
              <w:left w:type="dxa" w:w="200"/>
              <w:bottom w:type="dxa" w:w="140"/>
              <w:right w:type="dxa" w:w="200"/>
            </w:tcMar>
          </w:tcPr>
          <w:p>
            <w:pPr>
              <w:spacing w:after="20" w:before="20" w:line="260"/>
            </w:pPr>
            <w:r>
              <w:rPr>
                <w:rFonts w:ascii="Consolas" w:cs="Consolas" w:eastAsia="Consolas" w:hAnsi="Consolas"/>
                <w:color w:val="1F2937"/>
                <w:sz w:val="17"/>
                <w:szCs w:val="17"/>
              </w:rPr>
              <w:t xml:space="preserve">model UseCaseConsultation {</w:t>
            </w:r>
          </w:p>
          <w:p>
            <w:pPr>
              <w:spacing w:after="20" w:before="20" w:line="260"/>
            </w:pPr>
            <w:r>
              <w:rPr>
                <w:rFonts w:ascii="Consolas" w:cs="Consolas" w:eastAsia="Consolas" w:hAnsi="Consolas"/>
                <w:color w:val="1F2937"/>
                <w:sz w:val="17"/>
                <w:szCs w:val="17"/>
              </w:rPr>
              <w:t xml:space="preserve">  id               String             @id @default(cuid())</w:t>
            </w:r>
          </w:p>
          <w:p>
            <w:pPr>
              <w:spacing w:after="20" w:before="20" w:line="260"/>
            </w:pPr>
            <w:r>
              <w:rPr>
                <w:rFonts w:ascii="Consolas" w:cs="Consolas" w:eastAsia="Consolas" w:hAnsi="Consolas"/>
                <w:color w:val="1F2937"/>
                <w:sz w:val="17"/>
                <w:szCs w:val="17"/>
              </w:rPr>
              <w:t xml:space="preserve">  stakeholderId    String</w:t>
            </w:r>
          </w:p>
          <w:p>
            <w:pPr>
              <w:spacing w:after="20" w:before="20" w:line="260"/>
            </w:pPr>
            <w:r>
              <w:rPr>
                <w:rFonts w:ascii="Consolas" w:cs="Consolas" w:eastAsia="Consolas" w:hAnsi="Consolas"/>
                <w:color w:val="1F2937"/>
                <w:sz w:val="17"/>
                <w:szCs w:val="17"/>
              </w:rPr>
              <w:t xml:space="preserve">  dateDemande      DateTime           @default(now())</w:t>
            </w:r>
          </w:p>
          <w:p>
            <w:pPr>
              <w:spacing w:after="20" w:before="20" w:line="260"/>
            </w:pPr>
            <w:r>
              <w:rPr>
                <w:rFonts w:ascii="Consolas" w:cs="Consolas" w:eastAsia="Consolas" w:hAnsi="Consolas"/>
                <w:color w:val="1F2937"/>
                <w:sz w:val="17"/>
                <w:szCs w:val="17"/>
              </w:rPr>
              <w:t xml:space="preserve">  dateEcheance     DateTime</w:t>
            </w:r>
          </w:p>
          <w:p>
            <w:pPr>
              <w:spacing w:after="20" w:before="20" w:line="260"/>
            </w:pPr>
            <w:r>
              <w:rPr>
                <w:rFonts w:ascii="Consolas" w:cs="Consolas" w:eastAsia="Consolas" w:hAnsi="Consolas"/>
                <w:color w:val="1F2937"/>
                <w:sz w:val="17"/>
                <w:szCs w:val="17"/>
              </w:rPr>
              <w:t xml:space="preserve">  status           ConsultationStatus @default(EN_ATTENTE)</w:t>
            </w:r>
          </w:p>
          <w:p>
            <w:pPr>
              <w:spacing w:after="20" w:before="20" w:line="260"/>
            </w:pPr>
            <w:r>
              <w:rPr>
                <w:rFonts w:ascii="Consolas" w:cs="Consolas" w:eastAsia="Consolas" w:hAnsi="Consolas"/>
                <w:color w:val="1F2937"/>
                <w:sz w:val="17"/>
                <w:szCs w:val="17"/>
              </w:rPr>
              <w:t xml:space="preserve">  relances         Int                @default(0)</w:t>
            </w:r>
          </w:p>
          <w:p>
            <w:pPr>
              <w:spacing w:after="20" w:before="20" w:line="260"/>
            </w:pPr>
            <w:r>
              <w:rPr>
                <w:rFonts w:ascii="Consolas" w:cs="Consolas" w:eastAsia="Consolas" w:hAnsi="Consolas"/>
                <w:color w:val="1F2937"/>
                <w:sz w:val="17"/>
                <w:szCs w:val="17"/>
              </w:rPr>
              <w:t xml:space="preserve">  derniereRelance  DateTime?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stakeholder      UseCaseStakeholder @relation(fields: [stakeholderId], references: [id], onDelete: Cascade)</w:t>
            </w:r>
          </w:p>
          <w:p>
            <w:pPr>
              <w:spacing w:after="20" w:before="20" w:line="260"/>
            </w:pPr>
            <w:r>
              <w:rPr>
                <w:rFonts w:ascii="Consolas" w:cs="Consolas" w:eastAsia="Consolas" w:hAnsi="Consolas"/>
                <w:color w:val="1F2937"/>
                <w:sz w:val="17"/>
                <w:szCs w:val="17"/>
              </w:rPr>
              <w:t xml:space="preserve">  feedbacks        UseCaseFeedback[]</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@@index([stakeholderId])</w:t>
            </w:r>
          </w:p>
          <w:p>
            <w:pPr>
              <w:spacing w:after="20" w:before="20" w:line="260"/>
            </w:pPr>
            <w:r>
              <w:rPr>
                <w:rFonts w:ascii="Consolas" w:cs="Consolas" w:eastAsia="Consolas" w:hAnsi="Consolas"/>
                <w:color w:val="1F2937"/>
                <w:sz w:val="17"/>
                <w:szCs w:val="17"/>
              </w:rPr>
              <w:t xml:space="preserve">  @@index([status, dateEcheance])</w:t>
            </w:r>
          </w:p>
          <w:p>
            <w:pPr>
              <w:spacing w:after="20" w:before="20" w:line="260"/>
            </w:pPr>
            <w:r>
              <w:rPr>
                <w:rFonts w:ascii="Consolas" w:cs="Consolas" w:eastAsia="Consolas" w:hAnsi="Consolas"/>
                <w:color w:val="1F2937"/>
                <w:sz w:val="17"/>
                <w:szCs w:val="17"/>
              </w:rPr>
              <w:t xml:space="preserv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model UseCaseFeedback {</w:t>
            </w:r>
          </w:p>
          <w:p>
            <w:pPr>
              <w:spacing w:after="20" w:before="20" w:line="260"/>
            </w:pPr>
            <w:r>
              <w:rPr>
                <w:rFonts w:ascii="Consolas" w:cs="Consolas" w:eastAsia="Consolas" w:hAnsi="Consolas"/>
                <w:color w:val="1F2937"/>
                <w:sz w:val="17"/>
                <w:szCs w:val="17"/>
              </w:rPr>
              <w:t xml:space="preserve">  id               String              @id @default(cuid())</w:t>
            </w:r>
          </w:p>
          <w:p>
            <w:pPr>
              <w:spacing w:after="20" w:before="20" w:line="260"/>
            </w:pPr>
            <w:r>
              <w:rPr>
                <w:rFonts w:ascii="Consolas" w:cs="Consolas" w:eastAsia="Consolas" w:hAnsi="Consolas"/>
                <w:color w:val="1F2937"/>
                <w:sz w:val="17"/>
                <w:szCs w:val="17"/>
              </w:rPr>
              <w:t xml:space="preserve">  consultationId   String?</w:t>
            </w:r>
          </w:p>
          <w:p>
            <w:pPr>
              <w:spacing w:after="20" w:before="20" w:line="260"/>
            </w:pPr>
            <w:r>
              <w:rPr>
                <w:rFonts w:ascii="Consolas" w:cs="Consolas" w:eastAsia="Consolas" w:hAnsi="Consolas"/>
                <w:color w:val="1F2937"/>
                <w:sz w:val="17"/>
                <w:szCs w:val="17"/>
              </w:rPr>
              <w:t xml:space="preserve">  stakeholderId    String</w:t>
            </w:r>
          </w:p>
          <w:p>
            <w:pPr>
              <w:spacing w:after="20" w:before="20" w:line="260"/>
            </w:pPr>
            <w:r>
              <w:rPr>
                <w:rFonts w:ascii="Consolas" w:cs="Consolas" w:eastAsia="Consolas" w:hAnsi="Consolas"/>
                <w:color w:val="1F2937"/>
                <w:sz w:val="17"/>
                <w:szCs w:val="17"/>
              </w:rPr>
              <w:t xml:space="preserve">  type             FeedbackType</w:t>
            </w:r>
          </w:p>
          <w:p>
            <w:pPr>
              <w:spacing w:after="20" w:before="20" w:line="260"/>
            </w:pPr>
            <w:r>
              <w:rPr>
                <w:rFonts w:ascii="Consolas" w:cs="Consolas" w:eastAsia="Consolas" w:hAnsi="Consolas"/>
                <w:color w:val="1F2937"/>
                <w:sz w:val="17"/>
                <w:szCs w:val="17"/>
              </w:rPr>
              <w:t xml:space="preserve">  motivation       String              @db.Text</w:t>
            </w:r>
          </w:p>
          <w:p>
            <w:pPr>
              <w:spacing w:after="20" w:before="20" w:line="260"/>
            </w:pPr>
            <w:r>
              <w:rPr>
                <w:rFonts w:ascii="Consolas" w:cs="Consolas" w:eastAsia="Consolas" w:hAnsi="Consolas"/>
                <w:color w:val="1F2937"/>
                <w:sz w:val="17"/>
                <w:szCs w:val="17"/>
              </w:rPr>
              <w:t xml:space="preserve">  piecesJointes    Json?               // [{ filename, url, size }]</w:t>
            </w:r>
          </w:p>
          <w:p>
            <w:pPr>
              <w:spacing w:after="20" w:before="20" w:line="260"/>
            </w:pPr>
            <w:r>
              <w:rPr>
                <w:rFonts w:ascii="Consolas" w:cs="Consolas" w:eastAsia="Consolas" w:hAnsi="Consolas"/>
                <w:color w:val="1F2937"/>
                <w:sz w:val="17"/>
                <w:szCs w:val="17"/>
              </w:rPr>
              <w:t xml:space="preserve">  auteurUserId     String</w:t>
            </w:r>
          </w:p>
          <w:p>
            <w:pPr>
              <w:spacing w:after="20" w:before="20" w:line="260"/>
            </w:pPr>
            <w:r>
              <w:rPr>
                <w:rFonts w:ascii="Consolas" w:cs="Consolas" w:eastAsia="Consolas" w:hAnsi="Consolas"/>
                <w:color w:val="1F2937"/>
                <w:sz w:val="17"/>
                <w:szCs w:val="17"/>
              </w:rPr>
              <w:t xml:space="preserve">  auteurNom        String              // snapshot</w:t>
            </w:r>
          </w:p>
          <w:p>
            <w:pPr>
              <w:spacing w:after="20" w:before="20" w:line="260"/>
            </w:pPr>
            <w:r>
              <w:rPr>
                <w:rFonts w:ascii="Consolas" w:cs="Consolas" w:eastAsia="Consolas" w:hAnsi="Consolas"/>
                <w:color w:val="1F2937"/>
                <w:sz w:val="17"/>
                <w:szCs w:val="17"/>
              </w:rPr>
              <w:t xml:space="preserve">  auteurFonction   String?             // snapshot</w:t>
            </w:r>
          </w:p>
          <w:p>
            <w:pPr>
              <w:spacing w:after="20" w:before="20" w:line="260"/>
            </w:pPr>
            <w:r>
              <w:rPr>
                <w:rFonts w:ascii="Consolas" w:cs="Consolas" w:eastAsia="Consolas" w:hAnsi="Consolas"/>
                <w:color w:val="1F2937"/>
                <w:sz w:val="17"/>
                <w:szCs w:val="17"/>
              </w:rPr>
              <w:t xml:space="preserve">  dateAvis         DateTime            @default(now())</w:t>
            </w:r>
          </w:p>
          <w:p>
            <w:pPr>
              <w:spacing w:after="20" w:before="20" w:line="260"/>
            </w:pPr>
            <w:r>
              <w:rPr>
                <w:rFonts w:ascii="Consolas" w:cs="Consolas" w:eastAsia="Consolas" w:hAnsi="Consolas"/>
                <w:color w:val="1F2937"/>
                <w:sz w:val="17"/>
                <w:szCs w:val="17"/>
              </w:rPr>
              <w:t xml:space="preserve">  amendeDe         String?             // id de l'avis précédent si amendement</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consultation     UseCaseConsultation? @relation(fields: [consultationId], references: [id])</w:t>
            </w:r>
          </w:p>
          <w:p>
            <w:pPr>
              <w:spacing w:after="20" w:before="20" w:line="260"/>
            </w:pPr>
            <w:r>
              <w:rPr>
                <w:rFonts w:ascii="Consolas" w:cs="Consolas" w:eastAsia="Consolas" w:hAnsi="Consolas"/>
                <w:color w:val="1F2937"/>
                <w:sz w:val="17"/>
                <w:szCs w:val="17"/>
              </w:rPr>
              <w:t xml:space="preserve">  stakeholder      UseCaseStakeholder   @relation(fields: [stakeholderId], references: [id], onDelete: Cascade)</w:t>
            </w:r>
          </w:p>
          <w:p>
            <w:pPr>
              <w:spacing w:after="20" w:before="20" w:line="260"/>
            </w:pPr>
            <w:r>
              <w:rPr>
                <w:rFonts w:ascii="Consolas" w:cs="Consolas" w:eastAsia="Consolas" w:hAnsi="Consolas"/>
                <w:color w:val="1F2937"/>
                <w:sz w:val="17"/>
                <w:szCs w:val="17"/>
              </w:rPr>
              <w:t xml:space="preserve">  auteur           User                 @relation(fields: [auteurUserId], references: [id])</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@@index([stakeholderId, dateAvis])</w:t>
            </w:r>
          </w:p>
          <w:p>
            <w:pPr>
              <w:spacing w:after="20" w:before="20" w:line="260"/>
            </w:pPr>
            <w:r>
              <w:rPr>
                <w:rFonts w:ascii="Consolas" w:cs="Consolas" w:eastAsia="Consolas" w:hAnsi="Consolas"/>
                <w:color w:val="1F2937"/>
                <w:sz w:val="17"/>
                <w:szCs w:val="17"/>
              </w:rPr>
              <w:t xml:space="preserve">  @@index([auteurUserId])</w:t>
            </w:r>
          </w:p>
          <w:p>
            <w:pPr>
              <w:spacing w:after="20" w:before="20" w:line="260"/>
            </w:pPr>
            <w:r>
              <w:rPr>
                <w:rFonts w:ascii="Consolas" w:cs="Consolas" w:eastAsia="Consolas" w:hAnsi="Consolas"/>
                <w:color w:val="1F2937"/>
                <w:sz w:val="17"/>
                <w:szCs w:val="17"/>
              </w:rPr>
              <w:t xml:space="preserve">}</w:t>
            </w:r>
          </w:p>
        </w:tc>
      </w:tr>
    </w:tbl>
    <w:p>
      <w:pPr>
        <w:spacing w:after="60" w:before="60"/>
      </w:pPr>
    </w:p>
    <w:p>
      <w:pPr>
        <w:pStyle w:val="Heading3"/>
        <w:spacing w:after="120" w:before="240"/>
      </w:pPr>
      <w:r>
        <w:rPr>
          <w:rFonts w:ascii="Poppins" w:cs="Poppins" w:eastAsia="Poppins" w:hAnsi="Poppins"/>
          <w:b/>
          <w:bCs/>
          <w:color w:val="0C1F3A"/>
          <w:sz w:val="22"/>
          <w:szCs w:val="22"/>
        </w:rPr>
        <w:t xml:space="preserve">4.2.4 UseCaseStatusHistory et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F8F9FA" w:val="clear"/>
            <w:tcMar>
              <w:top w:type="dxa" w:w="140"/>
              <w:left w:type="dxa" w:w="200"/>
              <w:bottom w:type="dxa" w:w="140"/>
              <w:right w:type="dxa" w:w="200"/>
            </w:tcMar>
          </w:tcPr>
          <w:p>
            <w:pPr>
              <w:spacing w:after="20" w:before="20" w:line="260"/>
            </w:pPr>
            <w:r>
              <w:rPr>
                <w:rFonts w:ascii="Consolas" w:cs="Consolas" w:eastAsia="Consolas" w:hAnsi="Consolas"/>
                <w:color w:val="1F2937"/>
                <w:sz w:val="17"/>
                <w:szCs w:val="17"/>
              </w:rPr>
              <w:t xml:space="preserve">model UseCaseStatusHistory {</w:t>
            </w:r>
          </w:p>
          <w:p>
            <w:pPr>
              <w:spacing w:after="20" w:before="20" w:line="260"/>
            </w:pPr>
            <w:r>
              <w:rPr>
                <w:rFonts w:ascii="Consolas" w:cs="Consolas" w:eastAsia="Consolas" w:hAnsi="Consolas"/>
                <w:color w:val="1F2937"/>
                <w:sz w:val="17"/>
                <w:szCs w:val="17"/>
              </w:rPr>
              <w:t xml:space="preserve">  id               String        @id @default(cuid())</w:t>
            </w:r>
          </w:p>
          <w:p>
            <w:pPr>
              <w:spacing w:after="20" w:before="20" w:line="260"/>
            </w:pPr>
            <w:r>
              <w:rPr>
                <w:rFonts w:ascii="Consolas" w:cs="Consolas" w:eastAsia="Consolas" w:hAnsi="Consolas"/>
                <w:color w:val="1F2937"/>
                <w:sz w:val="17"/>
                <w:szCs w:val="17"/>
              </w:rPr>
              <w:t xml:space="preserve">  casUsageId       String</w:t>
            </w:r>
          </w:p>
          <w:p>
            <w:pPr>
              <w:spacing w:after="20" w:before="20" w:line="260"/>
            </w:pPr>
            <w:r>
              <w:rPr>
                <w:rFonts w:ascii="Consolas" w:cs="Consolas" w:eastAsia="Consolas" w:hAnsi="Consolas"/>
                <w:color w:val="1F2937"/>
                <w:sz w:val="17"/>
                <w:szCs w:val="17"/>
              </w:rPr>
              <w:t xml:space="preserve">  statusFrom       UseCaseStatus?</w:t>
            </w:r>
          </w:p>
          <w:p>
            <w:pPr>
              <w:spacing w:after="20" w:before="20" w:line="260"/>
            </w:pPr>
            <w:r>
              <w:rPr>
                <w:rFonts w:ascii="Consolas" w:cs="Consolas" w:eastAsia="Consolas" w:hAnsi="Consolas"/>
                <w:color w:val="1F2937"/>
                <w:sz w:val="17"/>
                <w:szCs w:val="17"/>
              </w:rPr>
              <w:t xml:space="preserve">  statusTo         UseCaseStatus</w:t>
            </w:r>
          </w:p>
          <w:p>
            <w:pPr>
              <w:spacing w:after="20" w:before="20" w:line="260"/>
            </w:pPr>
            <w:r>
              <w:rPr>
                <w:rFonts w:ascii="Consolas" w:cs="Consolas" w:eastAsia="Consolas" w:hAnsi="Consolas"/>
                <w:color w:val="1F2937"/>
                <w:sz w:val="17"/>
                <w:szCs w:val="17"/>
              </w:rPr>
              <w:t xml:space="preserve">  motif            String?       @db.Text</w:t>
            </w:r>
          </w:p>
          <w:p>
            <w:pPr>
              <w:spacing w:after="20" w:before="20" w:line="260"/>
            </w:pPr>
            <w:r>
              <w:rPr>
                <w:rFonts w:ascii="Consolas" w:cs="Consolas" w:eastAsia="Consolas" w:hAnsi="Consolas"/>
                <w:color w:val="1F2937"/>
                <w:sz w:val="17"/>
                <w:szCs w:val="17"/>
              </w:rPr>
              <w:t xml:space="preserve">  auteurUserId     String</w:t>
            </w:r>
          </w:p>
          <w:p>
            <w:pPr>
              <w:spacing w:after="20" w:before="20" w:line="260"/>
            </w:pPr>
            <w:r>
              <w:rPr>
                <w:rFonts w:ascii="Consolas" w:cs="Consolas" w:eastAsia="Consolas" w:hAnsi="Consolas"/>
                <w:color w:val="1F2937"/>
                <w:sz w:val="17"/>
                <w:szCs w:val="17"/>
              </w:rPr>
              <w:t xml:space="preserve">  dateTransition   DateTime      @default(now())</w:t>
            </w:r>
          </w:p>
          <w:p>
            <w:pPr>
              <w:spacing w:after="20" w:before="20" w:line="260"/>
            </w:pPr>
            <w:r>
              <w:rPr>
                <w:rFonts w:ascii="Consolas" w:cs="Consolas" w:eastAsia="Consolas" w:hAnsi="Consolas"/>
                <w:color w:val="1F2937"/>
                <w:sz w:val="17"/>
                <w:szCs w:val="17"/>
              </w:rPr>
              <w:t xml:space="preserve">  pieceJustif      String?</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casUsage         CasUsageMVP   @relation(fields: [casUsageId], references: [id], onDelete: Cascade)</w:t>
            </w:r>
          </w:p>
          <w:p>
            <w:pPr>
              <w:spacing w:after="20" w:before="20" w:line="260"/>
            </w:pPr>
            <w:r>
              <w:rPr>
                <w:rFonts w:ascii="Consolas" w:cs="Consolas" w:eastAsia="Consolas" w:hAnsi="Consolas"/>
                <w:color w:val="1F2937"/>
                <w:sz w:val="17"/>
                <w:szCs w:val="17"/>
              </w:rPr>
              <w:t xml:space="preserve">  auteur           User          @relation(fields: [auteurUserId], references: [id])</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@@index([casUsageId, dateTransition])</w:t>
            </w:r>
          </w:p>
          <w:p>
            <w:pPr>
              <w:spacing w:after="20" w:before="20" w:line="260"/>
            </w:pPr>
            <w:r>
              <w:rPr>
                <w:rFonts w:ascii="Consolas" w:cs="Consolas" w:eastAsia="Consolas" w:hAnsi="Consolas"/>
                <w:color w:val="1F2937"/>
                <w:sz w:val="17"/>
                <w:szCs w:val="17"/>
              </w:rPr>
              <w:t xml:space="preserv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model Notification {</w:t>
            </w:r>
          </w:p>
          <w:p>
            <w:pPr>
              <w:spacing w:after="20" w:before="20" w:line="260"/>
            </w:pPr>
            <w:r>
              <w:rPr>
                <w:rFonts w:ascii="Consolas" w:cs="Consolas" w:eastAsia="Consolas" w:hAnsi="Consolas"/>
                <w:color w:val="1F2937"/>
                <w:sz w:val="17"/>
                <w:szCs w:val="17"/>
              </w:rPr>
              <w:t xml:space="preserve">  id            String        @id @default(cuid())</w:t>
            </w:r>
          </w:p>
          <w:p>
            <w:pPr>
              <w:spacing w:after="20" w:before="20" w:line="260"/>
            </w:pPr>
            <w:r>
              <w:rPr>
                <w:rFonts w:ascii="Consolas" w:cs="Consolas" w:eastAsia="Consolas" w:hAnsi="Consolas"/>
                <w:color w:val="1F2937"/>
                <w:sz w:val="17"/>
                <w:szCs w:val="17"/>
              </w:rPr>
              <w:t xml:space="preserve">  userId        String</w:t>
            </w:r>
          </w:p>
          <w:p>
            <w:pPr>
              <w:spacing w:after="20" w:before="20" w:line="260"/>
            </w:pPr>
            <w:r>
              <w:rPr>
                <w:rFonts w:ascii="Consolas" w:cs="Consolas" w:eastAsia="Consolas" w:hAnsi="Consolas"/>
                <w:color w:val="1F2937"/>
                <w:sz w:val="17"/>
                <w:szCs w:val="17"/>
              </w:rPr>
              <w:t xml:space="preserve">  institutionId String?</w:t>
            </w:r>
          </w:p>
          <w:p>
            <w:pPr>
              <w:spacing w:after="20" w:before="20" w:line="260"/>
            </w:pPr>
            <w:r>
              <w:rPr>
                <w:rFonts w:ascii="Consolas" w:cs="Consolas" w:eastAsia="Consolas" w:hAnsi="Consolas"/>
                <w:color w:val="1F2937"/>
                <w:sz w:val="17"/>
                <w:szCs w:val="17"/>
              </w:rPr>
              <w:t xml:space="preserve">  type          String        // CONSULTATION_OUVERTE, AVIS_RECU, RELANCE, ARBITRAGE, etc.</w:t>
            </w:r>
          </w:p>
          <w:p>
            <w:pPr>
              <w:spacing w:after="20" w:before="20" w:line="260"/>
            </w:pPr>
            <w:r>
              <w:rPr>
                <w:rFonts w:ascii="Consolas" w:cs="Consolas" w:eastAsia="Consolas" w:hAnsi="Consolas"/>
                <w:color w:val="1F2937"/>
                <w:sz w:val="17"/>
                <w:szCs w:val="17"/>
              </w:rPr>
              <w:t xml:space="preserve">  titre         String</w:t>
            </w:r>
          </w:p>
          <w:p>
            <w:pPr>
              <w:spacing w:after="20" w:before="20" w:line="260"/>
            </w:pPr>
            <w:r>
              <w:rPr>
                <w:rFonts w:ascii="Consolas" w:cs="Consolas" w:eastAsia="Consolas" w:hAnsi="Consolas"/>
                <w:color w:val="1F2937"/>
                <w:sz w:val="17"/>
                <w:szCs w:val="17"/>
              </w:rPr>
              <w:t xml:space="preserve">  message       String        @db.Text</w:t>
            </w:r>
          </w:p>
          <w:p>
            <w:pPr>
              <w:spacing w:after="20" w:before="20" w:line="260"/>
            </w:pPr>
            <w:r>
              <w:rPr>
                <w:rFonts w:ascii="Consolas" w:cs="Consolas" w:eastAsia="Consolas" w:hAnsi="Consolas"/>
                <w:color w:val="1F2937"/>
                <w:sz w:val="17"/>
                <w:szCs w:val="17"/>
              </w:rPr>
              <w:t xml:space="preserve">  lienUrl       String?       // deep link vers la page détail</w:t>
            </w:r>
          </w:p>
          <w:p>
            <w:pPr>
              <w:spacing w:after="20" w:before="20" w:line="260"/>
            </w:pPr>
            <w:r>
              <w:rPr>
                <w:rFonts w:ascii="Consolas" w:cs="Consolas" w:eastAsia="Consolas" w:hAnsi="Consolas"/>
                <w:color w:val="1F2937"/>
                <w:sz w:val="17"/>
                <w:szCs w:val="17"/>
              </w:rPr>
              <w:t xml:space="preserve">  lu            Boolean       @default(false)</w:t>
            </w:r>
          </w:p>
          <w:p>
            <w:pPr>
              <w:spacing w:after="20" w:before="20" w:line="260"/>
            </w:pPr>
            <w:r>
              <w:rPr>
                <w:rFonts w:ascii="Consolas" w:cs="Consolas" w:eastAsia="Consolas" w:hAnsi="Consolas"/>
                <w:color w:val="1F2937"/>
                <w:sz w:val="17"/>
                <w:szCs w:val="17"/>
              </w:rPr>
              <w:t xml:space="preserve">  dateLu        DateTime?</w:t>
            </w:r>
          </w:p>
          <w:p>
            <w:pPr>
              <w:spacing w:after="20" w:before="20" w:line="260"/>
            </w:pPr>
            <w:r>
              <w:rPr>
                <w:rFonts w:ascii="Consolas" w:cs="Consolas" w:eastAsia="Consolas" w:hAnsi="Consolas"/>
                <w:color w:val="1F2937"/>
                <w:sz w:val="17"/>
                <w:szCs w:val="17"/>
              </w:rPr>
              <w:t xml:space="preserve">  dateCreation  DateTime      @default(now())</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user          User          @relation(fields: [userId], references: [id])</w:t>
            </w:r>
          </w:p>
          <w:p>
            <w:pPr>
              <w:spacing w:after="20" w:before="20" w:line="260"/>
            </w:pPr>
            <w:r>
              <w:rPr>
                <w:rFonts w:ascii="Consolas" w:cs="Consolas" w:eastAsia="Consolas" w:hAnsi="Consolas"/>
                <w:color w:val="1F2937"/>
                <w:sz w:val="17"/>
                <w:szCs w:val="17"/>
              </w:rPr>
              <w:t xml:space="preserve">  institution   Institution?  @relation(fields: [institutionId], references: [id])</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@@index([userId, lu, dateCreation])</w:t>
            </w:r>
          </w:p>
          <w:p>
            <w:pPr>
              <w:spacing w:after="20" w:before="20" w:line="260"/>
            </w:pPr>
            <w:r>
              <w:rPr>
                <w:rFonts w:ascii="Consolas" w:cs="Consolas" w:eastAsia="Consolas" w:hAnsi="Consolas"/>
                <w:color w:val="1F2937"/>
                <w:sz w:val="17"/>
                <w:szCs w:val="17"/>
              </w:rPr>
              <w:t xml:space="preserve">}</w:t>
            </w:r>
          </w:p>
        </w:tc>
      </w:tr>
    </w:tbl>
    <w:p>
      <w:pPr>
        <w:pStyle w:val="Heading2"/>
        <w:spacing w:after="160" w:before="300"/>
      </w:pPr>
      <w:r>
        <w:rPr>
          <w:rFonts w:ascii="Poppins" w:cs="Poppins" w:eastAsia="Poppins" w:hAnsi="Poppins"/>
          <w:b/>
          <w:bCs/>
          <w:color w:val="0A6B68"/>
          <w:sz w:val="26"/>
          <w:szCs w:val="26"/>
        </w:rPr>
        <w:t xml:space="preserve">4.3 Règles de visibilité (implémentation)</w:t>
      </w:r>
    </w:p>
    <w:p>
      <w:pPr>
        <w:spacing w:after="80" w:before="80" w:line="300"/>
        <w:jc w:val="both"/>
      </w:pPr>
      <w:r>
        <w:rPr>
          <w:rFonts w:ascii="Poppins" w:cs="Poppins" w:eastAsia="Poppins" w:hAnsi="Poppins"/>
          <w:color w:val="1F2937"/>
          <w:sz w:val="20"/>
          <w:szCs w:val="20"/>
        </w:rPr>
        <w:t xml:space="preserve">Les règles de visibilité définies en section 2.2 sont implémentées au niveau du service backend, dans un middleware d'autorisation appelé à chaque endpoint exposant un cas d'usage. L'algorithme est le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F4F6F8" w:val="clear"/>
            <w:tcMar>
              <w:top w:type="dxa" w:w="140"/>
              <w:left w:type="dxa" w:w="200"/>
              <w:bottom w:type="dxa" w:w="140"/>
              <w:right w:type="dxa" w:w="200"/>
            </w:tcMar>
          </w:tcPr>
          <w:p>
            <w:pPr>
              <w:spacing w:after="20" w:before="20" w:line="260"/>
            </w:pPr>
            <w:r>
              <w:rPr>
                <w:rFonts w:ascii="Consolas" w:cs="Consolas" w:eastAsia="Consolas" w:hAnsi="Consolas"/>
                <w:color w:val="1F2937"/>
                <w:sz w:val="17"/>
                <w:szCs w:val="17"/>
              </w:rPr>
              <w:t xml:space="preserve">function computeVisibility(user, casUsage) {</w:t>
            </w:r>
          </w:p>
          <w:p>
            <w:pPr>
              <w:spacing w:after="20" w:before="20" w:line="260"/>
            </w:pPr>
            <w:r>
              <w:rPr>
                <w:rFonts w:ascii="Consolas" w:cs="Consolas" w:eastAsia="Consolas" w:hAnsi="Consolas"/>
                <w:color w:val="1F2937"/>
                <w:sz w:val="17"/>
                <w:szCs w:val="17"/>
              </w:rPr>
              <w:t xml:space="preserve">  // DU / SENUM : visibilité totale</w:t>
            </w:r>
          </w:p>
          <w:p>
            <w:pPr>
              <w:spacing w:after="20" w:before="20" w:line="260"/>
            </w:pPr>
            <w:r>
              <w:rPr>
                <w:rFonts w:ascii="Consolas" w:cs="Consolas" w:eastAsia="Consolas" w:hAnsi="Consolas"/>
                <w:color w:val="1F2937"/>
                <w:sz w:val="17"/>
                <w:szCs w:val="17"/>
              </w:rPr>
              <w:t xml:space="preserve">  if (user.roles.includes('DU') || user.roles.includes('SENUM_ADMIN')) {</w:t>
            </w:r>
          </w:p>
          <w:p>
            <w:pPr>
              <w:spacing w:after="20" w:before="20" w:line="260"/>
            </w:pPr>
            <w:r>
              <w:rPr>
                <w:rFonts w:ascii="Consolas" w:cs="Consolas" w:eastAsia="Consolas" w:hAnsi="Consolas"/>
                <w:color w:val="1F2937"/>
                <w:sz w:val="17"/>
                <w:szCs w:val="17"/>
              </w:rPr>
              <w:t xml:space="preserve">    return { level: 'FULL', fields: '*' };</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 Partie prenante formelle : visibilité détaillée</w:t>
            </w:r>
          </w:p>
          <w:p>
            <w:pPr>
              <w:spacing w:after="20" w:before="20" w:line="260"/>
            </w:pPr>
            <w:r>
              <w:rPr>
                <w:rFonts w:ascii="Consolas" w:cs="Consolas" w:eastAsia="Consolas" w:hAnsi="Consolas"/>
                <w:color w:val="1F2937"/>
                <w:sz w:val="17"/>
                <w:szCs w:val="17"/>
              </w:rPr>
              <w:t xml:space="preserve">  const isStakeholder = casUsage.stakeholders.some(</w:t>
            </w:r>
          </w:p>
          <w:p>
            <w:pPr>
              <w:spacing w:after="20" w:before="20" w:line="260"/>
            </w:pPr>
            <w:r>
              <w:rPr>
                <w:rFonts w:ascii="Consolas" w:cs="Consolas" w:eastAsia="Consolas" w:hAnsi="Consolas"/>
                <w:color w:val="1F2937"/>
                <w:sz w:val="17"/>
                <w:szCs w:val="17"/>
              </w:rPr>
              <w:t xml:space="preserve">    s =&gt; s.institutionId === user.institutionId &amp;&amp; s.actif</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if (isStakeholder) {</w:t>
            </w:r>
          </w:p>
          <w:p>
            <w:pPr>
              <w:spacing w:after="20" w:before="20" w:line="260"/>
            </w:pPr>
            <w:r>
              <w:rPr>
                <w:rFonts w:ascii="Consolas" w:cs="Consolas" w:eastAsia="Consolas" w:hAnsi="Consolas"/>
                <w:color w:val="1F2937"/>
                <w:sz w:val="17"/>
                <w:szCs w:val="17"/>
              </w:rPr>
              <w:t xml:space="preserve">    return { level: 'DETAILED', fields: ALL_FIELDS_EXCEPT_AUDIT_LOGS };</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 Toute admin PINS connectée : métadonnées uniquement</w:t>
            </w:r>
          </w:p>
          <w:p>
            <w:pPr>
              <w:spacing w:after="20" w:before="20" w:line="260"/>
            </w:pPr>
            <w:r>
              <w:rPr>
                <w:rFonts w:ascii="Consolas" w:cs="Consolas" w:eastAsia="Consolas" w:hAnsi="Consolas"/>
                <w:color w:val="1F2937"/>
                <w:sz w:val="17"/>
                <w:szCs w:val="17"/>
              </w:rPr>
              <w:t xml:space="preserve">  if (user.institutionId &amp;&amp; user.institution.pinsConnecte) {</w:t>
            </w:r>
          </w:p>
          <w:p>
            <w:pPr>
              <w:spacing w:after="20" w:before="20" w:line="260"/>
            </w:pPr>
            <w:r>
              <w:rPr>
                <w:rFonts w:ascii="Consolas" w:cs="Consolas" w:eastAsia="Consolas" w:hAnsi="Consolas"/>
                <w:color w:val="1F2937"/>
                <w:sz w:val="17"/>
                <w:szCs w:val="17"/>
              </w:rPr>
              <w:t xml:space="preserve">    return { level: 'METADATA', fields: PUBLIC_METADATA_FIELDS };</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 Par défaut : aucun accès</w:t>
            </w:r>
          </w:p>
          <w:p>
            <w:pPr>
              <w:spacing w:after="20" w:before="20" w:line="260"/>
            </w:pPr>
            <w:r>
              <w:rPr>
                <w:rFonts w:ascii="Consolas" w:cs="Consolas" w:eastAsia="Consolas" w:hAnsi="Consolas"/>
                <w:color w:val="1F2937"/>
                <w:sz w:val="17"/>
                <w:szCs w:val="17"/>
              </w:rPr>
              <w:t xml:space="preserve">  return { level: 'NONE', fields: [] };</w:t>
            </w:r>
          </w:p>
          <w:p>
            <w:pPr>
              <w:spacing w:after="20" w:before="20" w:line="260"/>
            </w:pPr>
            <w:r>
              <w:rPr>
                <w:rFonts w:ascii="Consolas" w:cs="Consolas" w:eastAsia="Consolas" w:hAnsi="Consolas"/>
                <w:color w:val="1F2937"/>
                <w:sz w:val="17"/>
                <w:szCs w:val="17"/>
              </w:rPr>
              <w:t xml:space="preserve">}</w:t>
            </w:r>
          </w:p>
        </w:tc>
      </w:tr>
    </w:tbl>
    <w:p>
      <w:pPr>
        <w:spacing w:after="60" w:before="60"/>
      </w:pPr>
    </w:p>
    <w:p>
      <w:pPr>
        <w:spacing w:after="80" w:before="80" w:line="300"/>
        <w:jc w:val="both"/>
      </w:pPr>
      <w:r>
        <w:rPr>
          <w:rFonts w:ascii="Poppins" w:cs="Poppins" w:eastAsia="Poppins" w:hAnsi="Poppins"/>
          <w:color w:val="1F2937"/>
          <w:sz w:val="20"/>
          <w:szCs w:val="20"/>
        </w:rPr>
        <w:t xml:space="preserve">Les champs publics (PUBLIC_METADATA_FIELDS) comprennent : id, identifiantPINS, titre, resumeMetier, baseLegale, institutionInitiatriceId, liste des stakeholders (institutionId + role uniquement, sans détails), statut courant, dates de création et dernière transition. Tous les autres champs — spécifications techniques, champs de données, volumétrie, fil d'avis, pièces jointes — sont conditionnés à la visibilité détaillée.</w:t>
      </w:r>
    </w:p>
    <w:p>
      <w:pPr>
        <w:pStyle w:val="Heading2"/>
        <w:spacing w:after="160" w:before="300"/>
      </w:pPr>
      <w:r>
        <w:rPr>
          <w:rFonts w:ascii="Poppins" w:cs="Poppins" w:eastAsia="Poppins" w:hAnsi="Poppins"/>
          <w:b/>
          <w:bCs/>
          <w:color w:val="0A6B68"/>
          <w:sz w:val="26"/>
          <w:szCs w:val="26"/>
        </w:rPr>
        <w:t xml:space="preserve">4.4 Migration des données existantes</w:t>
      </w:r>
    </w:p>
    <w:p>
      <w:pPr>
        <w:spacing w:after="80" w:before="80" w:line="300"/>
        <w:jc w:val="both"/>
      </w:pPr>
      <w:r>
        <w:rPr>
          <w:rFonts w:ascii="Poppins" w:cs="Poppins" w:eastAsia="Poppins" w:hAnsi="Poppins"/>
          <w:color w:val="1F2937"/>
          <w:sz w:val="20"/>
          <w:szCs w:val="20"/>
        </w:rPr>
        <w:t xml:space="preserve">La migration s'effectue en deux temps :</w:t>
      </w:r>
    </w:p>
    <w:p>
      <w:pPr>
        <w:pStyle w:val="ListParagraph"/>
        <w:numPr>
          <w:ilvl w:val="0"/>
          <w:numId w:val="2"/>
        </w:numPr>
        <w:spacing w:after="60" w:before="60" w:line="280"/>
      </w:pPr>
      <w:r>
        <w:rPr>
          <w:rFonts w:ascii="Poppins" w:cs="Poppins" w:eastAsia="Poppins" w:hAnsi="Poppins"/>
          <w:b/>
          <w:bCs/>
          <w:color w:val="1F2937"/>
          <w:sz w:val="20"/>
          <w:szCs w:val="20"/>
        </w:rPr>
        <w:t xml:space="preserve">Migration structurelle (Prisma Migrate)</w:t>
      </w:r>
      <w:r>
        <w:rPr>
          <w:rFonts w:ascii="Poppins" w:cs="Poppins" w:eastAsia="Poppins" w:hAnsi="Poppins"/>
          <w:color w:val="1F2937"/>
          <w:sz w:val="20"/>
          <w:szCs w:val="20"/>
        </w:rPr>
        <w:t xml:space="preserve"> — génération et application de la migration SQL ajoutant les nouvelles tables et énumérations. Les tables existantes ne sont pas altérées.</w:t>
      </w:r>
    </w:p>
    <w:p>
      <w:pPr>
        <w:pStyle w:val="ListParagraph"/>
        <w:numPr>
          <w:ilvl w:val="0"/>
          <w:numId w:val="2"/>
        </w:numPr>
        <w:spacing w:after="60" w:before="60" w:line="280"/>
      </w:pPr>
      <w:r>
        <w:rPr>
          <w:rFonts w:ascii="Poppins" w:cs="Poppins" w:eastAsia="Poppins" w:hAnsi="Poppins"/>
          <w:b/>
          <w:bCs/>
          <w:color w:val="1F2937"/>
          <w:sz w:val="20"/>
          <w:szCs w:val="20"/>
        </w:rPr>
        <w:t xml:space="preserve">Migration fonctionnelle (script de seed dédié)</w:t>
      </w:r>
      <w:r>
        <w:rPr>
          <w:rFonts w:ascii="Poppins" w:cs="Poppins" w:eastAsia="Poppins" w:hAnsi="Poppins"/>
          <w:color w:val="1F2937"/>
          <w:sz w:val="20"/>
          <w:szCs w:val="20"/>
        </w:rPr>
        <w:t xml:space="preserve"> — pour chaque CasUsageMVP existant, création des UseCaseStakeholder à partir des FluxInstitution correspondants, avec un mapping automatique :</w:t>
      </w:r>
    </w:p>
    <w:p>
      <w:pPr>
        <w:pStyle w:val="ListParagraph"/>
        <w:numPr>
          <w:ilvl w:val="0"/>
          <w:numId w:val="2"/>
        </w:numPr>
        <w:spacing w:after="60" w:before="60" w:line="280"/>
      </w:pPr>
      <w:r>
        <w:rPr>
          <w:rFonts w:ascii="Poppins" w:cs="Poppins" w:eastAsia="Poppins" w:hAnsi="Poppins"/>
          <w:color w:val="1F2937"/>
          <w:sz w:val="20"/>
          <w:szCs w:val="20"/>
        </w:rPr>
        <w:t xml:space="preserve">l'institution initiatrice identifiée dans CasUsageMVP.institutionInitiatriceId devient stakeholder avec rôle INITIATEUR ;</w:t>
      </w:r>
    </w:p>
    <w:p>
      <w:pPr>
        <w:pStyle w:val="ListParagraph"/>
        <w:numPr>
          <w:ilvl w:val="0"/>
          <w:numId w:val="2"/>
        </w:numPr>
        <w:spacing w:after="60" w:before="60" w:line="280"/>
      </w:pPr>
      <w:r>
        <w:rPr>
          <w:rFonts w:ascii="Poppins" w:cs="Poppins" w:eastAsia="Poppins" w:hAnsi="Poppins"/>
          <w:color w:val="1F2937"/>
          <w:sz w:val="20"/>
          <w:szCs w:val="20"/>
        </w:rPr>
        <w:t xml:space="preserve">l'institution fournisseuse déclarée dans FluxInstitution.sourceInstitutionId devient stakeholder FOURNISSEUR ;</w:t>
      </w:r>
    </w:p>
    <w:p>
      <w:pPr>
        <w:pStyle w:val="ListParagraph"/>
        <w:numPr>
          <w:ilvl w:val="0"/>
          <w:numId w:val="2"/>
        </w:numPr>
        <w:spacing w:after="60" w:before="60" w:line="280"/>
      </w:pPr>
      <w:r>
        <w:rPr>
          <w:rFonts w:ascii="Poppins" w:cs="Poppins" w:eastAsia="Poppins" w:hAnsi="Poppins"/>
          <w:color w:val="1F2937"/>
          <w:sz w:val="20"/>
          <w:szCs w:val="20"/>
        </w:rPr>
        <w:t xml:space="preserve">l'institution destinataire déclarée dans FluxInstitution.cibleInstitutionId devient stakeholder CONSOMMATEUR ;</w:t>
      </w:r>
    </w:p>
    <w:p>
      <w:pPr>
        <w:pStyle w:val="ListParagraph"/>
        <w:numPr>
          <w:ilvl w:val="0"/>
          <w:numId w:val="2"/>
        </w:numPr>
        <w:spacing w:after="60" w:before="60" w:line="280"/>
      </w:pPr>
      <w:r>
        <w:rPr>
          <w:rFonts w:ascii="Poppins" w:cs="Poppins" w:eastAsia="Poppins" w:hAnsi="Poppins"/>
          <w:color w:val="1F2937"/>
          <w:sz w:val="20"/>
          <w:szCs w:val="20"/>
        </w:rPr>
        <w:t xml:space="preserve">aucune PARTIE_PRENANTE n'est créée automatiquement : ce rôle est réservé à l'auto-saisine ou à la désignation manuelle ultérieure.</w:t>
      </w:r>
    </w:p>
    <w:p>
      <w:pPr>
        <w:spacing w:after="60" w:before="60"/>
      </w:pPr>
    </w:p>
    <w:p>
      <w:pPr>
        <w:spacing w:after="80" w:before="80" w:line="300"/>
        <w:jc w:val="both"/>
      </w:pPr>
      <w:r>
        <w:rPr>
          <w:rFonts w:ascii="Poppins" w:cs="Poppins" w:eastAsia="Poppins" w:hAnsi="Poppins"/>
          <w:color w:val="1F2937"/>
          <w:sz w:val="20"/>
          <w:szCs w:val="20"/>
        </w:rPr>
        <w:t xml:space="preserve">Le script de migration est idempotent et produit un rapport de contrôle listant les cas d'usage migrés, ceux nécessitant une correction manuelle (données incomplètes, incohérences), et les doublons éventuels à trancher.</w:t>
      </w:r>
    </w:p>
    <w:p>
      <w:r>
        <w:br w:type="page"/>
      </w:r>
    </w:p>
    <w:p>
      <w:pPr>
        <w:pStyle w:val="Heading1"/>
        <w:spacing w:after="200" w:before="400"/>
      </w:pPr>
      <w:r>
        <w:rPr>
          <w:rFonts w:ascii="Poppins" w:cs="Poppins" w:eastAsia="Poppins" w:hAnsi="Poppins"/>
          <w:b/>
          <w:bCs/>
          <w:color w:val="0C1F3A"/>
          <w:sz w:val="32"/>
          <w:szCs w:val="32"/>
        </w:rPr>
        <w:t xml:space="preserve">5. Spécification des API</w:t>
      </w:r>
    </w:p>
    <w:p>
      <w:pPr>
        <w:pStyle w:val="Heading2"/>
        <w:spacing w:after="160" w:before="300"/>
      </w:pPr>
      <w:r>
        <w:rPr>
          <w:rFonts w:ascii="Poppins" w:cs="Poppins" w:eastAsia="Poppins" w:hAnsi="Poppins"/>
          <w:b/>
          <w:bCs/>
          <w:color w:val="0A6B68"/>
          <w:sz w:val="26"/>
          <w:szCs w:val="26"/>
        </w:rPr>
        <w:t xml:space="preserve">5.1 Vue d'ensemble des endpoints</w:t>
      </w:r>
    </w:p>
    <w:p>
      <w:pPr>
        <w:spacing w:after="80" w:before="80" w:line="300"/>
        <w:jc w:val="both"/>
      </w:pPr>
      <w:r>
        <w:rPr>
          <w:rFonts w:ascii="Poppins" w:cs="Poppins" w:eastAsia="Poppins" w:hAnsi="Poppins"/>
          <w:color w:val="1F2937"/>
          <w:sz w:val="20"/>
          <w:szCs w:val="20"/>
        </w:rPr>
        <w:t xml:space="preserve">Les endpoints sont organisés en quatre familles fonctionnelles : catalogue général (préfixe /api/use-cases), vue personnelle de l'utilisateur connecté (préfixe /api/me), gestion des consultations et avis (préfixe /api/consultations et /api/feedback), arbitrage DU (préfixe /api/du).</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500"/>
        <w:gridCol w:w="1526"/>
      </w:tblGrid>
      <w:tr>
        <w:trPr>
          <w:tblHeader/>
        </w:trPr>
        <w:tc>
          <w:tcPr>
            <w:tcW w:type="dxa" w:w="9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Méthode</w:t>
            </w:r>
          </w:p>
        </w:tc>
        <w:tc>
          <w:tcPr>
            <w:tcW w:type="dxa" w:w="31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Endpoint</w:t>
            </w:r>
          </w:p>
        </w:tc>
        <w:tc>
          <w:tcPr>
            <w:tcW w:type="dxa" w:w="35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Description</w:t>
            </w:r>
          </w:p>
        </w:tc>
        <w:tc>
          <w:tcPr>
            <w:tcW w:type="dxa" w:w="15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Rôle requis</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6"/>
                <w:szCs w:val="16"/>
              </w:rPr>
              <w:t xml:space="preserve">GET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/api/use-cases/catalog</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Liste paginée de tous les cas d'usage avec visibilité métadonnées.</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AUTH</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6"/>
                <w:szCs w:val="16"/>
              </w:rPr>
              <w:t xml:space="preserve">GET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/api/use-cases/:id</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Détail d'un cas d'usage avec visibilité conditionnelle.</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AUTH</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6"/>
                <w:szCs w:val="16"/>
              </w:rPr>
              <w:t xml:space="preserve">POST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/api/use-cases</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Création d'un cas d'usage (déclaration).</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POINT_FOCAL</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D4A820"/>
                <w:sz w:val="16"/>
                <w:szCs w:val="16"/>
              </w:rPr>
              <w:t xml:space="preserve">PATCH</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/api/use-cases/:id</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Modification du cas d'usage.</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INITIATEUR / DU</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6"/>
                <w:szCs w:val="16"/>
              </w:rPr>
              <w:t xml:space="preserve">POST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/api/use-cases/:id/transition</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Transition d'état avec motif.</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DU / INITIATEUR</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6"/>
                <w:szCs w:val="16"/>
              </w:rPr>
              <w:t xml:space="preserve">GET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/api/me/use-cases/incoming</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Sollicitations en attente d'avis de mon institution.</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AUTH</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6"/>
                <w:szCs w:val="16"/>
              </w:rPr>
              <w:t xml:space="preserve">GET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/api/me/use-cases/outgoing</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Cas d'usage initiés par mon institution.</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AUTH</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6"/>
                <w:szCs w:val="16"/>
              </w:rPr>
              <w:t xml:space="preserve">GET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/api/me/use-cases/involved</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Cas d'usage qui me concernent (vue 360°).</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AUTH</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6"/>
                <w:szCs w:val="16"/>
              </w:rPr>
              <w:t xml:space="preserve">GET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/api/me/use-cases/radar</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Radar sectoriel — cas d'usage matchant mon périmètre.</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AUTH</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6"/>
                <w:szCs w:val="16"/>
              </w:rPr>
              <w:t xml:space="preserve">POST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/api/use-cases/:id/stakeholders</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Ajout d'une partie prenante (désignation ou auto-saisine).</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AUTH</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C1F3A"/>
                <w:sz w:val="16"/>
                <w:szCs w:val="16"/>
              </w:rPr>
              <w:t xml:space="preserve">DELETE</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/api/use-cases/:id/stakeholders/:sid</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Retrait d'une partie prenante.</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DU / INITIATEUR</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6"/>
                <w:szCs w:val="16"/>
              </w:rPr>
              <w:t xml:space="preserve">POST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/api/consultations/:id/feedback</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Soumission d'un avis formel.</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POINT_FOCAL / DIRECTEUR_SI</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D4A820"/>
                <w:sz w:val="16"/>
                <w:szCs w:val="16"/>
              </w:rPr>
              <w:t xml:space="preserve">PATCH</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/api/feedback/:id/amend</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Amendement d'un avis (crée un nouvel avis lié).</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POINT_FOCAL</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6"/>
                <w:szCs w:val="16"/>
              </w:rPr>
              <w:t xml:space="preserve">POST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/api/consultations/:id/relance</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Relance d'une partie prenante en retard.</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DU / INITIATEUR</w:t>
            </w:r>
          </w:p>
        </w:tc>
      </w:tr>
      <w:tr>
        <w:tc>
          <w:tcPr>
            <w:tcW w:type="dxa" w:w="9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0A6B68"/>
                <w:sz w:val="16"/>
                <w:szCs w:val="16"/>
              </w:rPr>
              <w:t xml:space="preserve">GET</w:t>
            </w:r>
          </w:p>
        </w:tc>
        <w:tc>
          <w:tcPr>
            <w:tcW w:type="dxa" w:w="3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/api/du/arbitrage</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6"/>
                <w:szCs w:val="16"/>
              </w:rPr>
              <w:t xml:space="preserve">File d'attente d'arbitrage DU.</w:t>
            </w:r>
          </w:p>
        </w:tc>
        <w:tc>
          <w:tcPr>
            <w:tcW w:type="dxa" w:w="15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374151"/>
                <w:sz w:val="16"/>
                <w:szCs w:val="16"/>
              </w:rPr>
              <w:t xml:space="preserve">DU</w:t>
            </w:r>
          </w:p>
        </w:tc>
      </w:tr>
    </w:tbl>
    <w:p>
      <w:pPr>
        <w:spacing w:after="60" w:before="60"/>
      </w:pPr>
    </w:p>
    <w:p>
      <w:pPr>
        <w:pStyle w:val="Heading2"/>
        <w:spacing w:after="160" w:before="300"/>
      </w:pPr>
      <w:r>
        <w:rPr>
          <w:rFonts w:ascii="Poppins" w:cs="Poppins" w:eastAsia="Poppins" w:hAnsi="Poppins"/>
          <w:b/>
          <w:bCs/>
          <w:color w:val="0A6B68"/>
          <w:sz w:val="26"/>
          <w:szCs w:val="26"/>
        </w:rPr>
        <w:t xml:space="preserve">5.2 Règles d'autorisation</w:t>
      </w:r>
    </w:p>
    <w:p>
      <w:pPr>
        <w:spacing w:after="80" w:before="80" w:line="300"/>
        <w:jc w:val="both"/>
      </w:pPr>
      <w:r>
        <w:rPr>
          <w:rFonts w:ascii="Poppins" w:cs="Poppins" w:eastAsia="Poppins" w:hAnsi="Poppins"/>
          <w:color w:val="1F2937"/>
          <w:sz w:val="20"/>
          <w:szCs w:val="20"/>
        </w:rPr>
        <w:t xml:space="preserve">L'autorisation combine trois dimensions :</w:t>
      </w:r>
    </w:p>
    <w:p>
      <w:pPr>
        <w:pStyle w:val="ListParagraph"/>
        <w:numPr>
          <w:ilvl w:val="0"/>
          <w:numId w:val="2"/>
        </w:numPr>
        <w:spacing w:after="60" w:before="60" w:line="280"/>
      </w:pPr>
      <w:r>
        <w:rPr>
          <w:rFonts w:ascii="Poppins" w:cs="Poppins" w:eastAsia="Poppins" w:hAnsi="Poppins"/>
          <w:b/>
          <w:bCs/>
          <w:color w:val="1F2937"/>
          <w:sz w:val="20"/>
          <w:szCs w:val="20"/>
        </w:rPr>
        <w:t xml:space="preserve">Le rôle fonctionnel de l'utilisateur</w:t>
      </w:r>
      <w:r>
        <w:rPr>
          <w:rFonts w:ascii="Poppins" w:cs="Poppins" w:eastAsia="Poppins" w:hAnsi="Poppins"/>
          <w:color w:val="1F2937"/>
          <w:sz w:val="20"/>
          <w:szCs w:val="20"/>
        </w:rPr>
        <w:t xml:space="preserve"> : AUTH (tout utilisateur authentifié), POINT_FOCAL (interlocuteur désigné de l'institution), DIRECTEUR_SI (signataire hiérarchique), DU (agent Delivery Unit), SENUM_ADMIN.</w:t>
      </w:r>
    </w:p>
    <w:p>
      <w:pPr>
        <w:pStyle w:val="ListParagraph"/>
        <w:numPr>
          <w:ilvl w:val="0"/>
          <w:numId w:val="2"/>
        </w:numPr>
        <w:spacing w:after="60" w:before="60" w:line="280"/>
      </w:pPr>
      <w:r>
        <w:rPr>
          <w:rFonts w:ascii="Poppins" w:cs="Poppins" w:eastAsia="Poppins" w:hAnsi="Poppins"/>
          <w:b/>
          <w:bCs/>
          <w:color w:val="1F2937"/>
          <w:sz w:val="20"/>
          <w:szCs w:val="20"/>
        </w:rPr>
        <w:t xml:space="preserve">Son appartenance institutionnelle</w:t>
      </w:r>
      <w:r>
        <w:rPr>
          <w:rFonts w:ascii="Poppins" w:cs="Poppins" w:eastAsia="Poppins" w:hAnsi="Poppins"/>
          <w:color w:val="1F2937"/>
          <w:sz w:val="20"/>
          <w:szCs w:val="20"/>
        </w:rPr>
        <w:t xml:space="preserve"> : certaines actions ne sont ouvertes qu'aux membres d'une institution formellement partie prenante du cas d'usage.</w:t>
      </w:r>
    </w:p>
    <w:p>
      <w:pPr>
        <w:pStyle w:val="ListParagraph"/>
        <w:numPr>
          <w:ilvl w:val="0"/>
          <w:numId w:val="2"/>
        </w:numPr>
        <w:spacing w:after="60" w:before="60" w:line="280"/>
      </w:pPr>
      <w:r>
        <w:rPr>
          <w:rFonts w:ascii="Poppins" w:cs="Poppins" w:eastAsia="Poppins" w:hAnsi="Poppins"/>
          <w:b/>
          <w:bCs/>
          <w:color w:val="1F2937"/>
          <w:sz w:val="20"/>
          <w:szCs w:val="20"/>
        </w:rPr>
        <w:t xml:space="preserve">Le statut du cas d'usage</w:t>
      </w:r>
      <w:r>
        <w:rPr>
          <w:rFonts w:ascii="Poppins" w:cs="Poppins" w:eastAsia="Poppins" w:hAnsi="Poppins"/>
          <w:color w:val="1F2937"/>
          <w:sz w:val="20"/>
          <w:szCs w:val="20"/>
        </w:rPr>
        <w:t xml:space="preserve"> : certaines transitions ne sont autorisées qu'à partir d'un statut donné. Par exemple, passer à QUALIFIE n'est possible que depuis VALIDATION_CONJOINTE.</w:t>
      </w:r>
    </w:p>
    <w:p>
      <w:pPr>
        <w:spacing w:after="80" w:before="80" w:line="300"/>
        <w:jc w:val="both"/>
      </w:pPr>
      <w:r>
        <w:rPr>
          <w:rFonts w:ascii="Poppins" w:cs="Poppins" w:eastAsia="Poppins" w:hAnsi="Poppins"/>
          <w:color w:val="1F2937"/>
          <w:sz w:val="20"/>
          <w:szCs w:val="20"/>
        </w:rPr>
        <w:t xml:space="preserve">Le middleware d'autorisation applique ces trois dimensions de manière cumulative. Toute action non autorisée renvoie une erreur HTTP 403 avec un code métier permettant au frontend d'afficher un message explicite.</w:t>
      </w:r>
    </w:p>
    <w:p>
      <w:pPr>
        <w:pStyle w:val="Heading2"/>
        <w:spacing w:after="160" w:before="300"/>
      </w:pPr>
      <w:r>
        <w:rPr>
          <w:rFonts w:ascii="Poppins" w:cs="Poppins" w:eastAsia="Poppins" w:hAnsi="Poppins"/>
          <w:b/>
          <w:bCs/>
          <w:color w:val="0A6B68"/>
          <w:sz w:val="26"/>
          <w:szCs w:val="26"/>
        </w:rPr>
        <w:t xml:space="preserve">5.3 Pagination, filtres et recherche</w:t>
      </w:r>
    </w:p>
    <w:p>
      <w:pPr>
        <w:spacing w:after="80" w:before="80" w:line="300"/>
        <w:jc w:val="both"/>
      </w:pPr>
      <w:r>
        <w:rPr>
          <w:rFonts w:ascii="Poppins" w:cs="Poppins" w:eastAsia="Poppins" w:hAnsi="Poppins"/>
          <w:color w:val="1F2937"/>
          <w:sz w:val="20"/>
          <w:szCs w:val="20"/>
        </w:rPr>
        <w:t xml:space="preserve">Tous les endpoints de liste supportent la pagination par curseur (paramètres limit et cursor) et des filtres standardisés : status[], role[], partenaireInstitutionId, dateCreationFrom, dateCreationTo, search (recherche plein texte sur titre et résumé). Les réponses incluent toujours le total d'éléments non paginés pour alimenter les compteurs du dashboard.</w:t>
      </w:r>
    </w:p>
    <w:p>
      <w:r>
        <w:br w:type="page"/>
      </w:r>
    </w:p>
    <w:p>
      <w:pPr>
        <w:pStyle w:val="Heading1"/>
        <w:spacing w:after="200" w:before="400"/>
      </w:pPr>
      <w:r>
        <w:rPr>
          <w:rFonts w:ascii="Poppins" w:cs="Poppins" w:eastAsia="Poppins" w:hAnsi="Poppins"/>
          <w:b/>
          <w:bCs/>
          <w:color w:val="0C1F3A"/>
          <w:sz w:val="32"/>
          <w:szCs w:val="32"/>
        </w:rPr>
        <w:t xml:space="preserve">6. Roadmap d'implémentation</w:t>
      </w:r>
    </w:p>
    <w:p>
      <w:pPr>
        <w:pStyle w:val="Heading2"/>
        <w:spacing w:after="160" w:before="300"/>
      </w:pPr>
      <w:r>
        <w:rPr>
          <w:rFonts w:ascii="Poppins" w:cs="Poppins" w:eastAsia="Poppins" w:hAnsi="Poppins"/>
          <w:b/>
          <w:bCs/>
          <w:color w:val="0A6B68"/>
          <w:sz w:val="26"/>
          <w:szCs w:val="26"/>
        </w:rPr>
        <w:t xml:space="preserve">6.1 Découpage en phases</w:t>
      </w:r>
    </w:p>
    <w:p>
      <w:pPr>
        <w:spacing w:after="80" w:before="80" w:line="300"/>
        <w:jc w:val="both"/>
      </w:pPr>
      <w:r>
        <w:rPr>
          <w:rFonts w:ascii="Poppins" w:cs="Poppins" w:eastAsia="Poppins" w:hAnsi="Poppins"/>
          <w:color w:val="1F2937"/>
          <w:sz w:val="20"/>
          <w:szCs w:val="20"/>
        </w:rPr>
        <w:t xml:space="preserve">Le chantier est découpé en huit phases séquencées, pour un effort total indicatif de l'ordre de 29 jours ouvrés. Les phases P2 à P6 peuvent être partiellement parallélisées selon la disponibilité des développeurs backend et frontend.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400"/>
        <w:gridCol w:w="2326"/>
      </w:tblGrid>
      <w:tr>
        <w:trPr>
          <w:tblHeader/>
        </w:trPr>
        <w:tc>
          <w:tcPr>
            <w:tcW w:type="dxa" w:w="11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Phase</w:t>
            </w:r>
          </w:p>
        </w:tc>
        <w:tc>
          <w:tcPr>
            <w:tcW w:type="dxa" w:w="22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Périmètre</w:t>
            </w:r>
          </w:p>
        </w:tc>
        <w:tc>
          <w:tcPr>
            <w:tcW w:type="dxa" w:w="3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Livrables</w:t>
            </w:r>
          </w:p>
        </w:tc>
        <w:tc>
          <w:tcPr>
            <w:tcW w:type="dxa" w:w="23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Durée indicative</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P0</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Validation conception</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Validation du présent document par M. Diaby ; relecture technique par l'équipe dev ; wireframes validés.</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3 jours ouvrés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P1</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Migration schéma</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Création des tables Prisma ; génération migration SQL ; script de migration des données existantes ; tests d'idempotence.</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2 jours ouvrés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P2</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API backend</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Implémentation des endpoints (§5.1) ; middleware d'autorisation ; tests unitaires et d'intégration ; documentation OpenAPI.</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5 jours ouvrés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P3</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Dashboard enrichi</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Intégration des 4 nouveaux blocs ; composants shadcn/ui ; filtres ; pagination ; responsive.</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4 jours ouvrés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P4</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Page détail et modal</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Page détail avec affichage conditionnel ; modal de réponse ; fil d'avis ; timeline ; actions contextuelles.</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4 jours ouvrés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P5</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Vue arbitrage DU</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File d'attente ; outils d'arbitrage ; dashboard consolidé ; indicateurs de pilotage.</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3 jours ouvrés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P6</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Notifications</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Notifications in-app ; digest email quotidien / hebdomadaire ; alertes échéances SLA.</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3 jours ouvrés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P7</w:t>
            </w:r>
          </w:p>
        </w:tc>
        <w:tc>
          <w:tcPr>
            <w:tcW w:type="dxa" w:w="2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Recette &amp; déploiement</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Tests d'acceptation avec utilisateurs pilotes (DGID, DGD, DGPSN, ANSD) ; corrections ; mise en production ; formation.</w:t>
            </w:r>
          </w:p>
        </w:tc>
        <w:tc>
          <w:tcPr>
            <w:tcW w:type="dxa" w:w="2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5 jours ouvrés</w:t>
            </w:r>
          </w:p>
        </w:tc>
      </w:tr>
    </w:tbl>
    <w:p>
      <w:pPr>
        <w:spacing w:after="60" w:before="60"/>
      </w:pPr>
    </w:p>
    <w:p>
      <w:pPr>
        <w:pStyle w:val="Heading2"/>
        <w:spacing w:after="160" w:before="300"/>
      </w:pPr>
      <w:r>
        <w:rPr>
          <w:rFonts w:ascii="Poppins" w:cs="Poppins" w:eastAsia="Poppins" w:hAnsi="Poppins"/>
          <w:b/>
          <w:bCs/>
          <w:color w:val="0A6B68"/>
          <w:sz w:val="26"/>
          <w:szCs w:val="26"/>
        </w:rPr>
        <w:t xml:space="preserve">6.2 Dépendances externes</w:t>
      </w:r>
    </w:p>
    <w:p>
      <w:pPr>
        <w:spacing w:after="80" w:before="80" w:line="300"/>
        <w:jc w:val="both"/>
      </w:pPr>
      <w:r>
        <w:rPr>
          <w:rFonts w:ascii="Poppins" w:cs="Poppins" w:eastAsia="Poppins" w:hAnsi="Poppins"/>
          <w:color w:val="1F2937"/>
          <w:sz w:val="20"/>
          <w:szCs w:val="20"/>
        </w:rPr>
        <w:t xml:space="preserve">Deux dépendances externes conditionnent certaines phases :</w:t>
      </w:r>
    </w:p>
    <w:p>
      <w:pPr>
        <w:pStyle w:val="ListParagraph"/>
        <w:numPr>
          <w:ilvl w:val="0"/>
          <w:numId w:val="2"/>
        </w:numPr>
        <w:spacing w:after="60" w:before="60" w:line="280"/>
      </w:pPr>
      <w:r>
        <w:rPr>
          <w:rFonts w:ascii="Poppins" w:cs="Poppins" w:eastAsia="Poppins" w:hAnsi="Poppins"/>
          <w:b/>
          <w:bCs/>
          <w:color w:val="1F2937"/>
          <w:sz w:val="20"/>
          <w:szCs w:val="20"/>
        </w:rPr>
        <w:t xml:space="preserve">Système d'authentification</w:t>
      </w:r>
      <w:r>
        <w:rPr>
          <w:rFonts w:ascii="Poppins" w:cs="Poppins" w:eastAsia="Poppins" w:hAnsi="Poppins"/>
          <w:color w:val="1F2937"/>
          <w:sz w:val="20"/>
          <w:szCs w:val="20"/>
        </w:rPr>
        <w:t xml:space="preserve"> — les rôles POINT_FOCAL et DIRECTEUR_SI doivent être renseignés dans la table User existante. Si la désignation n'est pas faite, un écran de paramétrage doit être prévu en P3.</w:t>
      </w:r>
    </w:p>
    <w:p>
      <w:pPr>
        <w:pStyle w:val="ListParagraph"/>
        <w:numPr>
          <w:ilvl w:val="0"/>
          <w:numId w:val="2"/>
        </w:numPr>
        <w:spacing w:after="60" w:before="60" w:line="280"/>
      </w:pPr>
      <w:r>
        <w:rPr>
          <w:rFonts w:ascii="Poppins" w:cs="Poppins" w:eastAsia="Poppins" w:hAnsi="Poppins"/>
          <w:b/>
          <w:bCs/>
          <w:color w:val="1F2937"/>
          <w:sz w:val="20"/>
          <w:szCs w:val="20"/>
        </w:rPr>
        <w:t xml:space="preserve">Système de notification</w:t>
      </w:r>
      <w:r>
        <w:rPr>
          <w:rFonts w:ascii="Poppins" w:cs="Poppins" w:eastAsia="Poppins" w:hAnsi="Poppins"/>
          <w:color w:val="1F2937"/>
          <w:sz w:val="20"/>
          <w:szCs w:val="20"/>
        </w:rPr>
        <w:t xml:space="preserve"> — la P6 présuppose la disponibilité d'un service d'envoi d'emails. À défaut, seules les notifications in-app sont activées en première intention, l'email étant livré ultérieurement.</w:t>
      </w:r>
    </w:p>
    <w:p>
      <w:pPr>
        <w:pStyle w:val="Heading2"/>
        <w:spacing w:after="160" w:before="300"/>
      </w:pPr>
      <w:r>
        <w:rPr>
          <w:rFonts w:ascii="Poppins" w:cs="Poppins" w:eastAsia="Poppins" w:hAnsi="Poppins"/>
          <w:b/>
          <w:bCs/>
          <w:color w:val="0A6B68"/>
          <w:sz w:val="26"/>
          <w:szCs w:val="26"/>
        </w:rPr>
        <w:t xml:space="preserve">6.3 Recette et critères d'acceptation</w:t>
      </w:r>
    </w:p>
    <w:p>
      <w:pPr>
        <w:spacing w:after="80" w:before="80" w:line="300"/>
        <w:jc w:val="both"/>
      </w:pPr>
      <w:r>
        <w:rPr>
          <w:rFonts w:ascii="Poppins" w:cs="Poppins" w:eastAsia="Poppins" w:hAnsi="Poppins"/>
          <w:color w:val="1F2937"/>
          <w:sz w:val="20"/>
          <w:szCs w:val="20"/>
        </w:rPr>
        <w:t xml:space="preserve">La recette est organisée autour de huit scénarios fonctionnels représentatifs, co-construits avec les utilisateurs pilotes :</w:t>
      </w:r>
    </w:p>
    <w:p>
      <w:pPr>
        <w:pStyle w:val="ListParagraph"/>
        <w:numPr>
          <w:ilvl w:val="0"/>
          <w:numId w:val="2"/>
        </w:numPr>
        <w:spacing w:after="60" w:before="60" w:line="280"/>
      </w:pPr>
      <w:r>
        <w:rPr>
          <w:rFonts w:ascii="Poppins" w:cs="Poppins" w:eastAsia="Poppins" w:hAnsi="Poppins"/>
          <w:color w:val="1F2937"/>
          <w:sz w:val="20"/>
          <w:szCs w:val="20"/>
        </w:rPr>
        <w:t xml:space="preserve">Un agent DGID déclare un nouveau cas d'usage et désigne l'ANSD comme fournisseur.</w:t>
      </w:r>
    </w:p>
    <w:p>
      <w:pPr>
        <w:pStyle w:val="ListParagraph"/>
        <w:numPr>
          <w:ilvl w:val="0"/>
          <w:numId w:val="2"/>
        </w:numPr>
        <w:spacing w:after="60" w:before="60" w:line="280"/>
      </w:pPr>
      <w:r>
        <w:rPr>
          <w:rFonts w:ascii="Poppins" w:cs="Poppins" w:eastAsia="Poppins" w:hAnsi="Poppins"/>
          <w:color w:val="1F2937"/>
          <w:sz w:val="20"/>
          <w:szCs w:val="20"/>
        </w:rPr>
        <w:t xml:space="preserve">L'ANSD reçoit la sollicitation, consulte la fiche, donne un avis avec réserve, joint un document.</w:t>
      </w:r>
    </w:p>
    <w:p>
      <w:pPr>
        <w:pStyle w:val="ListParagraph"/>
        <w:numPr>
          <w:ilvl w:val="0"/>
          <w:numId w:val="2"/>
        </w:numPr>
        <w:spacing w:after="60" w:before="60" w:line="280"/>
      </w:pPr>
      <w:r>
        <w:rPr>
          <w:rFonts w:ascii="Poppins" w:cs="Poppins" w:eastAsia="Poppins" w:hAnsi="Poppins"/>
          <w:color w:val="1F2937"/>
          <w:sz w:val="20"/>
          <w:szCs w:val="20"/>
        </w:rPr>
        <w:t xml:space="preserve">La DGID reçoit la notification de l'avis, répond par une contre-proposition amendant la spécification.</w:t>
      </w:r>
    </w:p>
    <w:p>
      <w:pPr>
        <w:pStyle w:val="ListParagraph"/>
        <w:numPr>
          <w:ilvl w:val="0"/>
          <w:numId w:val="2"/>
        </w:numPr>
        <w:spacing w:after="60" w:before="60" w:line="280"/>
      </w:pPr>
      <w:r>
        <w:rPr>
          <w:rFonts w:ascii="Poppins" w:cs="Poppins" w:eastAsia="Poppins" w:hAnsi="Poppins"/>
          <w:color w:val="1F2937"/>
          <w:sz w:val="20"/>
          <w:szCs w:val="20"/>
        </w:rPr>
        <w:t xml:space="preserve">La DGCPT, non initialement sollicitée, détecte le cas d'usage dans son radar et se porte partie prenante par auto-saisine.</w:t>
      </w:r>
    </w:p>
    <w:p>
      <w:pPr>
        <w:pStyle w:val="ListParagraph"/>
        <w:numPr>
          <w:ilvl w:val="0"/>
          <w:numId w:val="2"/>
        </w:numPr>
        <w:spacing w:after="60" w:before="60" w:line="280"/>
      </w:pPr>
      <w:r>
        <w:rPr>
          <w:rFonts w:ascii="Poppins" w:cs="Poppins" w:eastAsia="Poppins" w:hAnsi="Poppins"/>
          <w:color w:val="1F2937"/>
          <w:sz w:val="20"/>
          <w:szCs w:val="20"/>
        </w:rPr>
        <w:t xml:space="preserve">La DU arbitre la réserve ANSD et qualifie le cas d'usage.</w:t>
      </w:r>
    </w:p>
    <w:p>
      <w:pPr>
        <w:pStyle w:val="ListParagraph"/>
        <w:numPr>
          <w:ilvl w:val="0"/>
          <w:numId w:val="2"/>
        </w:numPr>
        <w:spacing w:after="60" w:before="60" w:line="280"/>
      </w:pPr>
      <w:r>
        <w:rPr>
          <w:rFonts w:ascii="Poppins" w:cs="Poppins" w:eastAsia="Poppins" w:hAnsi="Poppins"/>
          <w:color w:val="1F2937"/>
          <w:sz w:val="20"/>
          <w:szCs w:val="20"/>
        </w:rPr>
        <w:t xml:space="preserve">Un agent d'une institution non partie prenante tente d'accéder aux spécifications détaillées : accès refusé, seules les métadonnées sont visibles.</w:t>
      </w:r>
    </w:p>
    <w:p>
      <w:pPr>
        <w:pStyle w:val="ListParagraph"/>
        <w:numPr>
          <w:ilvl w:val="0"/>
          <w:numId w:val="2"/>
        </w:numPr>
        <w:spacing w:after="60" w:before="60" w:line="280"/>
      </w:pPr>
      <w:r>
        <w:rPr>
          <w:rFonts w:ascii="Poppins" w:cs="Poppins" w:eastAsia="Poppins" w:hAnsi="Poppins"/>
          <w:color w:val="1F2937"/>
          <w:sz w:val="20"/>
          <w:szCs w:val="20"/>
        </w:rPr>
        <w:t xml:space="preserve">La DU transite le cas d'usage vers EN_PRODUCTION ; un journal inaltérable est généré.</w:t>
      </w:r>
    </w:p>
    <w:p>
      <w:pPr>
        <w:pStyle w:val="ListParagraph"/>
        <w:numPr>
          <w:ilvl w:val="0"/>
          <w:numId w:val="2"/>
        </w:numPr>
        <w:spacing w:after="60" w:before="60" w:line="280"/>
      </w:pPr>
      <w:r>
        <w:rPr>
          <w:rFonts w:ascii="Poppins" w:cs="Poppins" w:eastAsia="Poppins" w:hAnsi="Poppins"/>
          <w:color w:val="1F2937"/>
          <w:sz w:val="20"/>
          <w:szCs w:val="20"/>
        </w:rPr>
        <w:t xml:space="preserve">Un tableau de bord consolidé montre le portefeuille des cas d'usage de chaque secteur avec indicateurs de pilotage.</w:t>
      </w:r>
    </w:p>
    <w:p>
      <w:pPr>
        <w:spacing w:after="80" w:before="80" w:line="300"/>
        <w:jc w:val="both"/>
      </w:pPr>
      <w:r>
        <w:rPr>
          <w:rFonts w:ascii="Poppins" w:cs="Poppins" w:eastAsia="Poppins" w:hAnsi="Poppins"/>
          <w:color w:val="1F2937"/>
          <w:sz w:val="20"/>
          <w:szCs w:val="20"/>
        </w:rPr>
        <w:t xml:space="preserve">Chaque scénario est validé en atelier avec l'utilisateur pilote concerné, preuve à l'appui (capture d'écran, export de log). La recette est considérée comme réussie lorsque les huit scénarios passent sans anomalie bloquante.</w:t>
      </w:r>
    </w:p>
    <w:p>
      <w:pPr>
        <w:pStyle w:val="Heading2"/>
        <w:spacing w:after="160" w:before="300"/>
      </w:pPr>
      <w:r>
        <w:rPr>
          <w:rFonts w:ascii="Poppins" w:cs="Poppins" w:eastAsia="Poppins" w:hAnsi="Poppins"/>
          <w:b/>
          <w:bCs/>
          <w:color w:val="0A6B68"/>
          <w:sz w:val="26"/>
          <w:szCs w:val="26"/>
        </w:rPr>
        <w:t xml:space="preserve">6.4 Risques et mesures de mitigation</w:t>
      </w:r>
    </w:p>
    <w:p>
      <w:pPr>
        <w:spacing w:after="80" w:before="80" w:line="300"/>
        <w:jc w:val="both"/>
      </w:pPr>
      <w:r>
        <w:rPr>
          <w:rFonts w:ascii="Poppins" w:cs="Poppins" w:eastAsia="Poppins" w:hAnsi="Poppins"/>
          <w:color w:val="1F2937"/>
          <w:sz w:val="20"/>
          <w:szCs w:val="20"/>
        </w:rPr>
        <w:t xml:space="preserve">Trois risques principaux ont été identifiés :</w:t>
      </w:r>
    </w:p>
    <w:p>
      <w:pPr>
        <w:pStyle w:val="ListParagraph"/>
        <w:numPr>
          <w:ilvl w:val="0"/>
          <w:numId w:val="2"/>
        </w:numPr>
        <w:spacing w:after="60" w:before="60" w:line="280"/>
      </w:pPr>
      <w:r>
        <w:rPr>
          <w:rFonts w:ascii="Poppins" w:cs="Poppins" w:eastAsia="Poppins" w:hAnsi="Poppins"/>
          <w:b/>
          <w:bCs/>
          <w:color w:val="1F2937"/>
          <w:sz w:val="20"/>
          <w:szCs w:val="20"/>
        </w:rPr>
        <w:t xml:space="preserve">Charge cognitive utilisateur</w:t>
      </w:r>
      <w:r>
        <w:rPr>
          <w:rFonts w:ascii="Poppins" w:cs="Poppins" w:eastAsia="Poppins" w:hAnsi="Poppins"/>
          <w:color w:val="1F2937"/>
          <w:sz w:val="20"/>
          <w:szCs w:val="20"/>
        </w:rPr>
        <w:t xml:space="preserve"> — le dashboard enrichi ajoute quatre blocs à une vue déjà dense. Mitigation : priorisation visuelle, repli sur le bloc Actions requises comme point d'entrée principal, onboarding court intégré à la première connexion.</w:t>
      </w:r>
    </w:p>
    <w:p>
      <w:pPr>
        <w:pStyle w:val="ListParagraph"/>
        <w:numPr>
          <w:ilvl w:val="0"/>
          <w:numId w:val="2"/>
        </w:numPr>
        <w:spacing w:after="60" w:before="60" w:line="280"/>
      </w:pPr>
      <w:r>
        <w:rPr>
          <w:rFonts w:ascii="Poppins" w:cs="Poppins" w:eastAsia="Poppins" w:hAnsi="Poppins"/>
          <w:b/>
          <w:bCs/>
          <w:color w:val="1F2937"/>
          <w:sz w:val="20"/>
          <w:szCs w:val="20"/>
        </w:rPr>
        <w:t xml:space="preserve">Qualité des données migrées</w:t>
      </w:r>
      <w:r>
        <w:rPr>
          <w:rFonts w:ascii="Poppins" w:cs="Poppins" w:eastAsia="Poppins" w:hAnsi="Poppins"/>
          <w:color w:val="1F2937"/>
          <w:sz w:val="20"/>
          <w:szCs w:val="20"/>
        </w:rPr>
        <w:t xml:space="preserve"> — les FluxInstitution existants peuvent comporter des imprécisions sur les rôles. Mitigation : rapport de contrôle de migration, atelier de revue par la DU avant bascule, possibilité de correction manuelle.</w:t>
      </w:r>
    </w:p>
    <w:p>
      <w:pPr>
        <w:pStyle w:val="ListParagraph"/>
        <w:numPr>
          <w:ilvl w:val="0"/>
          <w:numId w:val="2"/>
        </w:numPr>
        <w:spacing w:after="60" w:before="60" w:line="280"/>
      </w:pPr>
      <w:r>
        <w:rPr>
          <w:rFonts w:ascii="Poppins" w:cs="Poppins" w:eastAsia="Poppins" w:hAnsi="Poppins"/>
          <w:b/>
          <w:bCs/>
          <w:color w:val="1F2937"/>
          <w:sz w:val="20"/>
          <w:szCs w:val="20"/>
        </w:rPr>
        <w:t xml:space="preserve">Rythme de validation institutionnelle</w:t>
      </w:r>
      <w:r>
        <w:rPr>
          <w:rFonts w:ascii="Poppins" w:cs="Poppins" w:eastAsia="Poppins" w:hAnsi="Poppins"/>
          <w:color w:val="1F2937"/>
          <w:sz w:val="20"/>
          <w:szCs w:val="20"/>
        </w:rPr>
        <w:t xml:space="preserve"> — l'introduction d'avis formels institutionnels peut allonger les délais de qualification si les SLA ne sont pas respectés. Mitigation : relances automatiques, tableau de bord de pilotage DU, arbitrage accéléré en cas de retard persistant.</w:t>
      </w:r>
    </w:p>
    <w:p>
      <w:r>
        <w:br w:type="page"/>
      </w:r>
    </w:p>
    <w:p>
      <w:pPr>
        <w:pStyle w:val="Heading1"/>
        <w:spacing w:after="200" w:before="400"/>
      </w:pPr>
      <w:r>
        <w:rPr>
          <w:rFonts w:ascii="Poppins" w:cs="Poppins" w:eastAsia="Poppins" w:hAnsi="Poppins"/>
          <w:b/>
          <w:bCs/>
          <w:color w:val="0C1F3A"/>
          <w:sz w:val="32"/>
          <w:szCs w:val="32"/>
        </w:rPr>
        <w:t xml:space="preserve">7. Annexes</w:t>
      </w:r>
    </w:p>
    <w:p>
      <w:pPr>
        <w:pStyle w:val="Heading2"/>
        <w:spacing w:after="160" w:before="300"/>
      </w:pPr>
      <w:r>
        <w:rPr>
          <w:rFonts w:ascii="Poppins" w:cs="Poppins" w:eastAsia="Poppins" w:hAnsi="Poppins"/>
          <w:b/>
          <w:bCs/>
          <w:color w:val="0A6B68"/>
          <w:sz w:val="26"/>
          <w:szCs w:val="26"/>
        </w:rPr>
        <w:t xml:space="preserve">7.1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Auto-saisine</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Mécanisme par lequel une institution dont les données ou processus sont concernés par un cas d'usage peut se porter partie prenante sans avoir été initialement sollicitée.</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DU</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Delivery Unit — structure de pilotage opérationnel placée au sein du MCTN, dirigée par M. Mohamed DIABY.</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PINS</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Plateforme d'Interopérabilité Nationale du Sénégal, opérée par SENUM SA. Infrastructure unique d'échange inter-administrations reposant sur la technologie X-Road.</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Point focal</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Interlocuteur désigné d'une institution pour les échanges courants sur la plateforme PINS et l'application DPI-INTEROP.</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RGI</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Règlement Général d'Interopérabilité — cadre normatif opposable à toute administration connectée à PINS.</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SENUM SA</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Société Nationale du Numérique du Sénégal — opérateur technique de la plateforme PINS.</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Stakeholder</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Partie prenante formellement désignée d'un cas d'usage, avec rôle explicite (initiateur, fournisseur, consommateur, partie prenante).</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Transparence contrôlée</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Politique de visibilité retenue : métadonnées ouvertes à toutes les administrations, détails réservés aux parties prenantes.</w:t>
            </w:r>
          </w:p>
        </w:tc>
      </w:tr>
      <w:tr>
        <w:tc>
          <w:tcPr>
            <w:tcW w:type="dxa" w:w="2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Use case / Cas d'usage</w:t>
            </w:r>
          </w:p>
        </w:tc>
        <w:tc>
          <w:tcPr>
            <w:tcW w:type="dxa" w:w="6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Description formelle d'un échange de données entre deux ou plusieurs institutions, avec finalité métier, base légale, spécifications techniques et gouvernance associée.</w:t>
            </w:r>
          </w:p>
        </w:tc>
      </w:tr>
    </w:tbl>
    <w:p>
      <w:pPr>
        <w:spacing w:after="60" w:before="60"/>
      </w:pPr>
    </w:p>
    <w:p>
      <w:pPr>
        <w:pStyle w:val="Heading2"/>
        <w:spacing w:after="160" w:before="300"/>
      </w:pPr>
      <w:r>
        <w:rPr>
          <w:rFonts w:ascii="Poppins" w:cs="Poppins" w:eastAsia="Poppins" w:hAnsi="Poppins"/>
          <w:b/>
          <w:bCs/>
          <w:color w:val="0A6B68"/>
          <w:sz w:val="26"/>
          <w:szCs w:val="26"/>
        </w:rPr>
        <w:t xml:space="preserve">7.2 Livrables associés</w:t>
      </w:r>
    </w:p>
    <w:p>
      <w:pPr>
        <w:spacing w:after="80" w:before="80" w:line="300"/>
        <w:jc w:val="both"/>
      </w:pPr>
      <w:r>
        <w:rPr>
          <w:rFonts w:ascii="Poppins" w:cs="Poppins" w:eastAsia="Poppins" w:hAnsi="Poppins"/>
          <w:color w:val="1F2937"/>
          <w:sz w:val="20"/>
          <w:szCs w:val="20"/>
        </w:rPr>
        <w:t xml:space="preserve">Le présent document est accompagné de trois livrables techniques dans le même lot :</w:t>
      </w:r>
    </w:p>
    <w:p>
      <w:pPr>
        <w:pStyle w:val="ListParagraph"/>
        <w:numPr>
          <w:ilvl w:val="0"/>
          <w:numId w:val="2"/>
        </w:numPr>
        <w:spacing w:after="60" w:before="60" w:line="280"/>
      </w:pPr>
      <w:r>
        <w:rPr>
          <w:rFonts w:ascii="Poppins" w:cs="Poppins" w:eastAsia="Poppins" w:hAnsi="Poppins"/>
          <w:b/>
          <w:bCs/>
          <w:color w:val="1F2937"/>
          <w:sz w:val="20"/>
          <w:szCs w:val="20"/>
        </w:rPr>
        <w:t xml:space="preserve">schema.prisma.new</w:t>
      </w:r>
      <w:r>
        <w:rPr>
          <w:rFonts w:ascii="Poppins" w:cs="Poppins" w:eastAsia="Poppins" w:hAnsi="Poppins"/>
          <w:color w:val="1F2937"/>
          <w:sz w:val="20"/>
          <w:szCs w:val="20"/>
        </w:rPr>
        <w:t xml:space="preserve"> — schéma Prisma complet intégrant les nouveaux modèles, prêt à remplacer ou à fusionner avec le schéma existant.</w:t>
      </w:r>
    </w:p>
    <w:p>
      <w:pPr>
        <w:pStyle w:val="ListParagraph"/>
        <w:numPr>
          <w:ilvl w:val="0"/>
          <w:numId w:val="2"/>
        </w:numPr>
        <w:spacing w:after="60" w:before="60" w:line="280"/>
      </w:pPr>
      <w:r>
        <w:rPr>
          <w:rFonts w:ascii="Poppins" w:cs="Poppins" w:eastAsia="Poppins" w:hAnsi="Poppins"/>
          <w:b/>
          <w:bCs/>
          <w:color w:val="1F2937"/>
          <w:sz w:val="20"/>
          <w:szCs w:val="20"/>
        </w:rPr>
        <w:t xml:space="preserve">migration.sql</w:t>
      </w:r>
      <w:r>
        <w:rPr>
          <w:rFonts w:ascii="Poppins" w:cs="Poppins" w:eastAsia="Poppins" w:hAnsi="Poppins"/>
          <w:color w:val="1F2937"/>
          <w:sz w:val="20"/>
          <w:szCs w:val="20"/>
        </w:rPr>
        <w:t xml:space="preserve"> — script de migration SQL PostgreSQL généré à partir du schéma, à rejouer via Prisma Migrate ou manuellement.</w:t>
      </w:r>
    </w:p>
    <w:p>
      <w:pPr>
        <w:pStyle w:val="ListParagraph"/>
        <w:numPr>
          <w:ilvl w:val="0"/>
          <w:numId w:val="2"/>
        </w:numPr>
        <w:spacing w:after="60" w:before="60" w:line="280"/>
      </w:pPr>
      <w:r>
        <w:rPr>
          <w:rFonts w:ascii="Poppins" w:cs="Poppins" w:eastAsia="Poppins" w:hAnsi="Poppins"/>
          <w:b/>
          <w:bCs/>
          <w:color w:val="1F2937"/>
          <w:sz w:val="20"/>
          <w:szCs w:val="20"/>
        </w:rPr>
        <w:t xml:space="preserve">mockup_dashboard.html</w:t>
      </w:r>
      <w:r>
        <w:rPr>
          <w:rFonts w:ascii="Poppins" w:cs="Poppins" w:eastAsia="Poppins" w:hAnsi="Poppins"/>
          <w:color w:val="1F2937"/>
          <w:sz w:val="20"/>
          <w:szCs w:val="20"/>
        </w:rPr>
        <w:t xml:space="preserve"> — maquette interactive du dashboard enrichi et de la page détail d'un cas d'usage, utilisable comme référence visuelle pour l'équipe de développement.</w:t>
      </w:r>
    </w:p>
    <w:p>
      <w:pPr>
        <w:pStyle w:val="Heading2"/>
        <w:spacing w:after="160" w:before="300"/>
      </w:pPr>
      <w:r>
        <w:rPr>
          <w:rFonts w:ascii="Poppins" w:cs="Poppins" w:eastAsia="Poppins" w:hAnsi="Poppins"/>
          <w:b/>
          <w:bCs/>
          <w:color w:val="0A6B68"/>
          <w:sz w:val="26"/>
          <w:szCs w:val="26"/>
        </w:rPr>
        <w:t xml:space="preserve">7.3 Validation</w:t>
      </w:r>
    </w:p>
    <w:p>
      <w:pPr>
        <w:spacing w:after="80" w:before="80" w:line="300"/>
        <w:jc w:val="both"/>
      </w:pPr>
      <w:r>
        <w:rPr>
          <w:rFonts w:ascii="Poppins" w:cs="Poppins" w:eastAsia="Poppins" w:hAnsi="Poppins"/>
          <w:color w:val="1F2937"/>
          <w:sz w:val="20"/>
          <w:szCs w:val="20"/>
        </w:rPr>
        <w:t xml:space="preserve">Le présent document est soumis à la validation du Directeur de la Delivery Unit, M. Mohamed DIABY, avant lancement de la phase P1 (migration du schéma). Toute évolution matérielle du document après validation fait l'objet d'une nouvelle version référencée et d'une note de changement.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Rédacteur</w:t>
            </w:r>
          </w:p>
        </w:tc>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Validation</w:t>
            </w:r>
          </w:p>
        </w:tc>
      </w:tr>
      <w:tr>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Birama DIOP</w:t>
            </w:r>
          </w:p>
          <w:p>
            <w:pPr>
              <w:spacing w:after="40" w:before="0"/>
            </w:pPr>
            <w:r>
              <w:rPr>
                <w:rFonts w:ascii="Poppins" w:cs="Poppins" w:eastAsia="Poppins" w:hAnsi="Poppins"/>
                <w:i/>
                <w:iCs/>
                <w:color w:val="374151"/>
                <w:sz w:val="18"/>
                <w:szCs w:val="18"/>
              </w:rPr>
              <w:t xml:space="preserve">Point Focal National d'Interopérabilité</w:t>
            </w:r>
          </w:p>
          <w:p>
            <w:pPr>
              <w:spacing w:after="40" w:before="0"/>
            </w:pPr>
            <w:r>
              <w:rPr>
                <w:rFonts w:ascii="Poppins" w:cs="Poppins" w:eastAsia="Poppins" w:hAnsi="Poppins"/>
                <w:i/>
                <w:iCs/>
                <w:color w:val="374151"/>
                <w:sz w:val="18"/>
                <w:szCs w:val="18"/>
              </w:rPr>
              <w:t xml:space="preserve">Architecte DPI — MCTN / SENUM SA</w:t>
            </w:r>
          </w:p>
          <w:p>
            <w:pPr>
              <w:spacing w:after="40" w:before="200"/>
            </w:pPr>
            <w:r>
              <w:rPr>
                <w:rFonts w:ascii="Poppins" w:cs="Poppins" w:eastAsia="Poppins" w:hAnsi="Poppins"/>
                <w:color w:val="1F2937"/>
                <w:sz w:val="18"/>
                <w:szCs w:val="18"/>
              </w:rPr>
              <w:t xml:space="preserve">Date : 22 avril 2026</w:t>
            </w:r>
          </w:p>
          <w:p>
            <w:pPr>
              <w:spacing w:after="40" w:before="800"/>
            </w:pPr>
            <w:r>
              <w:rPr>
                <w:rFonts w:ascii="Poppins" w:cs="Poppins" w:eastAsia="Poppins" w:hAnsi="Poppins"/>
                <w:color w:val="1F2937"/>
                <w:sz w:val="18"/>
                <w:szCs w:val="18"/>
              </w:rPr>
              <w:t xml:space="preserve">Signature :</w:t>
            </w:r>
          </w:p>
        </w:tc>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Mohamed DIABY</w:t>
            </w:r>
          </w:p>
          <w:p>
            <w:pPr>
              <w:spacing w:after="40" w:before="0"/>
            </w:pPr>
            <w:r>
              <w:rPr>
                <w:rFonts w:ascii="Poppins" w:cs="Poppins" w:eastAsia="Poppins" w:hAnsi="Poppins"/>
                <w:i/>
                <w:iCs/>
                <w:color w:val="374151"/>
                <w:sz w:val="18"/>
                <w:szCs w:val="18"/>
              </w:rPr>
              <w:t xml:space="preserve">Directeur Delivery Unit</w:t>
            </w:r>
          </w:p>
          <w:p>
            <w:pPr>
              <w:spacing w:after="40" w:before="0"/>
            </w:pPr>
            <w:r>
              <w:rPr>
                <w:rFonts w:ascii="Poppins" w:cs="Poppins" w:eastAsia="Poppins" w:hAnsi="Poppins"/>
                <w:i/>
                <w:iCs/>
                <w:color w:val="374151"/>
                <w:sz w:val="18"/>
                <w:szCs w:val="18"/>
              </w:rPr>
              <w:t xml:space="preserve">MCTN</w:t>
            </w:r>
          </w:p>
          <w:p>
            <w:pPr>
              <w:spacing w:after="40" w:before="200"/>
            </w:pPr>
            <w:r>
              <w:rPr>
                <w:rFonts w:ascii="Poppins" w:cs="Poppins" w:eastAsia="Poppins" w:hAnsi="Poppins"/>
                <w:color w:val="1F2937"/>
                <w:sz w:val="18"/>
                <w:szCs w:val="18"/>
              </w:rPr>
              <w:t xml:space="preserve">Date :</w:t>
            </w:r>
          </w:p>
          <w:p>
            <w:pPr>
              <w:spacing w:after="40" w:before="800"/>
            </w:pPr>
            <w:r>
              <w:rPr>
                <w:rFonts w:ascii="Poppins" w:cs="Poppins" w:eastAsia="Poppins" w:hAnsi="Poppins"/>
                <w:color w:val="1F2937"/>
                <w:sz w:val="18"/>
                <w:szCs w:val="18"/>
              </w:rPr>
              <w:t xml:space="preserve">Signature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6" w:space="4"/>
      </w:pBdr>
      <w:tabs>
        <w:tab w:val="right" w:pos="9026"/>
      </w:tabs>
    </w:pPr>
    <w:r>
      <w:rPr>
        <w:rFonts w:ascii="Poppins" w:cs="Poppins" w:eastAsia="Poppins" w:hAnsi="Poppins"/>
        <w:i/>
        <w:iCs/>
        <w:color w:val="9CA3AF"/>
        <w:sz w:val="14"/>
        <w:szCs w:val="14"/>
      </w:rPr>
      <w:t xml:space="preserve">Diffusion restreinte — Usage interne</w:t>
    </w:r>
    <w:r>
      <w:rPr>
        <w:rFonts w:ascii="Poppins" w:cs="Poppins" w:eastAsia="Poppins" w:hAnsi="Poppins"/>
        <w:sz w:val="14"/>
        <w:szCs w:val="14"/>
      </w:rPr>
      <w:t xml:space="preserve">	</w:t>
    </w:r>
    <w:r>
      <w:rPr>
        <w:rFonts w:ascii="Poppins" w:cs="Poppins" w:eastAsia="Poppins" w:hAnsi="Poppins"/>
        <w:color w:val="374151"/>
        <w:sz w:val="14"/>
        <w:szCs w:val="14"/>
      </w:rPr>
      <w:t xml:space="preserve">Page </w:t>
    </w:r>
    <w:r>
      <w:rPr>
        <w:rFonts w:ascii="Poppins" w:cs="Poppins" w:eastAsia="Poppins" w:hAnsi="Poppins"/>
        <w:b/>
        <w:bCs/>
        <w:color w:val="374151"/>
        <w:sz w:val="14"/>
        <w:szCs w:val="14"/>
      </w:rPr>
      <w:fldChar w:fldCharType="begin"/>
      <w:instrText xml:space="preserve">PAGE</w:instrText>
      <w:fldChar w:fldCharType="separate"/>
      <w:fldChar w:fldCharType="end"/>
    </w:r>
    <w:r>
      <w:rPr>
        <w:rFonts w:ascii="Poppins" w:cs="Poppins" w:eastAsia="Poppins" w:hAnsi="Poppins"/>
        <w:color w:val="374151"/>
        <w:sz w:val="14"/>
        <w:szCs w:val="14"/>
      </w:rPr>
      <w:t xml:space="preserve"> / </w:t>
    </w:r>
    <w:r>
      <w:rPr>
        <w:rFonts w:ascii="Poppins" w:cs="Poppins" w:eastAsia="Poppins" w:hAnsi="Poppins"/>
        <w:color w:val="374151"/>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B68" w:sz="6" w:space="4"/>
      </w:pBdr>
      <w:tabs>
        <w:tab w:val="right" w:pos="9026"/>
      </w:tabs>
    </w:pPr>
    <w:r>
      <w:rPr>
        <w:rFonts w:ascii="Poppins" w:cs="Poppins" w:eastAsia="Poppins" w:hAnsi="Poppins"/>
        <w:b/>
        <w:bCs/>
        <w:color w:val="0C1F3A"/>
        <w:sz w:val="16"/>
        <w:szCs w:val="16"/>
      </w:rPr>
      <w:t xml:space="preserve">MCTN / DU — Application DPI-INTEROP</w:t>
    </w:r>
    <w:r>
      <w:rPr>
        <w:rFonts w:ascii="Poppins" w:cs="Poppins" w:eastAsia="Poppins" w:hAnsi="Poppins"/>
        <w:sz w:val="16"/>
        <w:szCs w:val="16"/>
      </w:rPr>
      <w:t xml:space="preserve">	</w:t>
    </w:r>
    <w:r>
      <w:rPr>
        <w:rFonts w:ascii="Poppins" w:cs="Poppins" w:eastAsia="Poppins" w:hAnsi="Poppins"/>
        <w:i/>
        <w:iCs/>
        <w:color w:val="374151"/>
        <w:sz w:val="16"/>
        <w:szCs w:val="16"/>
      </w:rPr>
      <w:t xml:space="preserve">Vue 360° — Conception fonctionnelle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0C1F3A"/>
      <w:sz w:val="32"/>
      <w:szCs w:val="32"/>
    </w:rPr>
  </w:style>
  <w:style w:type="paragraph" w:styleId="Heading2">
    <w:name w:val="Heading 2"/>
    <w:basedOn w:val="Normal"/>
    <w:next w:val="Normal"/>
    <w:qFormat/>
    <w:pPr>
      <w:spacing w:after="160" w:before="300"/>
      <w:outlineLvl w:val="1"/>
    </w:pPr>
    <w:rPr>
      <w:rFonts w:ascii="Poppins" w:cs="Poppins" w:eastAsia="Poppins" w:hAnsi="Poppins"/>
      <w:b/>
      <w:bCs/>
      <w:color w:val="0A6B68"/>
      <w:sz w:val="26"/>
      <w:szCs w:val="26"/>
    </w:rPr>
  </w:style>
  <w:style w:type="paragraph" w:styleId="Heading3">
    <w:name w:val="Heading 3"/>
    <w:basedOn w:val="Normal"/>
    <w:next w:val="Normal"/>
    <w:qFormat/>
    <w:pPr>
      <w:spacing w:after="120" w:before="240"/>
      <w:outlineLvl w:val="2"/>
    </w:pPr>
    <w:rPr>
      <w:rFonts w:ascii="Poppins" w:cs="Poppins" w:eastAsia="Poppins" w:hAnsi="Poppins"/>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2026-04-22T19:54:00.542Z</dcterms:created>
  <dcterms:modified xsi:type="dcterms:W3CDTF">2026-04-22T19:54:00.544Z</dcterms:modified>
</cp:coreProperties>
</file>

<file path=docProps/custom.xml><?xml version="1.0" encoding="utf-8"?>
<Properties xmlns="http://schemas.openxmlformats.org/officeDocument/2006/custom-properties" xmlns:vt="http://schemas.openxmlformats.org/officeDocument/2006/docPropsVTypes"/>
</file>