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ind/>
        <w:jc w:val="left"/>
      </w:pPr>
      <w:r>
        <w:rPr>
          <w:b w:val="false"/>
          <w:bCs w:val="false"/>
          <w:i w:val="false"/>
          <w:iCs w:val="false"/>
          <w:color w:val="000000"/>
          <w:sz w:val="22"/>
          <w:szCs w:val="22"/>
        </w:rPr>
        <w:t xml:space="preserve"/>
      </w:r>
    </w:p>
    <w:p>
      <w:pPr>
        <w:spacing w:after="60" w:before="400"/>
        <w:jc w:val="center"/>
      </w:pPr>
      <w:r>
        <w:rPr>
          <w:b/>
          <w:bCs/>
          <w:color w:val="0C1F3A"/>
          <w:sz w:val="96"/>
          <w:szCs w:val="96"/>
        </w:rPr>
        <w:t xml:space="preserve">PINS</w:t>
      </w:r>
    </w:p>
    <w:p>
      <w:pPr>
        <w:spacing w:after="800" w:before="0"/>
        <w:jc w:val="center"/>
      </w:pPr>
      <w:r>
        <w:rPr>
          <w:i/>
          <w:iCs/>
          <w:color w:val="0A6B68"/>
          <w:sz w:val="26"/>
          <w:szCs w:val="26"/>
        </w:rPr>
        <w:t xml:space="preserve">Plateforme d'Interopérabilité Numérique du Sénégal</w:t>
      </w:r>
    </w:p>
    <w:p>
      <w:pPr>
        <w:spacing w:after="100" w:before="200"/>
        <w:jc w:val="center"/>
      </w:pPr>
      <w:r>
        <w:rPr>
          <w:b/>
          <w:bCs/>
          <w:color w:val="0C1F3A"/>
          <w:sz w:val="40"/>
          <w:szCs w:val="40"/>
        </w:rPr>
        <w:t xml:space="preserve">Guide de démonstration PINS</w:t>
      </w:r>
    </w:p>
    <w:p>
      <w:pPr>
        <w:spacing w:after="800" w:before="0"/>
        <w:jc w:val="center"/>
      </w:pPr>
      <w:r>
        <w:rPr>
          <w:color w:val="0A6B68"/>
          <w:sz w:val="26"/>
          <w:szCs w:val="26"/>
        </w:rPr>
        <w:t xml:space="preserve">Atelier DPI 4-6 mai 2026  —  Version 3</w:t>
      </w:r>
    </w:p>
    <w:p>
      <w:pPr>
        <w:spacing w:after="0" w:before="400"/>
        <w:jc w:val="center"/>
      </w:pPr>
      <w:r>
        <w:rPr>
          <w:b/>
          <w:bCs/>
          <w:sz w:val="28"/>
          <w:szCs w:val="28"/>
        </w:rPr>
        <w:t xml:space="preserve">Birama DIOP</w:t>
      </w:r>
    </w:p>
    <w:p>
      <w:pPr>
        <w:spacing w:before="60"/>
        <w:jc w:val="center"/>
      </w:pPr>
      <w:r>
        <w:rPr>
          <w:sz w:val="22"/>
          <w:szCs w:val="22"/>
        </w:rPr>
        <w:t xml:space="preserve">Point Focal National d'Interopérabilité</w:t>
      </w:r>
    </w:p>
    <w:p>
      <w:pPr>
        <w:spacing w:after="800" w:before="60"/>
        <w:jc w:val="center"/>
      </w:pPr>
      <w:r>
        <w:rPr>
          <w:sz w:val="22"/>
          <w:szCs w:val="22"/>
        </w:rPr>
        <w:t xml:space="preserve">MCTN / SENUM SA</w:t>
      </w:r>
    </w:p>
    <w:p>
      <w:pPr>
        <w:spacing w:after="0" w:before="400"/>
        <w:jc w:val="center"/>
      </w:pPr>
      <w:r>
        <w:rPr>
          <w:b/>
          <w:bCs/>
          <w:color w:val="C55A18"/>
          <w:sz w:val="30"/>
          <w:szCs w:val="30"/>
        </w:rPr>
        <w:t xml:space="preserve">J2 — Mardi 5 mai 2026</w:t>
      </w:r>
    </w:p>
    <w:p>
      <w:pPr>
        <w:spacing w:after="0" w:before="60"/>
        <w:jc w:val="center"/>
      </w:pPr>
      <w:r>
        <w:rPr>
          <w:color w:val="C55A18"/>
          <w:sz w:val="26"/>
          <w:szCs w:val="26"/>
        </w:rPr>
        <w:t xml:space="preserve">Créneau 14h00 — 15h15  (75 minutes)</w:t>
      </w:r>
    </w:p>
    <w:p>
      <w:pPr>
        <w:spacing w:before="200"/>
        <w:jc w:val="center"/>
      </w:pPr>
      <w:r>
        <w:rPr>
          <w:i/>
          <w:iCs/>
          <w:sz w:val="22"/>
          <w:szCs w:val="22"/>
        </w:rPr>
        <w:t xml:space="preserve">Présentation de l'outil de recensement des cas d'usage</w:t>
      </w:r>
    </w:p>
    <w:p>
      <w:r>
        <w:br w:type="page"/>
      </w:r>
    </w:p>
    <w:p>
      <w:pPr>
        <w:pStyle w:val="Heading1"/>
        <w:pBdr>
          <w:bottom w:val="single" w:color="C55A18" w:sz="12" w:space="4"/>
        </w:pBdr>
        <w:spacing w:after="200" w:before="400"/>
      </w:pPr>
      <w:r>
        <w:rPr>
          <w:b/>
          <w:bCs/>
          <w:color w:val="C55A18"/>
          <w:sz w:val="32"/>
          <w:szCs w:val="32"/>
        </w:rPr>
        <w:t xml:space="preserve">Cheat sheet — Chiffres et messages clés</w:t>
      </w:r>
    </w:p>
    <w:p>
      <w:pPr>
        <w:spacing w:after="60" w:before="60"/>
        <w:ind/>
        <w:jc w:val="left"/>
      </w:pPr>
      <w:r>
        <w:rPr>
          <w:b w:val="false"/>
          <w:bCs w:val="false"/>
          <w:i/>
          <w:iCs/>
          <w:color w:val="000000"/>
          <w:sz w:val="22"/>
          <w:szCs w:val="22"/>
        </w:rPr>
        <w:t xml:space="preserve">À lire avant d'entrer dans la salle. À garder sous les yeux pendant la démo.</w:t>
      </w:r>
    </w:p>
    <w:p>
      <w:pPr>
        <w:spacing w:after="80" w:before="80"/>
      </w:pPr>
      <w:r>
        <w:t xml:space="preserve"/>
      </w:r>
    </w:p>
    <w:p>
      <w:pPr>
        <w:pStyle w:val="Heading2"/>
        <w:spacing w:after="100" w:before="240"/>
      </w:pPr>
      <w:r>
        <w:rPr>
          <w:b/>
          <w:bCs/>
          <w:color w:val="0A6B68"/>
          <w:sz w:val="26"/>
          <w:szCs w:val="26"/>
        </w:rPr>
        <w:t xml:space="preserve">Les chiffres à connaître par cœur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E8F4F3" w:val="solid"/>
          </w:tcPr>
          <w:p>
            <w:pPr>
              <w:spacing w:after="60" w:before="60"/>
              <w:jc w:val="left"/>
            </w:pPr>
            <w:r>
              <w:rPr>
                <w:b/>
                <w:bCs/>
                <w:i w:val="false"/>
                <w:iCs w:val="false"/>
                <w:color w:val="0C1F3A"/>
                <w:sz w:val="24"/>
                <w:szCs w:val="24"/>
              </w:rPr>
              <w:t xml:space="preserve">75 cas d'usage</w:t>
            </w:r>
          </w:p>
        </w:tc>
        <w:tc>
          <w:p>
            <w:pPr>
              <w:spacing w:after="60" w:before="60"/>
              <w:jc w:val="left"/>
            </w:pPr>
            <w:r>
              <w:rPr>
                <w:b w:val="false"/>
                <w:bCs w:val="false"/>
                <w:i w:val="false"/>
                <w:iCs w:val="false"/>
                <w:color w:val="000000"/>
                <w:sz w:val="22"/>
                <w:szCs w:val="22"/>
              </w:rPr>
              <w:t xml:space="preserve">Portefeuille national total</w:t>
            </w:r>
          </w:p>
        </w:tc>
      </w:tr>
      <w:tr>
        <w:tc>
          <w:tcPr>
            <w:shd w:color="E8F4F3" w:val="solid"/>
          </w:tcPr>
          <w:p>
            <w:pPr>
              <w:spacing w:after="60" w:before="60"/>
              <w:jc w:val="left"/>
            </w:pPr>
            <w:r>
              <w:rPr>
                <w:b/>
                <w:bCs/>
                <w:i w:val="false"/>
                <w:iCs w:val="false"/>
                <w:color w:val="0C1F3A"/>
                <w:sz w:val="24"/>
                <w:szCs w:val="24"/>
              </w:rPr>
              <w:t xml:space="preserve">26 PINS-CU</w:t>
            </w:r>
          </w:p>
        </w:tc>
        <w:tc>
          <w:p>
            <w:pPr>
              <w:spacing w:after="60" w:before="60"/>
              <w:jc w:val="left"/>
            </w:pPr>
            <w:r>
              <w:rPr>
                <w:b w:val="false"/>
                <w:bCs w:val="false"/>
                <w:i w:val="false"/>
                <w:iCs w:val="false"/>
                <w:color w:val="000000"/>
                <w:sz w:val="22"/>
                <w:szCs w:val="22"/>
              </w:rPr>
              <w:t xml:space="preserve">Cas hérités de la nomenclature initiale</w:t>
            </w:r>
          </w:p>
        </w:tc>
      </w:tr>
      <w:tr>
        <w:tc>
          <w:tcPr>
            <w:shd w:color="E8F4F3" w:val="solid"/>
          </w:tcPr>
          <w:p>
            <w:pPr>
              <w:spacing w:after="60" w:before="60"/>
              <w:jc w:val="left"/>
            </w:pPr>
            <w:r>
              <w:rPr>
                <w:b/>
                <w:bCs/>
                <w:i w:val="false"/>
                <w:iCs w:val="false"/>
                <w:color w:val="0C1F3A"/>
                <w:sz w:val="24"/>
                <w:szCs w:val="24"/>
              </w:rPr>
              <w:t xml:space="preserve">7 PINS-METIER</w:t>
            </w:r>
          </w:p>
        </w:tc>
        <w:tc>
          <w:p>
            <w:pPr>
              <w:spacing w:after="60" w:before="60"/>
              <w:jc w:val="left"/>
            </w:pPr>
            <w:r>
              <w:rPr>
                <w:b w:val="false"/>
                <w:bCs w:val="false"/>
                <w:i w:val="false"/>
                <w:iCs w:val="false"/>
                <w:color w:val="000000"/>
                <w:sz w:val="22"/>
                <w:szCs w:val="22"/>
              </w:rPr>
              <w:t xml:space="preserve">Parcours métier (vue usager)</w:t>
            </w:r>
          </w:p>
        </w:tc>
      </w:tr>
      <w:tr>
        <w:tc>
          <w:tcPr>
            <w:shd w:color="E8F4F3" w:val="solid"/>
          </w:tcPr>
          <w:p>
            <w:pPr>
              <w:spacing w:after="60" w:before="60"/>
              <w:jc w:val="left"/>
            </w:pPr>
            <w:r>
              <w:rPr>
                <w:b/>
                <w:bCs/>
                <w:i w:val="false"/>
                <w:iCs w:val="false"/>
                <w:color w:val="0C1F3A"/>
                <w:sz w:val="24"/>
                <w:szCs w:val="24"/>
              </w:rPr>
              <w:t xml:space="preserve">42 PINS-TECH</w:t>
            </w:r>
          </w:p>
        </w:tc>
        <w:tc>
          <w:p>
            <w:pPr>
              <w:spacing w:after="60" w:before="60"/>
              <w:jc w:val="left"/>
            </w:pPr>
            <w:r>
              <w:rPr>
                <w:b w:val="false"/>
                <w:bCs w:val="false"/>
                <w:i w:val="false"/>
                <w:iCs w:val="false"/>
                <w:color w:val="000000"/>
                <w:sz w:val="22"/>
                <w:szCs w:val="22"/>
              </w:rPr>
              <w:t xml:space="preserve">Services techniques (API réutilisables)</w:t>
            </w:r>
          </w:p>
        </w:tc>
      </w:tr>
      <w:tr>
        <w:tc>
          <w:tcPr>
            <w:shd w:color="E8F4F3" w:val="solid"/>
          </w:tcPr>
          <w:p>
            <w:pPr>
              <w:spacing w:after="60" w:before="60"/>
              <w:jc w:val="left"/>
            </w:pPr>
            <w:r>
              <w:rPr>
                <w:b/>
                <w:bCs/>
                <w:i w:val="false"/>
                <w:iCs w:val="false"/>
                <w:color w:val="0C1F3A"/>
                <w:sz w:val="24"/>
                <w:szCs w:val="24"/>
              </w:rPr>
              <w:t xml:space="preserve">13 soumissions actives</w:t>
            </w:r>
          </w:p>
        </w:tc>
        <w:tc>
          <w:p>
            <w:pPr>
              <w:spacing w:after="60" w:before="60"/>
              <w:jc w:val="left"/>
            </w:pPr>
            <w:r>
              <w:rPr>
                <w:b w:val="false"/>
                <w:bCs w:val="false"/>
                <w:i w:val="false"/>
                <w:iCs w:val="false"/>
                <w:color w:val="000000"/>
                <w:sz w:val="22"/>
                <w:szCs w:val="22"/>
              </w:rPr>
              <w:t xml:space="preserve">10 SUBMITTED, 2 DRAFT, 1 VALIDATED</w:t>
            </w:r>
          </w:p>
        </w:tc>
      </w:tr>
      <w:tr>
        <w:tc>
          <w:tcPr>
            <w:shd w:color="E8F4F3" w:val="solid"/>
          </w:tcPr>
          <w:p>
            <w:pPr>
              <w:spacing w:after="60" w:before="60"/>
              <w:jc w:val="left"/>
            </w:pPr>
            <w:r>
              <w:rPr>
                <w:b/>
                <w:bCs/>
                <w:i w:val="false"/>
                <w:iCs w:val="false"/>
                <w:color w:val="0C1F3A"/>
                <w:sz w:val="24"/>
                <w:szCs w:val="24"/>
              </w:rPr>
              <w:t xml:space="preserve">9 administrations engagées</w:t>
            </w:r>
          </w:p>
        </w:tc>
        <w:tc>
          <w:p>
            <w:pPr>
              <w:spacing w:after="60" w:before="60"/>
              <w:jc w:val="left"/>
            </w:pPr>
            <w:r>
              <w:rPr>
                <w:b w:val="false"/>
                <w:bCs w:val="false"/>
                <w:i w:val="false"/>
                <w:iCs w:val="false"/>
                <w:color w:val="000000"/>
                <w:sz w:val="22"/>
                <w:szCs w:val="22"/>
              </w:rPr>
              <w:t xml:space="preserve">ANSD, DGID, APIX, AGEROUTE, MEN, MEPC, MMESS, ITA</w:t>
            </w:r>
          </w:p>
        </w:tc>
      </w:tr>
      <w:tr>
        <w:tc>
          <w:tcPr>
            <w:shd w:color="E8F4F3" w:val="solid"/>
          </w:tcPr>
          <w:p>
            <w:pPr>
              <w:spacing w:after="60" w:before="60"/>
              <w:jc w:val="left"/>
            </w:pPr>
            <w:r>
              <w:rPr>
                <w:b/>
                <w:bCs/>
                <w:i w:val="false"/>
                <w:iCs w:val="false"/>
                <w:color w:val="0C1F3A"/>
                <w:sz w:val="24"/>
                <w:szCs w:val="24"/>
              </w:rPr>
              <w:t xml:space="preserve">72 utilisateurs</w:t>
            </w:r>
          </w:p>
        </w:tc>
        <w:tc>
          <w:p>
            <w:pPr>
              <w:spacing w:after="60" w:before="60"/>
              <w:jc w:val="left"/>
            </w:pPr>
            <w:r>
              <w:rPr>
                <w:b w:val="false"/>
                <w:bCs w:val="false"/>
                <w:i w:val="false"/>
                <w:iCs w:val="false"/>
                <w:color w:val="000000"/>
                <w:sz w:val="22"/>
                <w:szCs w:val="22"/>
              </w:rPr>
              <w:t xml:space="preserve">Dont 56 nouveaux comptes pour l'atelier</w:t>
            </w:r>
          </w:p>
        </w:tc>
      </w:tr>
      <w:tr>
        <w:tc>
          <w:tcPr>
            <w:shd w:color="E8F4F3" w:val="solid"/>
          </w:tcPr>
          <w:p>
            <w:pPr>
              <w:spacing w:after="60" w:before="60"/>
              <w:jc w:val="left"/>
            </w:pPr>
            <w:r>
              <w:rPr>
                <w:b/>
                <w:bCs/>
                <w:i w:val="false"/>
                <w:iCs w:val="false"/>
                <w:color w:val="0C1F3A"/>
                <w:sz w:val="24"/>
                <w:szCs w:val="24"/>
              </w:rPr>
              <w:t xml:space="preserve">212 institutions</w:t>
            </w:r>
          </w:p>
        </w:tc>
        <w:tc>
          <w:p>
            <w:pPr>
              <w:spacing w:after="60" w:before="60"/>
              <w:jc w:val="left"/>
            </w:pPr>
            <w:r>
              <w:rPr>
                <w:b w:val="false"/>
                <w:bCs w:val="false"/>
                <w:i w:val="false"/>
                <w:iCs w:val="false"/>
                <w:color w:val="000000"/>
                <w:sz w:val="22"/>
                <w:szCs w:val="22"/>
              </w:rPr>
              <w:t xml:space="preserve">Dans le référentiel (dont 11 ajoutées hier)</w:t>
            </w:r>
          </w:p>
        </w:tc>
      </w:tr>
      <w:tr>
        <w:tc>
          <w:tcPr>
            <w:shd w:color="E8F4F3" w:val="solid"/>
          </w:tcPr>
          <w:p>
            <w:pPr>
              <w:spacing w:after="60" w:before="60"/>
              <w:jc w:val="left"/>
            </w:pPr>
            <w:r>
              <w:rPr>
                <w:b/>
                <w:bCs/>
                <w:i w:val="false"/>
                <w:iCs w:val="false"/>
                <w:color w:val="0C1F3A"/>
                <w:sz w:val="24"/>
                <w:szCs w:val="24"/>
              </w:rPr>
              <w:t xml:space="preserve">28 institutions pressenties</w:t>
            </w:r>
          </w:p>
        </w:tc>
        <w:tc>
          <w:p>
            <w:pPr>
              <w:spacing w:after="60" w:before="60"/>
              <w:jc w:val="left"/>
            </w:pPr>
            <w:r>
              <w:rPr>
                <w:b w:val="false"/>
                <w:bCs w:val="false"/>
                <w:i w:val="false"/>
                <w:iCs w:val="false"/>
                <w:color w:val="000000"/>
                <w:sz w:val="22"/>
                <w:szCs w:val="22"/>
              </w:rPr>
              <w:t xml:space="preserve">Sur l'ensemble des cas d'usage</w:t>
            </w:r>
          </w:p>
        </w:tc>
      </w:tr>
    </w:tbl>
    <w:p>
      <w:pPr>
        <w:spacing w:after="80" w:before="80"/>
      </w:pPr>
      <w:r>
        <w:t xml:space="preserve"/>
      </w:r>
    </w:p>
    <w:p>
      <w:pPr>
        <w:pStyle w:val="Heading2"/>
        <w:spacing w:after="100" w:before="240"/>
      </w:pPr>
      <w:r>
        <w:rPr>
          <w:b/>
          <w:bCs/>
          <w:color w:val="0A6B68"/>
          <w:sz w:val="26"/>
          <w:szCs w:val="26"/>
        </w:rPr>
        <w:t xml:space="preserve">Les 3 phrases à dégainer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CF1E8" w:val="solid"/>
          </w:tcPr>
          <w:p>
            <w:pPr>
              <w:spacing w:after="60" w:before="100"/>
            </w:pPr>
            <w:r>
              <w:rPr>
                <w:b/>
                <w:bCs/>
                <w:color w:val="0A6B68"/>
                <w:sz w:val="22"/>
                <w:szCs w:val="22"/>
              </w:rPr>
              <w:t xml:space="preserve">Si on demande la maturité</w:t>
            </w:r>
          </w:p>
          <w:p>
            <w:pPr>
              <w:spacing w:after="100" w:before="60"/>
            </w:pPr>
            <w:r>
              <w:rPr>
                <w:i/>
                <w:iCs/>
                <w:sz w:val="22"/>
                <w:szCs w:val="22"/>
              </w:rPr>
              <w:t xml:space="preserve">« PINS n'est pas un projet, c'est une réalité opérationnelle. L'ANSD a finalisé sa soumission le 30 avril, et 8 autres administrations sont déjà engagées. »</w:t>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CF1E8" w:val="solid"/>
          </w:tcPr>
          <w:p>
            <w:pPr>
              <w:spacing w:after="60" w:before="100"/>
            </w:pPr>
            <w:r>
              <w:rPr>
                <w:b/>
                <w:bCs/>
                <w:color w:val="0A6B68"/>
                <w:sz w:val="22"/>
                <w:szCs w:val="22"/>
              </w:rPr>
              <w:t xml:space="preserve">Si on questionne les doublons</w:t>
            </w:r>
          </w:p>
          <w:p>
            <w:pPr>
              <w:spacing w:after="100" w:before="60"/>
            </w:pPr>
            <w:r>
              <w:rPr>
                <w:i/>
                <w:iCs/>
                <w:sz w:val="22"/>
                <w:szCs w:val="22"/>
              </w:rPr>
              <w:t xml:space="preserve">« Les doublons que vous observez sont assumés : ce sont les traces de notre travail de consolidation entre la nomenclature historique et la nomenclature N1. C'est exactement le rôle de la Delivery Unit. »</w:t>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CF1E8" w:val="solid"/>
          </w:tcPr>
          <w:p>
            <w:pPr>
              <w:spacing w:after="60" w:before="100"/>
            </w:pPr>
            <w:r>
              <w:rPr>
                <w:b/>
                <w:bCs/>
                <w:color w:val="0A6B68"/>
                <w:sz w:val="22"/>
                <w:szCs w:val="22"/>
              </w:rPr>
              <w:t xml:space="preserve">Si on questionne X-Road</w:t>
            </w:r>
          </w:p>
          <w:p>
            <w:pPr>
              <w:spacing w:after="100" w:before="60"/>
            </w:pPr>
            <w:r>
              <w:rPr>
                <w:i/>
                <w:iCs/>
                <w:sz w:val="22"/>
                <w:szCs w:val="22"/>
              </w:rPr>
              <w:t xml:space="preserve">« PINS s'appuie sur X-Road, déployé par la JICA. Complémentaire, pas concurrent. PINS apporte la couche d'orchestration et de gouvernance. »</w:t>
            </w:r>
          </w:p>
        </w:tc>
      </w:tr>
    </w:tbl>
    <w:p>
      <w:pPr>
        <w:spacing w:after="80" w:before="80"/>
      </w:pPr>
      <w:r>
        <w:t xml:space="preserve"/>
      </w:r>
    </w:p>
    <w:p>
      <w:pPr>
        <w:pStyle w:val="Heading2"/>
        <w:spacing w:after="100" w:before="240"/>
      </w:pPr>
      <w:r>
        <w:rPr>
          <w:b/>
          <w:bCs/>
          <w:color w:val="0A6B68"/>
          <w:sz w:val="26"/>
          <w:szCs w:val="26"/>
        </w:rPr>
        <w:t xml:space="preserve">À NE PAS dire</w:t>
      </w:r>
    </w:p>
    <w:p>
      <w:pPr>
        <w:pStyle w:val="ListParagraph"/>
        <w:numPr>
          <w:ilvl w:val="0"/>
          <w:numId w:val="1"/>
        </w:numPr>
        <w:spacing w:after="30" w:before="30"/>
      </w:pPr>
      <w:r>
        <w:rPr>
          <w:sz w:val="22"/>
          <w:szCs w:val="22"/>
        </w:rPr>
        <w:t xml:space="preserve">'C'est encore en développement' — dire plutôt 'en exploitation active'</w:t>
      </w:r>
    </w:p>
    <w:p>
      <w:pPr>
        <w:pStyle w:val="ListParagraph"/>
        <w:numPr>
          <w:ilvl w:val="0"/>
          <w:numId w:val="1"/>
        </w:numPr>
        <w:spacing w:after="30" w:before="30"/>
      </w:pPr>
      <w:r>
        <w:rPr>
          <w:sz w:val="22"/>
          <w:szCs w:val="22"/>
        </w:rPr>
        <w:t xml:space="preserve">'On a eu un bug...' — toujours montrer la voie de résolution</w:t>
      </w:r>
    </w:p>
    <w:p>
      <w:pPr>
        <w:pStyle w:val="ListParagraph"/>
        <w:numPr>
          <w:ilvl w:val="0"/>
          <w:numId w:val="1"/>
        </w:numPr>
        <w:spacing w:after="30" w:before="30"/>
      </w:pPr>
      <w:r>
        <w:rPr>
          <w:sz w:val="22"/>
          <w:szCs w:val="22"/>
        </w:rPr>
        <w:t xml:space="preserve">'Je ne sais pas' seul — ajouter 'je vous reviens dessus avant vendredi'</w:t>
      </w:r>
    </w:p>
    <w:p>
      <w:pPr>
        <w:pStyle w:val="ListParagraph"/>
        <w:numPr>
          <w:ilvl w:val="0"/>
          <w:numId w:val="1"/>
        </w:numPr>
        <w:spacing w:after="30" w:before="30"/>
      </w:pPr>
      <w:r>
        <w:rPr>
          <w:sz w:val="22"/>
          <w:szCs w:val="22"/>
        </w:rPr>
        <w:t xml:space="preserve">Le step exact ANSD (7 ou 8) — dire juste 'a soumis le 30 avril'</w:t>
      </w:r>
    </w:p>
    <w:p>
      <w:r>
        <w:br w:type="page"/>
      </w:r>
    </w:p>
    <w:p>
      <w:pPr>
        <w:pStyle w:val="Heading1"/>
        <w:pBdr>
          <w:bottom w:val="single" w:color="0C1F3A" w:sz="12" w:space="4"/>
        </w:pBdr>
        <w:spacing w:after="200" w:before="400"/>
      </w:pPr>
      <w:r>
        <w:rPr>
          <w:b/>
          <w:bCs/>
          <w:color w:val="0C1F3A"/>
          <w:sz w:val="32"/>
          <w:szCs w:val="32"/>
        </w:rPr>
        <w:t xml:space="preserve">Checklist préalable</w:t>
      </w:r>
    </w:p>
    <w:p>
      <w:pPr>
        <w:spacing w:after="60" w:before="60"/>
        <w:ind/>
        <w:jc w:val="left"/>
      </w:pPr>
      <w:r>
        <w:rPr>
          <w:b w:val="false"/>
          <w:bCs w:val="false"/>
          <w:i/>
          <w:iCs/>
          <w:color w:val="000000"/>
          <w:sz w:val="22"/>
          <w:szCs w:val="22"/>
        </w:rPr>
        <w:t xml:space="preserve">À faire impérativement avant l'entrée dans la salle.</w:t>
      </w:r>
    </w:p>
    <w:p>
      <w:pPr>
        <w:spacing w:after="80" w:before="80"/>
      </w:pPr>
      <w:r>
        <w:t xml:space="preserve"/>
      </w:r>
    </w:p>
    <w:p>
      <w:pPr>
        <w:pStyle w:val="Heading2"/>
        <w:spacing w:after="100" w:before="240"/>
      </w:pPr>
      <w:r>
        <w:rPr>
          <w:b/>
          <w:bCs/>
          <w:color w:val="0A6B68"/>
          <w:sz w:val="26"/>
          <w:szCs w:val="26"/>
        </w:rPr>
        <w:t xml:space="preserve">Technique</w:t>
      </w:r>
    </w:p>
    <w:p>
      <w:pPr>
        <w:spacing w:after="50" w:before="50"/>
        <w:ind w:left="200"/>
      </w:pPr>
      <w:r>
        <w:rPr>
          <w:sz w:val="22"/>
          <w:szCs w:val="22"/>
        </w:rPr>
        <w:t xml:space="preserve">☐  Wifi salle testé (débit &gt; 5 Mbps vérifié sur fast.com)</w:t>
      </w:r>
    </w:p>
    <w:p>
      <w:pPr>
        <w:spacing w:after="50" w:before="50"/>
        <w:ind w:left="200"/>
      </w:pPr>
      <w:r>
        <w:rPr>
          <w:sz w:val="22"/>
          <w:szCs w:val="22"/>
        </w:rPr>
        <w:t xml:space="preserve">☐  Connexion à dpi-interop.senum.sn vérifiée depuis la salle</w:t>
      </w:r>
    </w:p>
    <w:p>
      <w:pPr>
        <w:spacing w:after="50" w:before="50"/>
        <w:ind w:left="200"/>
      </w:pPr>
      <w:r>
        <w:rPr>
          <w:sz w:val="22"/>
          <w:szCs w:val="22"/>
        </w:rPr>
        <w:t xml:space="preserve">☐  Login admin testé (admin@senum.sn / AdminDPI@2026!!!)</w:t>
      </w:r>
    </w:p>
    <w:p>
      <w:pPr>
        <w:spacing w:after="50" w:before="50"/>
        <w:ind w:left="200"/>
      </w:pPr>
      <w:r>
        <w:rPr>
          <w:sz w:val="22"/>
          <w:szCs w:val="22"/>
        </w:rPr>
        <w:t xml:space="preserve">☐  Login institution testé (dsi@dgid.sn / Password123)</w:t>
      </w:r>
    </w:p>
    <w:p>
      <w:pPr>
        <w:spacing w:after="50" w:before="50"/>
        <w:ind w:left="200"/>
      </w:pPr>
      <w:r>
        <w:rPr>
          <w:sz w:val="22"/>
          <w:szCs w:val="22"/>
        </w:rPr>
        <w:t xml:space="preserve">☐  2e onglet ouvert avec compte institution prêt</w:t>
      </w:r>
    </w:p>
    <w:p>
      <w:pPr>
        <w:spacing w:after="50" w:before="50"/>
        <w:ind w:left="200"/>
      </w:pPr>
      <w:r>
        <w:rPr>
          <w:sz w:val="22"/>
          <w:szCs w:val="22"/>
        </w:rPr>
        <w:t xml:space="preserve">☐  Cache navigateur vidé / navigation privée fraîche</w:t>
      </w:r>
    </w:p>
    <w:p>
      <w:pPr>
        <w:spacing w:after="50" w:before="50"/>
        <w:ind w:left="200"/>
      </w:pPr>
      <w:r>
        <w:rPr>
          <w:sz w:val="22"/>
          <w:szCs w:val="22"/>
        </w:rPr>
        <w:t xml:space="preserve">☐  PDF de secours du présent guide ouvert sur le PC</w:t>
      </w:r>
    </w:p>
    <w:p>
      <w:pPr>
        <w:spacing w:after="50" w:before="50"/>
        <w:ind w:left="200"/>
      </w:pPr>
      <w:r>
        <w:rPr>
          <w:sz w:val="22"/>
          <w:szCs w:val="22"/>
        </w:rPr>
        <w:t xml:space="preserve">☐  Captures d'écran pré-faites sauvegardées en local</w:t>
      </w:r>
    </w:p>
    <w:p>
      <w:pPr>
        <w:spacing w:after="50" w:before="50"/>
        <w:ind w:left="200"/>
      </w:pPr>
      <w:r>
        <w:rPr>
          <w:sz w:val="22"/>
          <w:szCs w:val="22"/>
        </w:rPr>
        <w:t xml:space="preserve">☐  DIAGNOSTIC URGENT : vérifier en navigation privée que l'admin voit bien la soumission ANSD du 30/04</w:t>
      </w:r>
    </w:p>
    <w:p>
      <w:pPr>
        <w:spacing w:after="80" w:before="80"/>
      </w:pPr>
      <w:r>
        <w:t xml:space="preserve"/>
      </w:r>
    </w:p>
    <w:p>
      <w:pPr>
        <w:pStyle w:val="Heading2"/>
        <w:spacing w:after="100" w:before="240"/>
      </w:pPr>
      <w:r>
        <w:rPr>
          <w:b/>
          <w:bCs/>
          <w:color w:val="0A6B68"/>
          <w:sz w:val="26"/>
          <w:szCs w:val="26"/>
        </w:rPr>
        <w:t xml:space="preserve">Logistique</w:t>
      </w:r>
    </w:p>
    <w:p>
      <w:pPr>
        <w:spacing w:after="50" w:before="50"/>
        <w:ind w:left="200"/>
      </w:pPr>
      <w:r>
        <w:rPr>
          <w:sz w:val="22"/>
          <w:szCs w:val="22"/>
        </w:rPr>
        <w:t xml:space="preserve">☐  Eau / café à portée</w:t>
      </w:r>
    </w:p>
    <w:p>
      <w:pPr>
        <w:spacing w:after="50" w:before="50"/>
        <w:ind w:left="200"/>
      </w:pPr>
      <w:r>
        <w:rPr>
          <w:sz w:val="22"/>
          <w:szCs w:val="22"/>
        </w:rPr>
        <w:t xml:space="preserve">☐  Slide d'attente projetée (logo PINS)</w:t>
      </w:r>
    </w:p>
    <w:p>
      <w:pPr>
        <w:spacing w:after="50" w:before="50"/>
        <w:ind w:left="200"/>
      </w:pPr>
      <w:r>
        <w:rPr>
          <w:sz w:val="22"/>
          <w:szCs w:val="22"/>
        </w:rPr>
        <w:t xml:space="preserve">☐  Tableau Excel des 56 comptes participants prêt à distribuer</w:t>
      </w:r>
    </w:p>
    <w:p>
      <w:pPr>
        <w:spacing w:after="50" w:before="50"/>
        <w:ind w:left="200"/>
      </w:pPr>
      <w:r>
        <w:rPr>
          <w:sz w:val="22"/>
          <w:szCs w:val="22"/>
        </w:rPr>
        <w:t xml:space="preserve">☐  Téléphone en mode silencieux</w:t>
      </w:r>
    </w:p>
    <w:p>
      <w:pPr>
        <w:spacing w:after="50" w:before="50"/>
        <w:ind w:left="200"/>
      </w:pPr>
      <w:r>
        <w:rPr>
          <w:sz w:val="22"/>
          <w:szCs w:val="22"/>
        </w:rPr>
        <w:t xml:space="preserve">☐  Mode "ne pas déranger" activé sur le PC</w:t>
      </w:r>
    </w:p>
    <w:p>
      <w:pPr>
        <w:spacing w:after="80" w:before="80"/>
      </w:pPr>
      <w:r>
        <w:t xml:space="preserve"/>
      </w:r>
    </w:p>
    <w:p>
      <w:pPr>
        <w:pStyle w:val="Heading2"/>
        <w:spacing w:after="100" w:before="240"/>
      </w:pPr>
      <w:r>
        <w:rPr>
          <w:b/>
          <w:bCs/>
          <w:color w:val="0A6B68"/>
          <w:sz w:val="26"/>
          <w:szCs w:val="26"/>
        </w:rPr>
        <w:t xml:space="preserve">Mental</w:t>
      </w:r>
    </w:p>
    <w:p>
      <w:pPr>
        <w:spacing w:after="50" w:before="50"/>
        <w:ind w:left="200"/>
      </w:pPr>
      <w:r>
        <w:rPr>
          <w:sz w:val="22"/>
          <w:szCs w:val="22"/>
        </w:rPr>
        <w:t xml:space="preserve">☐  Cheat sheet relue 2 fois</w:t>
      </w:r>
    </w:p>
    <w:p>
      <w:pPr>
        <w:spacing w:after="50" w:before="50"/>
        <w:ind w:left="200"/>
      </w:pPr>
      <w:r>
        <w:rPr>
          <w:sz w:val="22"/>
          <w:szCs w:val="22"/>
        </w:rPr>
        <w:t xml:space="preserve">☐  Phrase d'ouverture visualisée mot pour mot</w:t>
      </w:r>
    </w:p>
    <w:p>
      <w:pPr>
        <w:spacing w:after="50" w:before="50"/>
        <w:ind w:left="200"/>
      </w:pPr>
      <w:r>
        <w:rPr>
          <w:sz w:val="22"/>
          <w:szCs w:val="22"/>
        </w:rPr>
        <w:t xml:space="preserve">☐  Respiration calme prise avant d'entrer</w:t>
      </w:r>
    </w:p>
    <w:p>
      <w:r>
        <w:br w:type="page"/>
      </w:r>
    </w:p>
    <w:p>
      <w:pPr>
        <w:pStyle w:val="Heading1"/>
        <w:pBdr>
          <w:bottom w:val="single" w:color="0C1F3A" w:sz="12" w:space="4"/>
        </w:pBdr>
        <w:spacing w:after="200" w:before="400"/>
      </w:pPr>
      <w:r>
        <w:rPr>
          <w:b/>
          <w:bCs/>
          <w:color w:val="0C1F3A"/>
          <w:sz w:val="32"/>
          <w:szCs w:val="32"/>
        </w:rPr>
        <w:t xml:space="preserve">Sommaire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F4F4F4" w:val="solid"/>
          </w:tcPr>
          <w:p>
            <w:pPr>
              <w:spacing w:after="60" w:before="60"/>
              <w:jc w:val="left"/>
            </w:pPr>
            <w:r>
              <w:rPr>
                <w:b/>
                <w:bCs/>
                <w:i w:val="false"/>
                <w:iCs w:val="false"/>
                <w:color w:val="000000"/>
                <w:sz w:val="22"/>
                <w:szCs w:val="22"/>
              </w:rPr>
              <w:t xml:space="preserve">Cheat sheet</w:t>
            </w:r>
          </w:p>
        </w:tc>
        <w:tc>
          <w:tcPr>
            <w:shd w:color="F4F4F4" w:val="solid"/>
          </w:tcPr>
          <w:p>
            <w:pPr>
              <w:spacing w:after="60" w:before="60"/>
              <w:jc w:val="left"/>
            </w:pPr>
            <w:r>
              <w:rPr>
                <w:b w:val="false"/>
                <w:bCs w:val="false"/>
                <w:i w:val="false"/>
                <w:iCs w:val="false"/>
                <w:color w:val="000000"/>
                <w:sz w:val="22"/>
                <w:szCs w:val="22"/>
              </w:rPr>
              <w:t xml:space="preserve">Chiffres et messages clés</w:t>
            </w:r>
          </w:p>
        </w:tc>
        <w:tc>
          <w:tcPr>
            <w:shd w:color="F4F4F4" w:val="solid"/>
          </w:tcPr>
          <w:p>
            <w:pPr>
              <w:spacing w:after="60" w:before="60"/>
              <w:jc w:val="left"/>
            </w:pPr>
            <w:r>
              <w:rPr>
                <w:b w:val="false"/>
                <w:bCs w:val="false"/>
                <w:i w:val="false"/>
                <w:iCs w:val="false"/>
                <w:color w:val="000000"/>
                <w:sz w:val="22"/>
                <w:szCs w:val="22"/>
              </w:rPr>
              <w:t xml:space="preserve">—</w:t>
            </w:r>
          </w:p>
        </w:tc>
      </w:tr>
      <w:tr>
        <w:tc>
          <w:p>
            <w:pPr>
              <w:spacing w:after="60" w:before="60"/>
              <w:jc w:val="left"/>
            </w:pPr>
            <w:r>
              <w:rPr>
                <w:b/>
                <w:bCs/>
                <w:i w:val="false"/>
                <w:iCs w:val="false"/>
                <w:color w:val="000000"/>
                <w:sz w:val="22"/>
                <w:szCs w:val="22"/>
              </w:rPr>
              <w:t xml:space="preserve">Checklist</w:t>
            </w:r>
          </w:p>
        </w:tc>
        <w:tc>
          <w:p>
            <w:pPr>
              <w:spacing w:after="60" w:before="60"/>
              <w:jc w:val="left"/>
            </w:pPr>
            <w:r>
              <w:rPr>
                <w:b w:val="false"/>
                <w:bCs w:val="false"/>
                <w:i w:val="false"/>
                <w:iCs w:val="false"/>
                <w:color w:val="000000"/>
                <w:sz w:val="22"/>
                <w:szCs w:val="22"/>
              </w:rPr>
              <w:t xml:space="preserve">À faire avant la salle</w:t>
            </w:r>
          </w:p>
        </w:tc>
        <w:tc>
          <w:p>
            <w:pPr>
              <w:spacing w:after="60" w:before="60"/>
              <w:jc w:val="left"/>
            </w:pPr>
            <w:r>
              <w:rPr>
                <w:b w:val="false"/>
                <w:bCs w:val="false"/>
                <w:i w:val="false"/>
                <w:iCs w:val="false"/>
                <w:color w:val="000000"/>
                <w:sz w:val="22"/>
                <w:szCs w:val="22"/>
              </w:rPr>
              <w:t xml:space="preserve">—</w:t>
            </w:r>
          </w:p>
        </w:tc>
      </w:tr>
      <w:tr>
        <w:tc>
          <w:tcPr>
            <w:shd w:color="F4F4F4" w:val="solid"/>
          </w:tcPr>
          <w:p>
            <w:pPr>
              <w:spacing w:after="60" w:before="60"/>
              <w:jc w:val="left"/>
            </w:pPr>
            <w:r>
              <w:rPr>
                <w:b/>
                <w:bCs/>
                <w:i w:val="false"/>
                <w:iCs w:val="false"/>
                <w:color w:val="000000"/>
                <w:sz w:val="22"/>
                <w:szCs w:val="22"/>
              </w:rPr>
              <w:t xml:space="preserve">Séquence 1</w:t>
            </w:r>
          </w:p>
        </w:tc>
        <w:tc>
          <w:tcPr>
            <w:shd w:color="F4F4F4" w:val="solid"/>
          </w:tcPr>
          <w:p>
            <w:pPr>
              <w:spacing w:after="60" w:before="60"/>
              <w:jc w:val="left"/>
            </w:pPr>
            <w:r>
              <w:rPr>
                <w:b w:val="false"/>
                <w:bCs w:val="false"/>
                <w:i w:val="false"/>
                <w:iCs w:val="false"/>
                <w:color w:val="000000"/>
                <w:sz w:val="22"/>
                <w:szCs w:val="22"/>
              </w:rPr>
              <w:t xml:space="preserve">Introduction</w:t>
            </w:r>
          </w:p>
        </w:tc>
        <w:tc>
          <w:tcPr>
            <w:shd w:color="F4F4F4" w:val="solid"/>
          </w:tcPr>
          <w:p>
            <w:pPr>
              <w:spacing w:after="60" w:before="60"/>
              <w:jc w:val="left"/>
            </w:pPr>
            <w:r>
              <w:rPr>
                <w:b w:val="false"/>
                <w:bCs w:val="false"/>
                <w:i w:val="false"/>
                <w:iCs w:val="false"/>
                <w:color w:val="000000"/>
                <w:sz w:val="22"/>
                <w:szCs w:val="22"/>
              </w:rPr>
              <w:t xml:space="preserve">5 min</w:t>
            </w:r>
          </w:p>
        </w:tc>
      </w:tr>
      <w:tr>
        <w:tc>
          <w:p>
            <w:pPr>
              <w:spacing w:after="60" w:before="60"/>
              <w:jc w:val="left"/>
            </w:pPr>
            <w:r>
              <w:rPr>
                <w:b/>
                <w:bCs/>
                <w:i w:val="false"/>
                <w:iCs w:val="false"/>
                <w:color w:val="000000"/>
                <w:sz w:val="22"/>
                <w:szCs w:val="22"/>
              </w:rPr>
              <w:t xml:space="preserve">Séquence 2</w:t>
            </w:r>
          </w:p>
        </w:tc>
        <w:tc>
          <w:p>
            <w:pPr>
              <w:spacing w:after="60" w:before="60"/>
              <w:jc w:val="left"/>
            </w:pPr>
            <w:r>
              <w:rPr>
                <w:b w:val="false"/>
                <w:bCs w:val="false"/>
                <w:i w:val="false"/>
                <w:iCs w:val="false"/>
                <w:color w:val="000000"/>
                <w:sz w:val="22"/>
                <w:szCs w:val="22"/>
              </w:rPr>
              <w:t xml:space="preserve">Pourquoi un outil de recensement</w:t>
            </w:r>
          </w:p>
        </w:tc>
        <w:tc>
          <w:p>
            <w:pPr>
              <w:spacing w:after="60" w:before="60"/>
              <w:jc w:val="left"/>
            </w:pPr>
            <w:r>
              <w:rPr>
                <w:b w:val="false"/>
                <w:bCs w:val="false"/>
                <w:i w:val="false"/>
                <w:iCs w:val="false"/>
                <w:color w:val="000000"/>
                <w:sz w:val="22"/>
                <w:szCs w:val="22"/>
              </w:rPr>
              <w:t xml:space="preserve">10 min</w:t>
            </w:r>
          </w:p>
        </w:tc>
      </w:tr>
      <w:tr>
        <w:tc>
          <w:tcPr>
            <w:shd w:color="F4F4F4" w:val="solid"/>
          </w:tcPr>
          <w:p>
            <w:pPr>
              <w:spacing w:after="60" w:before="60"/>
              <w:jc w:val="left"/>
            </w:pPr>
            <w:r>
              <w:rPr>
                <w:b/>
                <w:bCs/>
                <w:i w:val="false"/>
                <w:iCs w:val="false"/>
                <w:color w:val="000000"/>
                <w:sz w:val="22"/>
                <w:szCs w:val="22"/>
              </w:rPr>
              <w:t xml:space="preserve">Séquence 3</w:t>
            </w:r>
          </w:p>
        </w:tc>
        <w:tc>
          <w:tcPr>
            <w:shd w:color="F4F4F4" w:val="solid"/>
          </w:tcPr>
          <w:p>
            <w:pPr>
              <w:spacing w:after="60" w:before="60"/>
              <w:jc w:val="left"/>
            </w:pPr>
            <w:r>
              <w:rPr>
                <w:b w:val="false"/>
                <w:bCs w:val="false"/>
                <w:i w:val="false"/>
                <w:iCs w:val="false"/>
                <w:color w:val="000000"/>
                <w:sz w:val="22"/>
                <w:szCs w:val="22"/>
              </w:rPr>
              <w:t xml:space="preserve">Démonstration live (cœur)</w:t>
            </w:r>
          </w:p>
        </w:tc>
        <w:tc>
          <w:tcPr>
            <w:shd w:color="F4F4F4" w:val="solid"/>
          </w:tcPr>
          <w:p>
            <w:pPr>
              <w:spacing w:after="60" w:before="60"/>
              <w:jc w:val="left"/>
            </w:pPr>
            <w:r>
              <w:rPr>
                <w:b w:val="false"/>
                <w:bCs w:val="false"/>
                <w:i w:val="false"/>
                <w:iCs w:val="false"/>
                <w:color w:val="000000"/>
                <w:sz w:val="22"/>
                <w:szCs w:val="22"/>
              </w:rPr>
              <w:t xml:space="preserve">35 min</w:t>
            </w:r>
          </w:p>
        </w:tc>
      </w:tr>
      <w:tr>
        <w:tc>
          <w:p>
            <w:pPr>
              <w:spacing w:after="60" w:before="60"/>
              <w:jc w:val="left"/>
            </w:pPr>
            <w:r>
              <w:rPr>
                <w:b/>
                <w:bCs/>
                <w:i w:val="false"/>
                <w:iCs w:val="false"/>
                <w:color w:val="000000"/>
                <w:sz w:val="22"/>
                <w:szCs w:val="22"/>
              </w:rPr>
              <w:t xml:space="preserve">Séquence 4</w:t>
            </w:r>
          </w:p>
        </w:tc>
        <w:tc>
          <w:p>
            <w:pPr>
              <w:spacing w:after="60" w:before="60"/>
              <w:jc w:val="left"/>
            </w:pPr>
            <w:r>
              <w:rPr>
                <w:b w:val="false"/>
                <w:bCs w:val="false"/>
                <w:i w:val="false"/>
                <w:iCs w:val="false"/>
                <w:color w:val="000000"/>
                <w:sz w:val="22"/>
                <w:szCs w:val="22"/>
              </w:rPr>
              <w:t xml:space="preserve">Cas d'usage emblématiques</w:t>
            </w:r>
          </w:p>
        </w:tc>
        <w:tc>
          <w:p>
            <w:pPr>
              <w:spacing w:after="60" w:before="60"/>
              <w:jc w:val="left"/>
            </w:pPr>
            <w:r>
              <w:rPr>
                <w:b w:val="false"/>
                <w:bCs w:val="false"/>
                <w:i w:val="false"/>
                <w:iCs w:val="false"/>
                <w:color w:val="000000"/>
                <w:sz w:val="22"/>
                <w:szCs w:val="22"/>
              </w:rPr>
              <w:t xml:space="preserve">10 min</w:t>
            </w:r>
          </w:p>
        </w:tc>
      </w:tr>
      <w:tr>
        <w:tc>
          <w:tcPr>
            <w:shd w:color="F4F4F4" w:val="solid"/>
          </w:tcPr>
          <w:p>
            <w:pPr>
              <w:spacing w:after="60" w:before="60"/>
              <w:jc w:val="left"/>
            </w:pPr>
            <w:r>
              <w:rPr>
                <w:b/>
                <w:bCs/>
                <w:i w:val="false"/>
                <w:iCs w:val="false"/>
                <w:color w:val="000000"/>
                <w:sz w:val="22"/>
                <w:szCs w:val="22"/>
              </w:rPr>
              <w:t xml:space="preserve">Séquence 5</w:t>
            </w:r>
          </w:p>
        </w:tc>
        <w:tc>
          <w:tcPr>
            <w:shd w:color="F4F4F4" w:val="solid"/>
          </w:tcPr>
          <w:p>
            <w:pPr>
              <w:spacing w:after="60" w:before="60"/>
              <w:jc w:val="left"/>
            </w:pPr>
            <w:r>
              <w:rPr>
                <w:b w:val="false"/>
                <w:bCs w:val="false"/>
                <w:i w:val="false"/>
                <w:iCs w:val="false"/>
                <w:color w:val="000000"/>
                <w:sz w:val="22"/>
                <w:szCs w:val="22"/>
              </w:rPr>
              <w:t xml:space="preserve">Appel à contribution</w:t>
            </w:r>
          </w:p>
        </w:tc>
        <w:tc>
          <w:tcPr>
            <w:shd w:color="F4F4F4" w:val="solid"/>
          </w:tcPr>
          <w:p>
            <w:pPr>
              <w:spacing w:after="60" w:before="60"/>
              <w:jc w:val="left"/>
            </w:pPr>
            <w:r>
              <w:rPr>
                <w:b w:val="false"/>
                <w:bCs w:val="false"/>
                <w:i w:val="false"/>
                <w:iCs w:val="false"/>
                <w:color w:val="000000"/>
                <w:sz w:val="22"/>
                <w:szCs w:val="22"/>
              </w:rPr>
              <w:t xml:space="preserve">10 min</w:t>
            </w:r>
          </w:p>
        </w:tc>
      </w:tr>
      <w:tr>
        <w:tc>
          <w:p>
            <w:pPr>
              <w:spacing w:after="60" w:before="60"/>
              <w:jc w:val="left"/>
            </w:pPr>
            <w:r>
              <w:rPr>
                <w:b/>
                <w:bCs/>
                <w:i w:val="false"/>
                <w:iCs w:val="false"/>
                <w:color w:val="000000"/>
                <w:sz w:val="22"/>
                <w:szCs w:val="22"/>
              </w:rPr>
              <w:t xml:space="preserve">Séquence 6</w:t>
            </w:r>
          </w:p>
        </w:tc>
        <w:tc>
          <w:p>
            <w:pPr>
              <w:spacing w:after="60" w:before="60"/>
              <w:jc w:val="left"/>
            </w:pPr>
            <w:r>
              <w:rPr>
                <w:b w:val="false"/>
                <w:bCs w:val="false"/>
                <w:i w:val="false"/>
                <w:iCs w:val="false"/>
                <w:color w:val="000000"/>
                <w:sz w:val="22"/>
                <w:szCs w:val="22"/>
              </w:rPr>
              <w:t xml:space="preserve">Questions et échanges</w:t>
            </w:r>
          </w:p>
        </w:tc>
        <w:tc>
          <w:p>
            <w:pPr>
              <w:spacing w:after="60" w:before="60"/>
              <w:jc w:val="left"/>
            </w:pPr>
            <w:r>
              <w:rPr>
                <w:b w:val="false"/>
                <w:bCs w:val="false"/>
                <w:i w:val="false"/>
                <w:iCs w:val="false"/>
                <w:color w:val="000000"/>
                <w:sz w:val="22"/>
                <w:szCs w:val="22"/>
              </w:rPr>
              <w:t xml:space="preserve">5 min</w:t>
            </w:r>
          </w:p>
        </w:tc>
      </w:tr>
      <w:tr>
        <w:tc>
          <w:tcPr>
            <w:shd w:color="F4F4F4" w:val="solid"/>
          </w:tcPr>
          <w:p>
            <w:pPr>
              <w:spacing w:after="60" w:before="60"/>
              <w:jc w:val="left"/>
            </w:pPr>
            <w:r>
              <w:rPr>
                <w:b/>
                <w:bCs/>
                <w:i w:val="false"/>
                <w:iCs w:val="false"/>
                <w:color w:val="000000"/>
                <w:sz w:val="22"/>
                <w:szCs w:val="22"/>
              </w:rPr>
              <w:t xml:space="preserve">Annexe A</w:t>
            </w:r>
          </w:p>
        </w:tc>
        <w:tc>
          <w:tcPr>
            <w:shd w:color="F4F4F4" w:val="solid"/>
          </w:tcPr>
          <w:p>
            <w:pPr>
              <w:spacing w:after="60" w:before="60"/>
              <w:jc w:val="left"/>
            </w:pPr>
            <w:r>
              <w:rPr>
                <w:b w:val="false"/>
                <w:bCs w:val="false"/>
                <w:i w:val="false"/>
                <w:iCs w:val="false"/>
                <w:color w:val="000000"/>
                <w:sz w:val="22"/>
                <w:szCs w:val="22"/>
              </w:rPr>
              <w:t xml:space="preserve">Plan B - en cas de problème technique</w:t>
            </w:r>
          </w:p>
        </w:tc>
        <w:tc>
          <w:tcPr>
            <w:shd w:color="F4F4F4" w:val="solid"/>
          </w:tcPr>
          <w:p>
            <w:pPr>
              <w:spacing w:after="60" w:before="60"/>
              <w:jc w:val="left"/>
            </w:pPr>
            <w:r>
              <w:rPr>
                <w:b w:val="false"/>
                <w:bCs w:val="false"/>
                <w:i w:val="false"/>
                <w:iCs w:val="false"/>
                <w:color w:val="000000"/>
                <w:sz w:val="22"/>
                <w:szCs w:val="22"/>
              </w:rPr>
              <w:t xml:space="preserve">—</w:t>
            </w:r>
          </w:p>
        </w:tc>
      </w:tr>
      <w:tr>
        <w:tc>
          <w:p>
            <w:pPr>
              <w:spacing w:after="60" w:before="60"/>
              <w:jc w:val="left"/>
            </w:pPr>
            <w:r>
              <w:rPr>
                <w:b/>
                <w:bCs/>
                <w:i w:val="false"/>
                <w:iCs w:val="false"/>
                <w:color w:val="000000"/>
                <w:sz w:val="22"/>
                <w:szCs w:val="22"/>
              </w:rPr>
              <w:t xml:space="preserve">Annexe B</w:t>
            </w:r>
          </w:p>
        </w:tc>
        <w:tc>
          <w:p>
            <w:pPr>
              <w:spacing w:after="60" w:before="60"/>
              <w:jc w:val="left"/>
            </w:pPr>
            <w:r>
              <w:rPr>
                <w:b w:val="false"/>
                <w:bCs w:val="false"/>
                <w:i w:val="false"/>
                <w:iCs w:val="false"/>
                <w:color w:val="000000"/>
                <w:sz w:val="22"/>
                <w:szCs w:val="22"/>
              </w:rPr>
              <w:t xml:space="preserve">FAQ enrichie</w:t>
            </w:r>
          </w:p>
        </w:tc>
        <w:tc>
          <w:p>
            <w:pPr>
              <w:spacing w:after="60" w:before="60"/>
              <w:jc w:val="left"/>
            </w:pPr>
            <w:r>
              <w:rPr>
                <w:b w:val="false"/>
                <w:bCs w:val="false"/>
                <w:i w:val="false"/>
                <w:iCs w:val="false"/>
                <w:color w:val="000000"/>
                <w:sz w:val="22"/>
                <w:szCs w:val="22"/>
              </w:rPr>
              <w:t xml:space="preserve">—</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C1F3A" w:val="solid"/>
          </w:tcPr>
          <w:p>
            <w:pPr>
              <w:spacing w:after="60" w:before="100"/>
              <w:jc w:val="center"/>
            </w:pPr>
            <w:r>
              <w:rPr>
                <w:b/>
                <w:bCs/>
                <w:color w:val="FFFFFF"/>
                <w:sz w:val="28"/>
                <w:szCs w:val="28"/>
              </w:rPr>
              <w:t xml:space="preserve">SÉQUENCE 1 — INTRODUCTION</w:t>
            </w:r>
          </w:p>
          <w:p>
            <w:pPr>
              <w:spacing w:after="100" w:before="0"/>
              <w:jc w:val="center"/>
            </w:pPr>
            <w:r>
              <w:rPr>
                <w:color w:val="FFFFFF"/>
                <w:sz w:val="22"/>
                <w:szCs w:val="22"/>
              </w:rPr>
              <w:t xml:space="preserve">Durée : 5 minutes</w:t>
            </w:r>
          </w:p>
        </w:tc>
      </w:tr>
    </w:tbl>
    <w:p>
      <w:pPr>
        <w:spacing w:after="80" w:before="80"/>
      </w:pPr>
      <w:r>
        <w:t xml:space="preserve"/>
      </w:r>
    </w:p>
    <w:p>
      <w:pPr>
        <w:pStyle w:val="Heading2"/>
        <w:spacing w:after="100" w:before="240"/>
      </w:pPr>
      <w:r>
        <w:rPr>
          <w:b/>
          <w:bCs/>
          <w:color w:val="0A6B68"/>
          <w:sz w:val="26"/>
          <w:szCs w:val="26"/>
        </w:rPr>
        <w:t xml:space="preserve">Objectif</w:t>
      </w:r>
    </w:p>
    <w:p>
      <w:pPr>
        <w:spacing w:after="60" w:before="60"/>
        <w:ind/>
        <w:jc w:val="left"/>
      </w:pPr>
      <w:r>
        <w:rPr>
          <w:b w:val="false"/>
          <w:bCs w:val="false"/>
          <w:i/>
          <w:iCs/>
          <w:color w:val="000000"/>
          <w:sz w:val="22"/>
          <w:szCs w:val="22"/>
        </w:rPr>
        <w:t xml:space="preserve">Poser le cadre, te présenter, donner le plan. Pas de démo écran à ce stade.</w:t>
      </w:r>
    </w:p>
    <w:p>
      <w:pPr>
        <w:spacing w:after="80" w:before="80"/>
      </w:pPr>
      <w:r>
        <w:t xml:space="preserve"/>
      </w:r>
    </w:p>
    <w:p>
      <w:pPr>
        <w:pStyle w:val="Heading2"/>
        <w:spacing w:after="100" w:before="240"/>
      </w:pPr>
      <w:r>
        <w:rPr>
          <w:b/>
          <w:bCs/>
          <w:color w:val="0A6B68"/>
          <w:sz w:val="26"/>
          <w:szCs w:val="26"/>
        </w:rPr>
        <w:t xml:space="preserve">Phrase d'ouverture (à dire mot pour mot)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Mesdames, Messieurs, bonjour. Au nom du MCTN et de SENUM SA, je suis Birama DIOP, Point Focal National d'Interopérabilité. Dans les 75 minutes qui suivent, je vais vous présenter l'outil de recensement des cas d'usage DPI au Sénégal — la plateforme PINS. À la fin de cette session, chacun d'entre vous repartira avec un compte actif. Et surtout, vous aurez vu une plateforme qui n'est pas un projet, mais une réalité opérationnelle : 9 administrations sénégalaises sont déjà engagées, dont l'ANSD qui a finalisé sa soumission le 30 avril. »</w:t>
            </w:r>
          </w:p>
        </w:tc>
      </w:tr>
    </w:tbl>
    <w:p>
      <w:pPr>
        <w:spacing w:after="80" w:before="80"/>
      </w:pPr>
      <w:r>
        <w:t xml:space="preserve"/>
      </w:r>
    </w:p>
    <w:p>
      <w:pPr>
        <w:pStyle w:val="Heading2"/>
        <w:spacing w:after="100" w:before="240"/>
      </w:pPr>
      <w:r>
        <w:rPr>
          <w:b/>
          <w:bCs/>
          <w:color w:val="0A6B68"/>
          <w:sz w:val="26"/>
          <w:szCs w:val="26"/>
        </w:rPr>
        <w:t xml:space="preserve">Plan annoncé</w:t>
      </w:r>
    </w:p>
    <w:p>
      <w:pPr>
        <w:pStyle w:val="ListParagraph"/>
        <w:numPr>
          <w:ilvl w:val="0"/>
          <w:numId w:val="1"/>
        </w:numPr>
        <w:spacing w:after="30" w:before="30"/>
      </w:pPr>
      <w:r>
        <w:rPr>
          <w:sz w:val="22"/>
          <w:szCs w:val="22"/>
        </w:rPr>
        <w:t xml:space="preserve">1. Pourquoi un outil de recensement ?</w:t>
      </w:r>
    </w:p>
    <w:p>
      <w:pPr>
        <w:pStyle w:val="ListParagraph"/>
        <w:numPr>
          <w:ilvl w:val="0"/>
          <w:numId w:val="1"/>
        </w:numPr>
        <w:spacing w:after="30" w:before="30"/>
      </w:pPr>
      <w:r>
        <w:rPr>
          <w:sz w:val="22"/>
          <w:szCs w:val="22"/>
        </w:rPr>
        <w:t xml:space="preserve">2. Démonstration de la plateforme</w:t>
      </w:r>
    </w:p>
    <w:p>
      <w:pPr>
        <w:pStyle w:val="ListParagraph"/>
        <w:numPr>
          <w:ilvl w:val="0"/>
          <w:numId w:val="1"/>
        </w:numPr>
        <w:spacing w:after="30" w:before="30"/>
      </w:pPr>
      <w:r>
        <w:rPr>
          <w:sz w:val="22"/>
          <w:szCs w:val="22"/>
        </w:rPr>
        <w:t xml:space="preserve">3. Cas d'usage emblématiques</w:t>
      </w:r>
    </w:p>
    <w:p>
      <w:pPr>
        <w:pStyle w:val="ListParagraph"/>
        <w:numPr>
          <w:ilvl w:val="0"/>
          <w:numId w:val="1"/>
        </w:numPr>
        <w:spacing w:after="30" w:before="30"/>
      </w:pPr>
      <w:r>
        <w:rPr>
          <w:sz w:val="22"/>
          <w:szCs w:val="22"/>
        </w:rPr>
        <w:t xml:space="preserve">4. Comment chaque administration peut contribuer</w:t>
      </w:r>
    </w:p>
    <w:p>
      <w:pPr>
        <w:pStyle w:val="ListParagraph"/>
        <w:numPr>
          <w:ilvl w:val="0"/>
          <w:numId w:val="1"/>
        </w:numPr>
        <w:spacing w:after="30" w:before="30"/>
      </w:pPr>
      <w:r>
        <w:rPr>
          <w:sz w:val="22"/>
          <w:szCs w:val="22"/>
        </w:rPr>
        <w:t xml:space="preserve">5. Questions et échanges</w:t>
      </w:r>
    </w:p>
    <w:p>
      <w:pPr>
        <w:spacing w:after="80" w:before="80"/>
      </w:pPr>
      <w:r>
        <w:t xml:space="preserve"/>
      </w:r>
    </w:p>
    <w:p>
      <w:pPr>
        <w:pStyle w:val="Heading2"/>
        <w:spacing w:after="100" w:before="240"/>
      </w:pPr>
      <w:r>
        <w:rPr>
          <w:b/>
          <w:bCs/>
          <w:color w:val="0A6B68"/>
          <w:sz w:val="26"/>
          <w:szCs w:val="26"/>
        </w:rPr>
        <w:t xml:space="preserve">Conseils oratoire</w:t>
      </w:r>
    </w:p>
    <w:p>
      <w:pPr>
        <w:pStyle w:val="ListParagraph"/>
        <w:numPr>
          <w:ilvl w:val="0"/>
          <w:numId w:val="1"/>
        </w:numPr>
        <w:spacing w:after="30" w:before="30"/>
      </w:pPr>
      <w:r>
        <w:rPr>
          <w:sz w:val="22"/>
          <w:szCs w:val="22"/>
        </w:rPr>
        <w:t xml:space="preserve">Regarde la salle, pas l'écran</w:t>
      </w:r>
    </w:p>
    <w:p>
      <w:pPr>
        <w:pStyle w:val="ListParagraph"/>
        <w:numPr>
          <w:ilvl w:val="0"/>
          <w:numId w:val="1"/>
        </w:numPr>
        <w:spacing w:after="30" w:before="30"/>
      </w:pPr>
      <w:r>
        <w:rPr>
          <w:sz w:val="22"/>
          <w:szCs w:val="22"/>
        </w:rPr>
        <w:t xml:space="preserve">Pose ta voix - parle plus lentement que d'habitude</w:t>
      </w:r>
    </w:p>
    <w:p>
      <w:pPr>
        <w:pStyle w:val="ListParagraph"/>
        <w:numPr>
          <w:ilvl w:val="0"/>
          <w:numId w:val="1"/>
        </w:numPr>
        <w:spacing w:after="30" w:before="30"/>
      </w:pPr>
      <w:r>
        <w:rPr>
          <w:sz w:val="22"/>
          <w:szCs w:val="22"/>
        </w:rPr>
        <w:t xml:space="preserve">Salue spécifiquement la Banque Mondiale et la JICA</w:t>
      </w:r>
    </w:p>
    <w:p>
      <w:pPr>
        <w:pStyle w:val="ListParagraph"/>
        <w:numPr>
          <w:ilvl w:val="0"/>
          <w:numId w:val="1"/>
        </w:numPr>
        <w:spacing w:after="30" w:before="30"/>
      </w:pPr>
      <w:r>
        <w:rPr>
          <w:sz w:val="22"/>
          <w:szCs w:val="22"/>
        </w:rPr>
        <w:t xml:space="preserve">Mentionne les administrations financières (DGID, DGD, DGCPT) — ce sont les premiers alliés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C1F3A" w:val="solid"/>
          </w:tcPr>
          <w:p>
            <w:pPr>
              <w:spacing w:after="60" w:before="100"/>
              <w:jc w:val="center"/>
            </w:pPr>
            <w:r>
              <w:rPr>
                <w:b/>
                <w:bCs/>
                <w:color w:val="FFFFFF"/>
                <w:sz w:val="28"/>
                <w:szCs w:val="28"/>
              </w:rPr>
              <w:t xml:space="preserve">SÉQUENCE 2 — POURQUOI UN OUTIL DE RECENSEMENT</w:t>
            </w:r>
          </w:p>
          <w:p>
            <w:pPr>
              <w:spacing w:after="100" w:before="0"/>
              <w:jc w:val="center"/>
            </w:pPr>
            <w:r>
              <w:rPr>
                <w:color w:val="FFFFFF"/>
                <w:sz w:val="22"/>
                <w:szCs w:val="22"/>
              </w:rPr>
              <w:t xml:space="preserve">Durée : 10 minutes</w:t>
            </w:r>
          </w:p>
        </w:tc>
      </w:tr>
    </w:tbl>
    <w:p>
      <w:pPr>
        <w:spacing w:after="80" w:before="80"/>
      </w:pPr>
      <w:r>
        <w:t xml:space="preserve"/>
      </w:r>
    </w:p>
    <w:p>
      <w:pPr>
        <w:pStyle w:val="Heading2"/>
        <w:spacing w:after="100" w:before="240"/>
      </w:pPr>
      <w:r>
        <w:rPr>
          <w:b/>
          <w:bCs/>
          <w:color w:val="0A6B68"/>
          <w:sz w:val="26"/>
          <w:szCs w:val="26"/>
        </w:rPr>
        <w:t xml:space="preserve">Objectif</w:t>
      </w:r>
    </w:p>
    <w:p>
      <w:pPr>
        <w:spacing w:after="60" w:before="60"/>
        <w:ind/>
        <w:jc w:val="left"/>
      </w:pPr>
      <w:r>
        <w:rPr>
          <w:b w:val="false"/>
          <w:bCs w:val="false"/>
          <w:i/>
          <w:iCs/>
          <w:color w:val="000000"/>
          <w:sz w:val="22"/>
          <w:szCs w:val="22"/>
        </w:rPr>
        <w:t xml:space="preserve">Justifier l'existence de PINS. Mode oratoire pur — pas encore de démo.</w:t>
      </w:r>
    </w:p>
    <w:p>
      <w:pPr>
        <w:spacing w:after="80" w:before="80"/>
      </w:pPr>
      <w:r>
        <w:t xml:space="preserve"/>
      </w:r>
    </w:p>
    <w:p>
      <w:pPr>
        <w:pStyle w:val="Heading2"/>
        <w:spacing w:after="100" w:before="240"/>
      </w:pPr>
      <w:r>
        <w:rPr>
          <w:b/>
          <w:bCs/>
          <w:color w:val="0A6B68"/>
          <w:sz w:val="26"/>
          <w:szCs w:val="26"/>
        </w:rPr>
        <w:t xml:space="preserve">Les 3 messages clés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1. VISIBILITÉ</w:t>
            </w:r>
          </w:p>
          <w:p>
            <w:pPr>
              <w:spacing w:after="100" w:before="60"/>
            </w:pPr>
            <w:r>
              <w:rPr>
                <w:i/>
                <w:iCs/>
                <w:sz w:val="22"/>
                <w:szCs w:val="22"/>
              </w:rPr>
              <w:t xml:space="preserve">« Sans recensement structuré, on ne sait pas ce qui existe, ce qui se duplique, ce qui manque. Aujourd'hui, le portefeuille national compte 75 cas d'usage cartographiés. »</w:t>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2. COORDINATION</w:t>
            </w:r>
          </w:p>
          <w:p>
            <w:pPr>
              <w:spacing w:after="100" w:before="60"/>
            </w:pPr>
            <w:r>
              <w:rPr>
                <w:i/>
                <w:iCs/>
                <w:sz w:val="22"/>
                <w:szCs w:val="22"/>
              </w:rPr>
              <w:t xml:space="preserve">« L'interopérabilité ne se décrète pas, elle se construit cas par cas, en concertation. Chaque cas mobilise en moyenne 3 à 5 institutions partenaires. »</w:t>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3. PILOTAGE</w:t>
            </w:r>
          </w:p>
          <w:p>
            <w:pPr>
              <w:spacing w:after="100" w:before="60"/>
            </w:pPr>
            <w:r>
              <w:rPr>
                <w:i/>
                <w:iCs/>
                <w:sz w:val="22"/>
                <w:szCs w:val="22"/>
              </w:rPr>
              <w:t xml:space="preserve">« Le MCTN doit pouvoir prioriser, arbitrer, allouer les ressources sur des cas concrets. PINS donne à la Delivery Unit une vision en temps réel du portefeuille. »</w:t>
            </w:r>
          </w:p>
        </w:tc>
      </w:tr>
    </w:tbl>
    <w:p>
      <w:pPr>
        <w:spacing w:after="80" w:before="80"/>
      </w:pPr>
      <w:r>
        <w:t xml:space="preserve"/>
      </w:r>
    </w:p>
    <w:p>
      <w:pPr>
        <w:pStyle w:val="Heading2"/>
        <w:spacing w:after="100" w:before="240"/>
      </w:pPr>
      <w:r>
        <w:rPr>
          <w:b/>
          <w:bCs/>
          <w:color w:val="0A6B68"/>
          <w:sz w:val="26"/>
          <w:szCs w:val="26"/>
        </w:rPr>
        <w:t xml:space="preserve">Argument fort - transition vers la démo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CF1E8" w:val="solid"/>
          </w:tcPr>
          <w:p>
            <w:pPr>
              <w:spacing w:after="60" w:before="100"/>
            </w:pPr>
            <w:r>
              <w:rPr>
                <w:b/>
                <w:bCs/>
                <w:color w:val="0A6B68"/>
                <w:sz w:val="22"/>
                <w:szCs w:val="22"/>
              </w:rPr>
              <w:t xml:space="preserve">À dire avant de basculer en démo</w:t>
            </w:r>
          </w:p>
          <w:p>
            <w:pPr>
              <w:spacing w:after="100" w:before="60"/>
            </w:pPr>
            <w:r>
              <w:rPr>
                <w:i/>
                <w:iCs/>
                <w:sz w:val="22"/>
                <w:szCs w:val="22"/>
              </w:rPr>
              <w:t xml:space="preserve">« Aujourd'hui, l'ANSD a finalisé sa soumission le 30 avril. Et 8 autres administrations sont déjà engagées : DGID, APIX, AGEROUTE, MEN, MEPC, MMESS, ITA. Au total, 13 soumissions actives. Ce n'est pas un projet, c'est une réalité opérationnelle. »</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A6B68" w:val="solid"/>
          </w:tcPr>
          <w:p>
            <w:pPr>
              <w:spacing w:after="60" w:before="100"/>
              <w:jc w:val="center"/>
            </w:pPr>
            <w:r>
              <w:rPr>
                <w:b/>
                <w:bCs/>
                <w:color w:val="FFFFFF"/>
                <w:sz w:val="28"/>
                <w:szCs w:val="28"/>
              </w:rPr>
              <w:t xml:space="preserve">SÉQUENCE 3 — DÉMONSTRATION LIVE</w:t>
            </w:r>
          </w:p>
          <w:p>
            <w:pPr>
              <w:spacing w:after="100" w:before="0"/>
              <w:jc w:val="center"/>
            </w:pPr>
            <w:r>
              <w:rPr>
                <w:color w:val="FFFFFF"/>
                <w:sz w:val="22"/>
                <w:szCs w:val="22"/>
              </w:rPr>
              <w:t xml:space="preserve">Durée : 35 minutes — RALENTIS LE RYTHME</w:t>
            </w:r>
          </w:p>
        </w:tc>
      </w:tr>
    </w:tbl>
    <w:p>
      <w:pPr>
        <w:spacing w:after="80" w:before="80"/>
      </w:pPr>
      <w:r>
        <w:t xml:space="preserve"/>
      </w:r>
    </w:p>
    <w:p>
      <w:pPr>
        <w:spacing w:after="60" w:before="60"/>
        <w:ind/>
        <w:jc w:val="left"/>
      </w:pPr>
      <w:r>
        <w:rPr>
          <w:b w:val="false"/>
          <w:bCs w:val="false"/>
          <w:i/>
          <w:iCs/>
          <w:color w:val="000000"/>
          <w:sz w:val="22"/>
          <w:szCs w:val="22"/>
        </w:rPr>
        <w:t xml:space="preserve">Cette séquence est le plat de résistance. Ralentis le rythme. Laisse 2 secondes après chaque action pour que la salle suive. Ne survole pas — explore.</w:t>
      </w:r>
    </w:p>
    <w:p>
      <w:pPr>
        <w:spacing w:after="80" w:before="80"/>
      </w:pPr>
      <w:r>
        <w:t xml:space="preserve"/>
      </w:r>
    </w:p>
    <w:p>
      <w:pPr>
        <w:pStyle w:val="Heading3"/>
        <w:spacing w:after="80" w:before="200"/>
      </w:pPr>
      <w:r>
        <w:rPr>
          <w:b/>
          <w:bCs/>
          <w:color w:val="0C1F3A"/>
          <w:sz w:val="22"/>
          <w:szCs w:val="22"/>
        </w:rPr>
        <w:t xml:space="preserve">Étape 3.1 — Login admin (1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Ouvrir une fenêtre de navigation privée</w:t>
      </w:r>
    </w:p>
    <w:p>
      <w:pPr>
        <w:pStyle w:val="ListParagraph"/>
        <w:numPr>
          <w:ilvl w:val="0"/>
          <w:numId w:val="1"/>
        </w:numPr>
        <w:spacing w:after="30" w:before="30"/>
      </w:pPr>
      <w:r>
        <w:rPr>
          <w:sz w:val="22"/>
          <w:szCs w:val="22"/>
        </w:rPr>
        <w:t xml:space="preserve">2. Saisir : https://dpi-interop.senum.sn</w:t>
      </w:r>
    </w:p>
    <w:p>
      <w:pPr>
        <w:pStyle w:val="ListParagraph"/>
        <w:numPr>
          <w:ilvl w:val="0"/>
          <w:numId w:val="1"/>
        </w:numPr>
        <w:spacing w:after="30" w:before="30"/>
      </w:pPr>
      <w:r>
        <w:rPr>
          <w:sz w:val="22"/>
          <w:szCs w:val="22"/>
        </w:rPr>
        <w:t xml:space="preserve">3. Email : admin@senum.sn</w:t>
      </w:r>
    </w:p>
    <w:p>
      <w:pPr>
        <w:pStyle w:val="ListParagraph"/>
        <w:numPr>
          <w:ilvl w:val="0"/>
          <w:numId w:val="1"/>
        </w:numPr>
        <w:spacing w:after="30" w:before="30"/>
      </w:pPr>
      <w:r>
        <w:rPr>
          <w:sz w:val="22"/>
          <w:szCs w:val="22"/>
        </w:rPr>
        <w:t xml:space="preserve">4. Password : AdminDPI@2026!!!</w:t>
      </w:r>
    </w:p>
    <w:p>
      <w:pPr>
        <w:pStyle w:val="ListParagraph"/>
        <w:numPr>
          <w:ilvl w:val="0"/>
          <w:numId w:val="1"/>
        </w:numPr>
        <w:spacing w:after="30" w:before="30"/>
      </w:pPr>
      <w:r>
        <w:rPr>
          <w:sz w:val="22"/>
          <w:szCs w:val="22"/>
        </w:rPr>
        <w:t xml:space="preserve">5. Cliquer sur 'Se connecter'</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Voici la page d'accueil de PINS. Le portefeuille national compte 75 cas d'usage : 26 cas historiques, 7 parcours métier et 42 services techniques. 13 soumissions sont en cours, dont 1 déjà validée. »</w:t>
            </w:r>
          </w:p>
        </w:tc>
      </w:tr>
    </w:tbl>
    <w:p>
      <w:pPr>
        <w:spacing w:after="80" w:before="80"/>
      </w:pPr>
      <w:r>
        <w:t xml:space="preserve"/>
      </w:r>
    </w:p>
    <w:p>
      <w:pPr>
        <w:pStyle w:val="Heading3"/>
        <w:spacing w:after="80" w:before="200"/>
      </w:pPr>
      <w:r>
        <w:rPr>
          <w:b/>
          <w:bCs/>
          <w:color w:val="0C1F3A"/>
          <w:sz w:val="22"/>
          <w:szCs w:val="22"/>
        </w:rPr>
        <w:t xml:space="preserve">Étape 3.2 — Catalogue des cas d'usage (5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Cliquer sur le menu 'Catalogue' puis 'Cas d'usage actifs'</w:t>
      </w:r>
    </w:p>
    <w:p>
      <w:pPr>
        <w:pStyle w:val="ListParagraph"/>
        <w:numPr>
          <w:ilvl w:val="0"/>
          <w:numId w:val="1"/>
        </w:numPr>
        <w:spacing w:after="30" w:before="30"/>
      </w:pPr>
      <w:r>
        <w:rPr>
          <w:sz w:val="22"/>
          <w:szCs w:val="22"/>
        </w:rPr>
        <w:t xml:space="preserve">2. Faire défiler la liste — laisser la salle voir le volume</w:t>
      </w:r>
    </w:p>
    <w:p>
      <w:pPr>
        <w:pStyle w:val="ListParagraph"/>
        <w:numPr>
          <w:ilvl w:val="0"/>
          <w:numId w:val="1"/>
        </w:numPr>
        <w:spacing w:after="30" w:before="30"/>
      </w:pPr>
      <w:r>
        <w:rPr>
          <w:sz w:val="22"/>
          <w:szCs w:val="22"/>
        </w:rPr>
        <w:t xml:space="preserve">3. Filtrer sur typologie 'METIER' pour montrer les 7 PINS-METIER</w:t>
      </w:r>
    </w:p>
    <w:p>
      <w:pPr>
        <w:pStyle w:val="ListParagraph"/>
        <w:numPr>
          <w:ilvl w:val="0"/>
          <w:numId w:val="1"/>
        </w:numPr>
        <w:spacing w:after="30" w:before="30"/>
      </w:pPr>
      <w:r>
        <w:rPr>
          <w:sz w:val="22"/>
          <w:szCs w:val="22"/>
        </w:rPr>
        <w:t xml:space="preserve">4. Filtrer sur 'TECHNIQUE' pour montrer les 42 PINS-TECH</w:t>
      </w:r>
    </w:p>
    <w:p>
      <w:pPr>
        <w:pStyle w:val="ListParagraph"/>
        <w:numPr>
          <w:ilvl w:val="0"/>
          <w:numId w:val="1"/>
        </w:numPr>
        <w:spacing w:after="30" w:before="30"/>
      </w:pPr>
      <w:r>
        <w:rPr>
          <w:sz w:val="22"/>
          <w:szCs w:val="22"/>
        </w:rPr>
        <w:t xml:space="preserve">5. Mentionner les 26 PINS-CU comme nomenclature historique en cours de fusion</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Le catalogue distingue deux typologies dans la nomenclature N1 : les cas MÉTIER, qui représentent un parcours utilisateur — par exemple créer une entreprise — et les cas TECHNIQUES, qui sont des services réutilisables — par exemple consulter un NINEA. Vous remarquez aussi 26 cas en nomenclature antérieure 'PINS-CU'. Nous menons un travail de fusion progressive — c'est exactement le travail que la Delivery Unit pilote. »</w:t>
            </w:r>
          </w:p>
        </w:tc>
      </w:tr>
    </w:tbl>
    <w:p>
      <w:pPr>
        <w:spacing w:after="80" w:before="80"/>
      </w:pPr>
      <w:r>
        <w:t xml:space="preserve"/>
      </w:r>
    </w:p>
    <w:p>
      <w:pPr>
        <w:pStyle w:val="Heading3"/>
        <w:spacing w:after="80" w:before="200"/>
      </w:pPr>
      <w:r>
        <w:rPr>
          <w:b/>
          <w:bCs/>
          <w:color w:val="0C1F3A"/>
          <w:sz w:val="22"/>
          <w:szCs w:val="22"/>
        </w:rPr>
        <w:t xml:space="preserve">Étape 3.3 — Vue 360° d'un cas — LE PLAT DE RÉSISTANCE (10 min)</w:t>
      </w:r>
    </w:p>
    <w:p>
      <w:pPr>
        <w:spacing w:after="60" w:before="60"/>
        <w:ind/>
        <w:jc w:val="left"/>
      </w:pPr>
      <w:r>
        <w:rPr>
          <w:b/>
          <w:bCs/>
          <w:i w:val="false"/>
          <w:iCs w:val="false"/>
          <w:color w:val="C55A18"/>
          <w:sz w:val="24"/>
          <w:szCs w:val="24"/>
        </w:rPr>
        <w:t xml:space="preserve">Cas choisi : PINS-METIER-001 — Création d'entreprise au guichet unique APIX</w:t>
      </w:r>
    </w:p>
    <w:p>
      <w:pPr>
        <w:spacing w:after="80" w:before="80"/>
      </w:pPr>
      <w:r>
        <w:t xml:space="preserve"/>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Cliquer sur PINS-METIER-001 dans le catalogue</w:t>
      </w:r>
    </w:p>
    <w:p>
      <w:pPr>
        <w:pStyle w:val="ListParagraph"/>
        <w:numPr>
          <w:ilvl w:val="0"/>
          <w:numId w:val="1"/>
        </w:numPr>
        <w:spacing w:after="30" w:before="30"/>
      </w:pPr>
      <w:r>
        <w:rPr>
          <w:sz w:val="22"/>
          <w:szCs w:val="22"/>
        </w:rPr>
        <w:t xml:space="preserve">2. Laisser quelques secondes sur le haut de fiche (titre + statut + typologie)</w:t>
      </w:r>
    </w:p>
    <w:p>
      <w:pPr>
        <w:pStyle w:val="ListParagraph"/>
        <w:numPr>
          <w:ilvl w:val="0"/>
          <w:numId w:val="1"/>
        </w:numPr>
        <w:spacing w:after="30" w:before="30"/>
      </w:pPr>
      <w:r>
        <w:rPr>
          <w:sz w:val="22"/>
          <w:szCs w:val="22"/>
        </w:rPr>
        <w:t xml:space="preserve">3. Faire défiler lentement les sections de la Vue 360°</w:t>
      </w:r>
    </w:p>
    <w:p>
      <w:pPr>
        <w:pStyle w:val="ListParagraph"/>
        <w:numPr>
          <w:ilvl w:val="0"/>
          <w:numId w:val="1"/>
        </w:numPr>
        <w:spacing w:after="30" w:before="30"/>
      </w:pPr>
      <w:r>
        <w:rPr>
          <w:sz w:val="22"/>
          <w:szCs w:val="22"/>
        </w:rPr>
        <w:t xml:space="preserve">4. Commenter chaque section à voix haute</w:t>
      </w:r>
    </w:p>
    <w:p>
      <w:pPr>
        <w:spacing w:after="80" w:before="80"/>
      </w:pPr>
      <w:r>
        <w:t xml:space="preserve"/>
      </w:r>
    </w:p>
    <w:p>
      <w:pPr>
        <w:pStyle w:val="Heading2"/>
        <w:spacing w:after="100" w:before="240"/>
      </w:pPr>
      <w:r>
        <w:rPr>
          <w:b/>
          <w:bCs/>
          <w:color w:val="0A6B68"/>
          <w:sz w:val="26"/>
          <w:szCs w:val="26"/>
        </w:rPr>
        <w:t xml:space="preserve">Sections à parcourir</w:t>
      </w:r>
    </w:p>
    <w:p>
      <w:pPr>
        <w:pStyle w:val="ListParagraph"/>
        <w:numPr>
          <w:ilvl w:val="0"/>
          <w:numId w:val="1"/>
        </w:numPr>
        <w:spacing w:after="30" w:before="30"/>
      </w:pPr>
      <w:r>
        <w:rPr>
          <w:sz w:val="22"/>
          <w:szCs w:val="22"/>
        </w:rPr>
        <w:t xml:space="preserve">Identification : titre, code, statut Vue360, typologie, processus métier</w:t>
      </w:r>
    </w:p>
    <w:p>
      <w:pPr>
        <w:pStyle w:val="ListParagraph"/>
        <w:numPr>
          <w:ilvl w:val="0"/>
          <w:numId w:val="1"/>
        </w:numPr>
        <w:spacing w:after="30" w:before="30"/>
      </w:pPr>
      <w:r>
        <w:rPr>
          <w:sz w:val="22"/>
          <w:szCs w:val="22"/>
        </w:rPr>
        <w:t xml:space="preserve">Coordonnateur : APIX</w:t>
      </w:r>
    </w:p>
    <w:p>
      <w:pPr>
        <w:pStyle w:val="ListParagraph"/>
        <w:numPr>
          <w:ilvl w:val="0"/>
          <w:numId w:val="1"/>
        </w:numPr>
        <w:spacing w:after="30" w:before="30"/>
      </w:pPr>
      <w:r>
        <w:rPr>
          <w:sz w:val="22"/>
          <w:szCs w:val="22"/>
        </w:rPr>
        <w:t xml:space="preserve">Parties prenantes : DGID (NINEA), Greffe (RCCM), CSS, IPRES, ANSD</w:t>
      </w:r>
    </w:p>
    <w:p>
      <w:pPr>
        <w:pStyle w:val="ListParagraph"/>
        <w:numPr>
          <w:ilvl w:val="0"/>
          <w:numId w:val="1"/>
        </w:numPr>
        <w:spacing w:after="30" w:before="30"/>
      </w:pPr>
      <w:r>
        <w:rPr>
          <w:sz w:val="22"/>
          <w:szCs w:val="22"/>
        </w:rPr>
        <w:t xml:space="preserve">Bénéficiaires finaux : Entrepreneur, Investisseur</w:t>
      </w:r>
    </w:p>
    <w:p>
      <w:pPr>
        <w:pStyle w:val="ListParagraph"/>
        <w:numPr>
          <w:ilvl w:val="0"/>
          <w:numId w:val="1"/>
        </w:numPr>
        <w:spacing w:after="30" w:before="30"/>
      </w:pPr>
      <w:r>
        <w:rPr>
          <w:sz w:val="22"/>
          <w:szCs w:val="22"/>
        </w:rPr>
        <w:t xml:space="preserve">Services techniques mobilisés : PINS-TECH-0004, 0021, 0024, 0025</w:t>
      </w:r>
    </w:p>
    <w:p>
      <w:pPr>
        <w:pStyle w:val="ListParagraph"/>
        <w:numPr>
          <w:ilvl w:val="0"/>
          <w:numId w:val="1"/>
        </w:numPr>
        <w:spacing w:after="30" w:before="30"/>
      </w:pPr>
      <w:r>
        <w:rPr>
          <w:sz w:val="22"/>
          <w:szCs w:val="22"/>
        </w:rPr>
        <w:t xml:space="preserve">Cadre légal : Acte uniforme OHADA — Loi n°2008-08</w:t>
      </w:r>
    </w:p>
    <w:p>
      <w:pPr>
        <w:pStyle w:val="ListParagraph"/>
        <w:numPr>
          <w:ilvl w:val="0"/>
          <w:numId w:val="1"/>
        </w:numPr>
        <w:spacing w:after="30" w:before="30"/>
      </w:pPr>
      <w:r>
        <w:rPr>
          <w:sz w:val="22"/>
          <w:szCs w:val="22"/>
        </w:rPr>
        <w:t xml:space="preserve">Domaine : Triptyque NINEA-RCCM-Casier</w:t>
      </w:r>
    </w:p>
    <w:p>
      <w:pPr>
        <w:pStyle w:val="ListParagraph"/>
        <w:numPr>
          <w:ilvl w:val="0"/>
          <w:numId w:val="1"/>
        </w:numPr>
        <w:spacing w:after="30" w:before="30"/>
      </w:pPr>
      <w:r>
        <w:rPr>
          <w:sz w:val="22"/>
          <w:szCs w:val="22"/>
        </w:rPr>
        <w:t xml:space="preserve">Phase de déploiement : Phase 2 (6-8 mois)</w:t>
      </w:r>
    </w:p>
    <w:p>
      <w:pPr>
        <w:pStyle w:val="ListParagraph"/>
        <w:numPr>
          <w:ilvl w:val="0"/>
          <w:numId w:val="1"/>
        </w:numPr>
        <w:spacing w:after="30" w:before="30"/>
      </w:pPr>
      <w:r>
        <w:rPr>
          <w:sz w:val="22"/>
          <w:szCs w:val="22"/>
        </w:rPr>
        <w:t xml:space="preserve">Maturité : PRE_CADREE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Pour chaque cas d'usage, vous avez une vision 360°. Vous voyez ici le parcours complet d'une création d'entreprise : APIX en chef de file, 5 partenaires institutionnels, 4 services techniques mobilisés. Tout est tracé : le statut, le cadre légal, la phase de déploiement, la maturité. C'est exactement la cartographie que la Delivery Unit utilise pour piloter. »</w:t>
            </w:r>
          </w:p>
        </w:tc>
      </w:tr>
    </w:tbl>
    <w:p>
      <w:pPr>
        <w:spacing w:after="80" w:before="80"/>
      </w:pPr>
      <w:r>
        <w:t xml:space="preserve"/>
      </w:r>
    </w:p>
    <w:p>
      <w:pPr>
        <w:pStyle w:val="Heading3"/>
        <w:spacing w:after="80" w:before="200"/>
      </w:pPr>
      <w:r>
        <w:rPr>
          <w:b/>
          <w:bCs/>
          <w:color w:val="0C1F3A"/>
          <w:sz w:val="22"/>
          <w:szCs w:val="22"/>
        </w:rPr>
        <w:t xml:space="preserve">Étape 3.4 — Soumission par une administration (5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Ouvrir un 2e onglet en navigation privée</w:t>
      </w:r>
    </w:p>
    <w:p>
      <w:pPr>
        <w:pStyle w:val="ListParagraph"/>
        <w:numPr>
          <w:ilvl w:val="0"/>
          <w:numId w:val="1"/>
        </w:numPr>
        <w:spacing w:after="30" w:before="30"/>
      </w:pPr>
      <w:r>
        <w:rPr>
          <w:sz w:val="22"/>
          <w:szCs w:val="22"/>
        </w:rPr>
        <w:t xml:space="preserve">2. Login : dsi@dgid.sn / Password123</w:t>
      </w:r>
    </w:p>
    <w:p>
      <w:pPr>
        <w:pStyle w:val="ListParagraph"/>
        <w:numPr>
          <w:ilvl w:val="0"/>
          <w:numId w:val="1"/>
        </w:numPr>
        <w:spacing w:after="30" w:before="30"/>
      </w:pPr>
      <w:r>
        <w:rPr>
          <w:sz w:val="22"/>
          <w:szCs w:val="22"/>
        </w:rPr>
        <w:t xml:space="preserve">3. Arriver sur le dashboard institution DGID</w:t>
      </w:r>
    </w:p>
    <w:p>
      <w:pPr>
        <w:pStyle w:val="ListParagraph"/>
        <w:numPr>
          <w:ilvl w:val="0"/>
          <w:numId w:val="1"/>
        </w:numPr>
        <w:spacing w:after="30" w:before="30"/>
      </w:pPr>
      <w:r>
        <w:rPr>
          <w:sz w:val="22"/>
          <w:szCs w:val="22"/>
        </w:rPr>
        <w:t xml:space="preserve">4. Cliquer sur 'Questionnaire' dans 'Mon espace'</w:t>
      </w:r>
    </w:p>
    <w:p>
      <w:pPr>
        <w:pStyle w:val="ListParagraph"/>
        <w:numPr>
          <w:ilvl w:val="0"/>
          <w:numId w:val="1"/>
        </w:numPr>
        <w:spacing w:after="30" w:before="30"/>
      </w:pPr>
      <w:r>
        <w:rPr>
          <w:sz w:val="22"/>
          <w:szCs w:val="22"/>
        </w:rPr>
        <w:t xml:space="preserve">5. Faire défiler les 8 étapes du questionnaire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Chaque administration a son espace propre. Elle peut consulter les cas qui la concernent, et surtout remplir le questionnaire d'interopérabilité — 8 étapes pour cartographier ses systèmes d'information, ses flux d'échange, ses besoins d'interconnexion. »</w:t>
            </w:r>
          </w:p>
        </w:tc>
      </w:tr>
    </w:tbl>
    <w:p>
      <w:pPr>
        <w:spacing w:after="80" w:before="80"/>
      </w:pPr>
      <w:r>
        <w:t xml:space="preserve"/>
      </w:r>
    </w:p>
    <w:p>
      <w:pPr>
        <w:pStyle w:val="Heading3"/>
        <w:spacing w:after="80" w:before="200"/>
      </w:pPr>
      <w:r>
        <w:rPr>
          <w:b/>
          <w:bCs/>
          <w:color w:val="0C1F3A"/>
          <w:sz w:val="22"/>
          <w:szCs w:val="22"/>
        </w:rPr>
        <w:t xml:space="preserve">Étape 3.5 — La preuve d'adoption (3 min) — POINT FORT</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Revenir sur l'onglet admin</w:t>
      </w:r>
    </w:p>
    <w:p>
      <w:pPr>
        <w:pStyle w:val="ListParagraph"/>
        <w:numPr>
          <w:ilvl w:val="0"/>
          <w:numId w:val="1"/>
        </w:numPr>
        <w:spacing w:after="30" w:before="30"/>
      </w:pPr>
      <w:r>
        <w:rPr>
          <w:sz w:val="22"/>
          <w:szCs w:val="22"/>
        </w:rPr>
        <w:t xml:space="preserve">2. Naviguer vers 'Pilotage' puis 'Soumissions'</w:t>
      </w:r>
    </w:p>
    <w:p>
      <w:pPr>
        <w:pStyle w:val="ListParagraph"/>
        <w:numPr>
          <w:ilvl w:val="0"/>
          <w:numId w:val="1"/>
        </w:numPr>
        <w:spacing w:after="30" w:before="30"/>
      </w:pPr>
      <w:r>
        <w:rPr>
          <w:sz w:val="22"/>
          <w:szCs w:val="22"/>
        </w:rPr>
        <w:t xml:space="preserve">3. Montrer la liste des 13 soumissions</w:t>
      </w:r>
    </w:p>
    <w:p>
      <w:pPr>
        <w:pStyle w:val="ListParagraph"/>
        <w:numPr>
          <w:ilvl w:val="0"/>
          <w:numId w:val="1"/>
        </w:numPr>
        <w:spacing w:after="30" w:before="30"/>
      </w:pPr>
      <w:r>
        <w:rPr>
          <w:sz w:val="22"/>
          <w:szCs w:val="22"/>
        </w:rPr>
        <w:t xml:space="preserve">4. Mettre en évidence la soumission ANSD du 30 avril</w:t>
      </w:r>
    </w:p>
    <w:p>
      <w:pPr>
        <w:pStyle w:val="ListParagraph"/>
        <w:numPr>
          <w:ilvl w:val="0"/>
          <w:numId w:val="1"/>
        </w:numPr>
        <w:spacing w:after="30" w:before="30"/>
      </w:pPr>
      <w:r>
        <w:rPr>
          <w:sz w:val="22"/>
          <w:szCs w:val="22"/>
        </w:rPr>
        <w:t xml:space="preserve">5. Mentionner les autres : DGID, APIX, AGEROUTE, MEN, MEPC, MMESS, ITA</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CF1E8" w:val="solid"/>
          </w:tcPr>
          <w:p>
            <w:pPr>
              <w:spacing w:after="60" w:before="100"/>
            </w:pPr>
            <w:r>
              <w:rPr>
                <w:b/>
                <w:bCs/>
                <w:color w:val="0A6B68"/>
                <w:sz w:val="22"/>
                <w:szCs w:val="22"/>
              </w:rPr>
              <w:t xml:space="preserve">À dire (avec emphase)</w:t>
            </w:r>
          </w:p>
          <w:p>
            <w:pPr>
              <w:spacing w:after="100" w:before="60"/>
            </w:pPr>
            <w:r>
              <w:rPr>
                <w:i/>
                <w:iCs/>
                <w:sz w:val="22"/>
                <w:szCs w:val="22"/>
              </w:rPr>
              <w:t xml:space="preserve">« Voici la preuve que cet outil n'est pas théorique. L'ANSD — Agence Nationale de la Statistique et de la Démographie — a finalisé sa soumission le 30 avril. Et derrière, vous voyez 8 autres administrations engagées : DGID, APIX, AGEROUTE, le Ministère de l'Éducation, le Ministère de l'Économie, et d'autres. Au total, 13 soumissions. Ce sont des administrations qui ouvrent la voie. »</w:t>
            </w:r>
          </w:p>
        </w:tc>
      </w:tr>
    </w:tbl>
    <w:p>
      <w:pPr>
        <w:spacing w:after="80" w:before="80"/>
      </w:pPr>
      <w:r>
        <w:t xml:space="preserve"/>
      </w:r>
    </w:p>
    <w:p>
      <w:pPr>
        <w:spacing w:after="60" w:before="60"/>
        <w:ind/>
        <w:jc w:val="left"/>
      </w:pPr>
      <w:r>
        <w:rPr>
          <w:b w:val="false"/>
          <w:bCs w:val="false"/>
          <w:i/>
          <w:iCs/>
          <w:color w:val="C55A18"/>
          <w:sz w:val="22"/>
          <w:szCs w:val="22"/>
        </w:rPr>
        <w:t xml:space="preserve">⚠️ ATTENTION — Si l'admin ne voit pas les soumissions à l'écran (bug d'affichage déjà observé) : utiliser navigation privée fraîche. En cas d'échec, basculer sur les captures d'écran préparées et continuer.</w:t>
      </w:r>
    </w:p>
    <w:p>
      <w:pPr>
        <w:spacing w:after="80" w:before="80"/>
      </w:pPr>
      <w:r>
        <w:t xml:space="preserve"/>
      </w:r>
    </w:p>
    <w:p>
      <w:pPr>
        <w:pStyle w:val="Heading3"/>
        <w:spacing w:after="80" w:before="200"/>
      </w:pPr>
      <w:r>
        <w:rPr>
          <w:b/>
          <w:bCs/>
          <w:color w:val="0C1F3A"/>
          <w:sz w:val="22"/>
          <w:szCs w:val="22"/>
        </w:rPr>
        <w:t xml:space="preserve">Étape 3.6 — Arbitrage de la Delivery Unit (5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Aller sur 'Pilotage' puis 'Arbitrage DU'</w:t>
      </w:r>
    </w:p>
    <w:p>
      <w:pPr>
        <w:pStyle w:val="ListParagraph"/>
        <w:numPr>
          <w:ilvl w:val="0"/>
          <w:numId w:val="1"/>
        </w:numPr>
        <w:spacing w:after="30" w:before="30"/>
      </w:pPr>
      <w:r>
        <w:rPr>
          <w:sz w:val="22"/>
          <w:szCs w:val="22"/>
        </w:rPr>
        <w:t xml:space="preserve">2. Montrer la page d'arbitrage</w:t>
      </w:r>
    </w:p>
    <w:p>
      <w:pPr>
        <w:pStyle w:val="ListParagraph"/>
        <w:numPr>
          <w:ilvl w:val="0"/>
          <w:numId w:val="1"/>
        </w:numPr>
        <w:spacing w:after="30" w:before="30"/>
      </w:pPr>
      <w:r>
        <w:rPr>
          <w:sz w:val="22"/>
          <w:szCs w:val="22"/>
        </w:rPr>
        <w:t xml:space="preserve">3. Pointer les actions : auto-saisine, éviction, motivation</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La Delivery Unit du MCTN a un rôle d'arbitre. Elle peut motiver des auto-saisines sur des cas critiques, ou écarter une partie prenante si nécessaire. Tout est tracé, journalisé, motivé. C'est ainsi qu'on consolide notre catalogue — y compris les doublons que vous observerez peut-être entre les PINS-CU et les nouveaux cas. »</w:t>
            </w:r>
          </w:p>
        </w:tc>
      </w:tr>
    </w:tbl>
    <w:p>
      <w:pPr>
        <w:spacing w:after="80" w:before="80"/>
      </w:pPr>
      <w:r>
        <w:t xml:space="preserve"/>
      </w:r>
    </w:p>
    <w:p>
      <w:pPr>
        <w:pStyle w:val="Heading3"/>
        <w:spacing w:after="80" w:before="200"/>
      </w:pPr>
      <w:r>
        <w:rPr>
          <w:b/>
          <w:bCs/>
          <w:color w:val="0C1F3A"/>
          <w:sz w:val="22"/>
          <w:szCs w:val="22"/>
        </w:rPr>
        <w:t xml:space="preserve">Étape 3.7 — Page Documents de référence (3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Aller sur la page Documents (URL /documents)</w:t>
      </w:r>
    </w:p>
    <w:p>
      <w:pPr>
        <w:pStyle w:val="ListParagraph"/>
        <w:numPr>
          <w:ilvl w:val="0"/>
          <w:numId w:val="1"/>
        </w:numPr>
        <w:spacing w:after="30" w:before="30"/>
      </w:pPr>
      <w:r>
        <w:rPr>
          <w:sz w:val="22"/>
          <w:szCs w:val="22"/>
        </w:rPr>
        <w:t xml:space="preserve">2. Faire défiler la liste</w:t>
      </w:r>
    </w:p>
    <w:p>
      <w:pPr>
        <w:pStyle w:val="ListParagraph"/>
        <w:numPr>
          <w:ilvl w:val="0"/>
          <w:numId w:val="1"/>
        </w:numPr>
        <w:spacing w:after="30" w:before="30"/>
      </w:pPr>
      <w:r>
        <w:rPr>
          <w:sz w:val="22"/>
          <w:szCs w:val="22"/>
        </w:rPr>
        <w:t xml:space="preserve">3. Pointer le cadre national d'interopérabilité</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Vous trouverez ici l'ensemble du corpus documentaire : le cadre national d'interopérabilité, les notes de conception, les templates, les guides méthodologiques. »</w:t>
            </w:r>
          </w:p>
        </w:tc>
      </w:tr>
    </w:tbl>
    <w:p>
      <w:pPr>
        <w:spacing w:after="80" w:before="80"/>
      </w:pPr>
      <w:r>
        <w:t xml:space="preserve"/>
      </w:r>
    </w:p>
    <w:p>
      <w:pPr>
        <w:pStyle w:val="Heading3"/>
        <w:spacing w:after="80" w:before="200"/>
      </w:pPr>
      <w:r>
        <w:rPr>
          <w:b/>
          <w:bCs/>
          <w:color w:val="0C1F3A"/>
          <w:sz w:val="22"/>
          <w:szCs w:val="22"/>
        </w:rPr>
        <w:t xml:space="preserve">Étape 3.8 — Catalogue Propositions (3 min)</w:t>
      </w:r>
    </w:p>
    <w:p>
      <w:pPr>
        <w:pStyle w:val="Heading2"/>
        <w:spacing w:after="100" w:before="240"/>
      </w:pPr>
      <w:r>
        <w:rPr>
          <w:b/>
          <w:bCs/>
          <w:color w:val="0A6B68"/>
          <w:sz w:val="26"/>
          <w:szCs w:val="26"/>
        </w:rPr>
        <w:t xml:space="preserve">Actions</w:t>
      </w:r>
    </w:p>
    <w:p>
      <w:pPr>
        <w:pStyle w:val="ListParagraph"/>
        <w:numPr>
          <w:ilvl w:val="0"/>
          <w:numId w:val="1"/>
        </w:numPr>
        <w:spacing w:after="30" w:before="30"/>
      </w:pPr>
      <w:r>
        <w:rPr>
          <w:sz w:val="22"/>
          <w:szCs w:val="22"/>
        </w:rPr>
        <w:t xml:space="preserve">1. Aller sur 'Catalogue' puis 'Propositions'</w:t>
      </w:r>
    </w:p>
    <w:p>
      <w:pPr>
        <w:pStyle w:val="ListParagraph"/>
        <w:numPr>
          <w:ilvl w:val="0"/>
          <w:numId w:val="1"/>
        </w:numPr>
        <w:spacing w:after="30" w:before="30"/>
      </w:pPr>
      <w:r>
        <w:rPr>
          <w:sz w:val="22"/>
          <w:szCs w:val="22"/>
        </w:rPr>
        <w:t xml:space="preserve">2. Montrer les cas N1 récemment proposés</w:t>
      </w:r>
    </w:p>
    <w:p>
      <w:pPr>
        <w:pStyle w:val="ListParagraph"/>
        <w:numPr>
          <w:ilvl w:val="0"/>
          <w:numId w:val="1"/>
        </w:numPr>
        <w:spacing w:after="30" w:before="30"/>
      </w:pPr>
      <w:r>
        <w:rPr>
          <w:sz w:val="22"/>
          <w:szCs w:val="22"/>
        </w:rPr>
        <w:t xml:space="preserve">3. Expliquer la file d'entrée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Ici, vous voyez les cas d'usage encore au stade de proposition, qui ne sont pas encore validés ni cadrés. C'est la file d'entrée. Plusieurs des cas que nous avons importés hier sont à ce stade — l'arbitrage suivra. »</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C1F3A" w:val="solid"/>
          </w:tcPr>
          <w:p>
            <w:pPr>
              <w:spacing w:after="60" w:before="100"/>
              <w:jc w:val="center"/>
            </w:pPr>
            <w:r>
              <w:rPr>
                <w:b/>
                <w:bCs/>
                <w:color w:val="FFFFFF"/>
                <w:sz w:val="28"/>
                <w:szCs w:val="28"/>
              </w:rPr>
              <w:t xml:space="preserve">SÉQUENCE 4 — CAS D'USAGE EMBLÉMATIQUES</w:t>
            </w:r>
          </w:p>
          <w:p>
            <w:pPr>
              <w:spacing w:after="100" w:before="0"/>
              <w:jc w:val="center"/>
            </w:pPr>
            <w:r>
              <w:rPr>
                <w:color w:val="FFFFFF"/>
                <w:sz w:val="22"/>
                <w:szCs w:val="22"/>
              </w:rPr>
              <w:t xml:space="preserve">Durée : 10 minutes</w:t>
            </w:r>
          </w:p>
        </w:tc>
      </w:tr>
    </w:tbl>
    <w:p>
      <w:pPr>
        <w:spacing w:after="80" w:before="80"/>
      </w:pPr>
      <w:r>
        <w:t xml:space="preserve"/>
      </w:r>
    </w:p>
    <w:p>
      <w:pPr>
        <w:pStyle w:val="Heading2"/>
        <w:spacing w:after="100" w:before="240"/>
      </w:pPr>
      <w:r>
        <w:rPr>
          <w:b/>
          <w:bCs/>
          <w:color w:val="0A6B68"/>
          <w:sz w:val="26"/>
          <w:szCs w:val="26"/>
        </w:rPr>
        <w:t xml:space="preserve">Objectif</w:t>
      </w:r>
    </w:p>
    <w:p>
      <w:pPr>
        <w:spacing w:after="60" w:before="60"/>
        <w:ind/>
        <w:jc w:val="left"/>
      </w:pPr>
      <w:r>
        <w:rPr>
          <w:b w:val="false"/>
          <w:bCs w:val="false"/>
          <w:i/>
          <w:iCs/>
          <w:color w:val="000000"/>
          <w:sz w:val="22"/>
          <w:szCs w:val="22"/>
        </w:rPr>
        <w:t xml:space="preserve">Montrer 3 cas concrets et à fort impact.</w:t>
      </w:r>
    </w:p>
    <w:p>
      <w:pPr>
        <w:spacing w:after="80" w:before="80"/>
      </w:pPr>
      <w:r>
        <w:t xml:space="preserve"/>
      </w:r>
    </w:p>
    <w:p>
      <w:pPr>
        <w:pStyle w:val="Heading2"/>
        <w:spacing w:after="100" w:before="240"/>
      </w:pPr>
      <w:r>
        <w:rPr>
          <w:b/>
          <w:bCs/>
          <w:color w:val="0A6B68"/>
          <w:sz w:val="26"/>
          <w:szCs w:val="26"/>
        </w:rPr>
        <w:t xml:space="preserve">Cas 1 — PINS-METIER-001 : Création d'entreprise (NINEA-RCCM)</w:t>
      </w:r>
    </w:p>
    <w:p>
      <w:pPr>
        <w:spacing w:after="60" w:before="60"/>
        <w:ind/>
        <w:jc w:val="left"/>
      </w:pPr>
      <w:r>
        <w:rPr>
          <w:b w:val="false"/>
          <w:bCs w:val="false"/>
          <w:i/>
          <w:iCs/>
          <w:color w:val="000000"/>
          <w:sz w:val="20"/>
          <w:szCs w:val="20"/>
        </w:rPr>
        <w:t xml:space="preserve">Coordonnateur : APIX | Parties prenantes : DGID, Greffe, CSS, IPRES, ANSD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Aujourd'hui, créer une entreprise au Sénégal nécessite NINEA, RCCM, casier judiciaire — 3 démarches, 3 administrations, 3 délais. Demain, via PINS, ces 3 services seront orchestrés en un parcours unifié. C'est l'objectif du Guichet Unique Numérique. »</w:t>
            </w:r>
          </w:p>
        </w:tc>
      </w:tr>
    </w:tbl>
    <w:p>
      <w:pPr>
        <w:spacing w:after="80" w:before="80"/>
      </w:pPr>
      <w:r>
        <w:t xml:space="preserve"/>
      </w:r>
    </w:p>
    <w:p>
      <w:pPr>
        <w:pStyle w:val="Heading2"/>
        <w:spacing w:after="100" w:before="240"/>
      </w:pPr>
      <w:r>
        <w:rPr>
          <w:b/>
          <w:bCs/>
          <w:color w:val="0A6B68"/>
          <w:sz w:val="26"/>
          <w:szCs w:val="26"/>
        </w:rPr>
        <w:t xml:space="preserve">Cas 2 — PINS-TECH-0002 : Interopérabilité Douanes/Impôts</w:t>
      </w:r>
    </w:p>
    <w:p>
      <w:pPr>
        <w:spacing w:after="60" w:before="60"/>
        <w:ind/>
        <w:jc w:val="left"/>
      </w:pPr>
      <w:r>
        <w:rPr>
          <w:b w:val="false"/>
          <w:bCs w:val="false"/>
          <w:i/>
          <w:iCs/>
          <w:color w:val="000000"/>
          <w:sz w:val="20"/>
          <w:szCs w:val="20"/>
        </w:rPr>
        <w:t xml:space="preserve">Détenteur : DGD | Consommateurs : DGID, DGCPT | Système : GAINDE → SIGTAS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L'échange Douanes-Impôts via NINEA est déjà partiellement automatisé. C'est le service technique Douanes.GetDeclarations, qui permet à la DGID de consulter les déclarations douanières en temps réel. C'est déjà en MVP, prêt à passer en exploitation. »</w:t>
            </w:r>
          </w:p>
        </w:tc>
      </w:tr>
    </w:tbl>
    <w:p>
      <w:pPr>
        <w:spacing w:after="80" w:before="80"/>
      </w:pPr>
      <w:r>
        <w:t xml:space="preserve"/>
      </w:r>
    </w:p>
    <w:p>
      <w:pPr>
        <w:pStyle w:val="Heading2"/>
        <w:spacing w:after="100" w:before="240"/>
      </w:pPr>
      <w:r>
        <w:rPr>
          <w:b/>
          <w:bCs/>
          <w:color w:val="0A6B68"/>
          <w:sz w:val="26"/>
          <w:szCs w:val="26"/>
        </w:rPr>
        <w:t xml:space="preserve">Cas 3 — PINS-TECH-0004 : NINEA central</w:t>
      </w:r>
    </w:p>
    <w:p>
      <w:pPr>
        <w:spacing w:after="60" w:before="60"/>
        <w:ind/>
        <w:jc w:val="left"/>
      </w:pPr>
      <w:r>
        <w:rPr>
          <w:b w:val="false"/>
          <w:bCs w:val="false"/>
          <w:i/>
          <w:iCs/>
          <w:color w:val="000000"/>
          <w:sz w:val="20"/>
          <w:szCs w:val="20"/>
        </w:rPr>
        <w:t xml:space="preserve">Détenteur : ANSD | Consommateurs : DGID, DGD, DGCPT, IPRES, CSS, APIX, ARCOP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w:t>
            </w:r>
          </w:p>
          <w:p>
            <w:pPr>
              <w:spacing w:after="100" w:before="60"/>
            </w:pPr>
            <w:r>
              <w:rPr>
                <w:i/>
                <w:iCs/>
                <w:sz w:val="22"/>
                <w:szCs w:val="22"/>
              </w:rPr>
              <w:t xml:space="preserve">« Le NINEA est le numéro d'identification fiscale unique. PINS-TECH-0004 est le service technique qui permet à toute administration de vérifier un NINEA en temps réel — moins d'une seconde de latence. C'est le pilier du triptyque NINEA-RCCM-Casier, donc de toute la fiscalité et toute la création d'entreprise. »</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C1F3A" w:val="solid"/>
          </w:tcPr>
          <w:p>
            <w:pPr>
              <w:spacing w:after="60" w:before="100"/>
              <w:jc w:val="center"/>
            </w:pPr>
            <w:r>
              <w:rPr>
                <w:b/>
                <w:bCs/>
                <w:color w:val="FFFFFF"/>
                <w:sz w:val="28"/>
                <w:szCs w:val="28"/>
              </w:rPr>
              <w:t xml:space="preserve">SÉQUENCE 5 — APPEL À CONTRIBUTION</w:t>
            </w:r>
          </w:p>
          <w:p>
            <w:pPr>
              <w:spacing w:after="100" w:before="0"/>
              <w:jc w:val="center"/>
            </w:pPr>
            <w:r>
              <w:rPr>
                <w:color w:val="FFFFFF"/>
                <w:sz w:val="22"/>
                <w:szCs w:val="22"/>
              </w:rPr>
              <w:t xml:space="preserve">Durée : 10 minutes</w:t>
            </w:r>
          </w:p>
        </w:tc>
      </w:tr>
    </w:tbl>
    <w:p>
      <w:pPr>
        <w:spacing w:after="80" w:before="80"/>
      </w:pPr>
      <w:r>
        <w:t xml:space="preserve"/>
      </w:r>
    </w:p>
    <w:p>
      <w:pPr>
        <w:pStyle w:val="Heading2"/>
        <w:spacing w:after="100" w:before="240"/>
      </w:pPr>
      <w:r>
        <w:rPr>
          <w:b/>
          <w:bCs/>
          <w:color w:val="0A6B68"/>
          <w:sz w:val="26"/>
          <w:szCs w:val="26"/>
        </w:rPr>
        <w:t xml:space="preserve">Objectif</w:t>
      </w:r>
    </w:p>
    <w:p>
      <w:pPr>
        <w:spacing w:after="60" w:before="60"/>
        <w:ind/>
        <w:jc w:val="left"/>
      </w:pPr>
      <w:r>
        <w:rPr>
          <w:b w:val="false"/>
          <w:bCs w:val="false"/>
          <w:i/>
          <w:iCs/>
          <w:color w:val="000000"/>
          <w:sz w:val="22"/>
          <w:szCs w:val="22"/>
        </w:rPr>
        <w:t xml:space="preserve">Convaincre chaque participant de se connecter MAINTENANT. Tu transformes l'attention en action.</w:t>
      </w:r>
    </w:p>
    <w:p>
      <w:pPr>
        <w:spacing w:after="80" w:before="80"/>
      </w:pPr>
      <w:r>
        <w:t xml:space="preserve"/>
      </w:r>
    </w:p>
    <w:p>
      <w:pPr>
        <w:pStyle w:val="Heading2"/>
        <w:spacing w:after="100" w:before="240"/>
      </w:pPr>
      <w:r>
        <w:rPr>
          <w:b/>
          <w:bCs/>
          <w:color w:val="0A6B68"/>
          <w:sz w:val="26"/>
          <w:szCs w:val="26"/>
        </w:rPr>
        <w:t xml:space="preserve">Les 5 messages clés à marteler</w:t>
      </w:r>
    </w:p>
    <w:p>
      <w:pPr>
        <w:pStyle w:val="ListParagraph"/>
        <w:numPr>
          <w:ilvl w:val="0"/>
          <w:numId w:val="1"/>
        </w:numPr>
        <w:spacing w:after="30" w:before="30"/>
      </w:pPr>
      <w:r>
        <w:rPr>
          <w:sz w:val="22"/>
          <w:szCs w:val="22"/>
        </w:rPr>
        <w:t xml:space="preserve">1. Chaque administration ici présente a maintenant un compte actif.</w:t>
      </w:r>
    </w:p>
    <w:p>
      <w:pPr>
        <w:pStyle w:val="ListParagraph"/>
        <w:numPr>
          <w:ilvl w:val="0"/>
          <w:numId w:val="1"/>
        </w:numPr>
        <w:spacing w:after="30" w:before="30"/>
      </w:pPr>
      <w:r>
        <w:rPr>
          <w:sz w:val="22"/>
          <w:szCs w:val="22"/>
        </w:rPr>
        <w:t xml:space="preserve">2. Mot de passe initial : Password123 (à changer à la première connexion).</w:t>
      </w:r>
    </w:p>
    <w:p>
      <w:pPr>
        <w:pStyle w:val="ListParagraph"/>
        <w:numPr>
          <w:ilvl w:val="0"/>
          <w:numId w:val="1"/>
        </w:numPr>
        <w:spacing w:after="30" w:before="30"/>
      </w:pPr>
      <w:r>
        <w:rPr>
          <w:sz w:val="22"/>
          <w:szCs w:val="22"/>
        </w:rPr>
        <w:t xml:space="preserve">3. Commencez à remplir votre questionnaire dès aujourd'hui — c'est 30 à 45 minutes.</w:t>
      </w:r>
    </w:p>
    <w:p>
      <w:pPr>
        <w:pStyle w:val="ListParagraph"/>
        <w:numPr>
          <w:ilvl w:val="0"/>
          <w:numId w:val="1"/>
        </w:numPr>
        <w:spacing w:after="30" w:before="30"/>
      </w:pPr>
      <w:r>
        <w:rPr>
          <w:sz w:val="22"/>
          <w:szCs w:val="22"/>
        </w:rPr>
        <w:t xml:space="preserve">4. Si votre institution n'est pas encore référencée, signalez-le, ajout en moins de 24h.</w:t>
      </w:r>
    </w:p>
    <w:p>
      <w:pPr>
        <w:pStyle w:val="ListParagraph"/>
        <w:numPr>
          <w:ilvl w:val="0"/>
          <w:numId w:val="1"/>
        </w:numPr>
        <w:spacing w:after="30" w:before="30"/>
      </w:pPr>
      <w:r>
        <w:rPr>
          <w:sz w:val="22"/>
          <w:szCs w:val="22"/>
        </w:rPr>
        <w:t xml:space="preserve">5. L'équipe Delivery Unit MCTN reste disponible pour vous accompagner.</w:t>
      </w:r>
    </w:p>
    <w:p>
      <w:pPr>
        <w:spacing w:after="80" w:before="80"/>
      </w:pPr>
      <w:r>
        <w:t xml:space="preserve"/>
      </w:r>
    </w:p>
    <w:p>
      <w:pPr>
        <w:pStyle w:val="Heading2"/>
        <w:spacing w:after="100" w:before="240"/>
      </w:pPr>
      <w:r>
        <w:rPr>
          <w:b/>
          <w:bCs/>
          <w:color w:val="0A6B68"/>
          <w:sz w:val="26"/>
          <w:szCs w:val="26"/>
        </w:rPr>
        <w:t xml:space="preserve">Phrase d'accroche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À dire (en regardant la salle)</w:t>
            </w:r>
          </w:p>
          <w:p>
            <w:pPr>
              <w:spacing w:after="100" w:before="60"/>
            </w:pPr>
            <w:r>
              <w:rPr>
                <w:i/>
                <w:iCs/>
                <w:sz w:val="22"/>
                <w:szCs w:val="22"/>
              </w:rPr>
              <w:t xml:space="preserve">« Sortez votre téléphone, sortez votre laptop. Ce n'est pas un atelier théorique. Dans 5 minutes, vous serez tous connectés. C'est ça le numérique au service de l'administration. »</w:t>
            </w:r>
          </w:p>
        </w:tc>
      </w:tr>
    </w:tbl>
    <w:p>
      <w:pPr>
        <w:spacing w:after="80" w:before="80"/>
      </w:pPr>
      <w:r>
        <w:t xml:space="preserve"/>
      </w:r>
    </w:p>
    <w:p>
      <w:pPr>
        <w:pStyle w:val="Heading2"/>
        <w:spacing w:after="100" w:before="240"/>
      </w:pPr>
      <w:r>
        <w:rPr>
          <w:b/>
          <w:bCs/>
          <w:color w:val="0A6B68"/>
          <w:sz w:val="26"/>
          <w:szCs w:val="26"/>
        </w:rPr>
        <w:t xml:space="preserve">Invitation live</w:t>
      </w:r>
    </w:p>
    <w:p>
      <w:pPr>
        <w:spacing w:after="60" w:before="60"/>
        <w:ind/>
        <w:jc w:val="left"/>
      </w:pPr>
      <w:r>
        <w:rPr>
          <w:b w:val="false"/>
          <w:bCs w:val="false"/>
          <w:i/>
          <w:iCs/>
          <w:color w:val="000000"/>
          <w:sz w:val="22"/>
          <w:szCs w:val="22"/>
        </w:rPr>
        <w:t xml:space="preserve">Demande à 1 ou 2 participants volontaires de se connecter en direct sur leur portable ou sur ton PC. C'est très puissant pour la salle.</w:t>
      </w:r>
    </w:p>
    <w:p>
      <w:pPr>
        <w:spacing w:after="80" w:before="80"/>
      </w:pPr>
      <w:r>
        <w:t xml:space="preserve"/>
      </w:r>
    </w:p>
    <w:p>
      <w:pPr>
        <w:pStyle w:val="Heading2"/>
        <w:spacing w:after="100" w:before="240"/>
      </w:pPr>
      <w:r>
        <w:rPr>
          <w:b/>
          <w:bCs/>
          <w:color w:val="0A6B68"/>
          <w:sz w:val="26"/>
          <w:szCs w:val="26"/>
        </w:rPr>
        <w:t xml:space="preserve">Distribution des comptes</w:t>
      </w:r>
    </w:p>
    <w:p>
      <w:pPr>
        <w:pStyle w:val="ListParagraph"/>
        <w:numPr>
          <w:ilvl w:val="0"/>
          <w:numId w:val="1"/>
        </w:numPr>
        <w:spacing w:after="30" w:before="30"/>
      </w:pPr>
      <w:r>
        <w:rPr>
          <w:sz w:val="22"/>
          <w:szCs w:val="22"/>
        </w:rPr>
        <w:t xml:space="preserve">Projeter le tableau Excel des 56 comptes au mur</w:t>
      </w:r>
    </w:p>
    <w:p>
      <w:pPr>
        <w:pStyle w:val="ListParagraph"/>
        <w:numPr>
          <w:ilvl w:val="0"/>
          <w:numId w:val="1"/>
        </w:numPr>
        <w:spacing w:after="30" w:before="30"/>
      </w:pPr>
      <w:r>
        <w:rPr>
          <w:sz w:val="22"/>
          <w:szCs w:val="22"/>
        </w:rPr>
        <w:t xml:space="preserve">Ou distribuer le polycopié à la pause</w:t>
      </w:r>
    </w:p>
    <w:p>
      <w:pPr>
        <w:pStyle w:val="ListParagraph"/>
        <w:numPr>
          <w:ilvl w:val="0"/>
          <w:numId w:val="1"/>
        </w:numPr>
        <w:spacing w:after="30" w:before="30"/>
      </w:pPr>
      <w:r>
        <w:rPr>
          <w:sz w:val="22"/>
          <w:szCs w:val="22"/>
        </w:rPr>
        <w:t xml:space="preserve">Encourager la prise de contact avec la Delivery Unit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0C1F3A" w:val="solid"/>
          </w:tcPr>
          <w:p>
            <w:pPr>
              <w:spacing w:after="60" w:before="100"/>
              <w:jc w:val="center"/>
            </w:pPr>
            <w:r>
              <w:rPr>
                <w:b/>
                <w:bCs/>
                <w:color w:val="FFFFFF"/>
                <w:sz w:val="28"/>
                <w:szCs w:val="28"/>
              </w:rPr>
              <w:t xml:space="preserve">SÉQUENCE 6 — QUESTIONS ET ÉCHANGES</w:t>
            </w:r>
          </w:p>
          <w:p>
            <w:pPr>
              <w:spacing w:after="100" w:before="0"/>
              <w:jc w:val="center"/>
            </w:pPr>
            <w:r>
              <w:rPr>
                <w:color w:val="FFFFFF"/>
                <w:sz w:val="22"/>
                <w:szCs w:val="22"/>
              </w:rPr>
              <w:t xml:space="preserve">Durée : 5 minutes</w:t>
            </w:r>
          </w:p>
        </w:tc>
      </w:tr>
    </w:tbl>
    <w:p>
      <w:pPr>
        <w:spacing w:after="80" w:before="80"/>
      </w:pPr>
      <w:r>
        <w:t xml:space="preserve"/>
      </w:r>
    </w:p>
    <w:p>
      <w:pPr>
        <w:pStyle w:val="Heading2"/>
        <w:spacing w:after="100" w:before="240"/>
      </w:pPr>
      <w:r>
        <w:rPr>
          <w:b/>
          <w:bCs/>
          <w:color w:val="0A6B68"/>
          <w:sz w:val="26"/>
          <w:szCs w:val="26"/>
        </w:rPr>
        <w:t xml:space="preserve">Posture</w:t>
      </w:r>
    </w:p>
    <w:p>
      <w:pPr>
        <w:pStyle w:val="ListParagraph"/>
        <w:numPr>
          <w:ilvl w:val="0"/>
          <w:numId w:val="1"/>
        </w:numPr>
        <w:spacing w:after="30" w:before="30"/>
      </w:pPr>
      <w:r>
        <w:rPr>
          <w:sz w:val="22"/>
          <w:szCs w:val="22"/>
        </w:rPr>
        <w:t xml:space="preserve">Écoute la question entière — ne coupe pas</w:t>
      </w:r>
    </w:p>
    <w:p>
      <w:pPr>
        <w:pStyle w:val="ListParagraph"/>
        <w:numPr>
          <w:ilvl w:val="0"/>
          <w:numId w:val="1"/>
        </w:numPr>
        <w:spacing w:after="30" w:before="30"/>
      </w:pPr>
      <w:r>
        <w:rPr>
          <w:sz w:val="22"/>
          <w:szCs w:val="22"/>
        </w:rPr>
        <w:t xml:space="preserve">Reformule si besoin pour la salle (le micro ne porte pas toujours)</w:t>
      </w:r>
    </w:p>
    <w:p>
      <w:pPr>
        <w:pStyle w:val="ListParagraph"/>
        <w:numPr>
          <w:ilvl w:val="0"/>
          <w:numId w:val="1"/>
        </w:numPr>
        <w:spacing w:after="30" w:before="30"/>
      </w:pPr>
      <w:r>
        <w:rPr>
          <w:sz w:val="22"/>
          <w:szCs w:val="22"/>
        </w:rPr>
        <w:t xml:space="preserve">Réponse courte d'abord, exemple ensuite</w:t>
      </w:r>
    </w:p>
    <w:p>
      <w:pPr>
        <w:pStyle w:val="ListParagraph"/>
        <w:numPr>
          <w:ilvl w:val="0"/>
          <w:numId w:val="1"/>
        </w:numPr>
        <w:spacing w:after="30" w:before="30"/>
      </w:pPr>
      <w:r>
        <w:rPr>
          <w:sz w:val="22"/>
          <w:szCs w:val="22"/>
        </w:rPr>
        <w:t xml:space="preserve">Si tu ne sais pas : 'Je vous reviens dessus, votre email m'arrive dans la base, je vous réponds avant vendredi'</w:t>
      </w:r>
    </w:p>
    <w:p>
      <w:pPr>
        <w:spacing w:after="80" w:before="80"/>
      </w:pPr>
      <w:r>
        <w:t xml:space="preserve"/>
      </w:r>
    </w:p>
    <w:p>
      <w:pPr>
        <w:pStyle w:val="Heading2"/>
        <w:spacing w:after="100" w:before="240"/>
      </w:pPr>
      <w:r>
        <w:rPr>
          <w:b/>
          <w:bCs/>
          <w:color w:val="0A6B68"/>
          <w:sz w:val="26"/>
          <w:szCs w:val="26"/>
        </w:rPr>
        <w:t xml:space="preserve">Conclusion (à dire en clôture - mot pour mot)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color="F4F4F4" w:val="solid"/>
          </w:tcPr>
          <w:p>
            <w:pPr>
              <w:spacing w:after="60" w:before="100"/>
            </w:pPr>
            <w:r>
              <w:rPr>
                <w:b/>
                <w:bCs/>
                <w:color w:val="0A6B68"/>
                <w:sz w:val="22"/>
                <w:szCs w:val="22"/>
              </w:rPr>
              <w:t xml:space="preserve">Phrase de clôture</w:t>
            </w:r>
          </w:p>
          <w:p>
            <w:pPr>
              <w:spacing w:after="100" w:before="60"/>
            </w:pPr>
            <w:r>
              <w:rPr>
                <w:i/>
                <w:iCs/>
                <w:sz w:val="22"/>
                <w:szCs w:val="22"/>
              </w:rPr>
              <w:t xml:space="preserve">« Merci à tous. Le numérique au service du citoyen, c'est avant tout le numérique au service de l'administration. PINS est désormais à votre disposition. Faites-en bon usage. Je reste à votre disposition à la pause et après l'atelier. »</w:t>
            </w:r>
          </w:p>
        </w:tc>
      </w:tr>
    </w:tbl>
    <w:p>
      <w:r>
        <w:br w:type="page"/>
      </w:r>
    </w:p>
    <w:p>
      <w:pPr>
        <w:pStyle w:val="Heading1"/>
        <w:pBdr>
          <w:bottom w:val="single" w:color="0C1F3A" w:sz="12" w:space="4"/>
        </w:pBdr>
        <w:spacing w:after="200" w:before="400"/>
      </w:pPr>
      <w:r>
        <w:rPr>
          <w:b/>
          <w:bCs/>
          <w:color w:val="0C1F3A"/>
          <w:sz w:val="32"/>
          <w:szCs w:val="32"/>
        </w:rPr>
        <w:t xml:space="preserve">Annexe A — Plan B (en cas de problème technique)</w:t>
      </w:r>
    </w:p>
    <w:p>
      <w:pPr>
        <w:spacing w:after="60" w:before="60"/>
        <w:ind/>
        <w:jc w:val="left"/>
      </w:pPr>
      <w:r>
        <w:rPr>
          <w:b w:val="false"/>
          <w:bCs w:val="false"/>
          <w:i/>
          <w:iCs/>
          <w:color w:val="C55A18"/>
          <w:sz w:val="22"/>
          <w:szCs w:val="22"/>
        </w:rPr>
        <w:t xml:space="preserve">La règle d'or : ne jamais paniquer devant la salle. Le pire, c'est de transmettre du stress.</w:t>
      </w:r>
    </w:p>
    <w:p>
      <w:pPr>
        <w:spacing w:after="80" w:before="80"/>
      </w:pPr>
      <w:r>
        <w:t xml:space="preserve"/>
      </w:r>
    </w:p>
    <w:p>
      <w:pPr>
        <w:pStyle w:val="Heading2"/>
        <w:spacing w:after="100" w:before="240"/>
      </w:pPr>
      <w:r>
        <w:rPr>
          <w:b/>
          <w:bCs/>
          <w:color w:val="0A6B68"/>
          <w:sz w:val="26"/>
          <w:szCs w:val="26"/>
        </w:rPr>
        <w:t xml:space="preserve">Scénario 1 — La connexion internet de la salle plante</w:t>
      </w:r>
    </w:p>
    <w:p>
      <w:pPr>
        <w:pStyle w:val="ListParagraph"/>
        <w:numPr>
          <w:ilvl w:val="0"/>
          <w:numId w:val="1"/>
        </w:numPr>
        <w:spacing w:after="30" w:before="30"/>
      </w:pPr>
      <w:r>
        <w:rPr>
          <w:sz w:val="22"/>
          <w:szCs w:val="22"/>
        </w:rPr>
        <w:t xml:space="preserve">Avoir des captures d'écran pré-faites en local sur le bureau du PC</w:t>
      </w:r>
    </w:p>
    <w:p>
      <w:pPr>
        <w:pStyle w:val="ListParagraph"/>
        <w:numPr>
          <w:ilvl w:val="0"/>
          <w:numId w:val="1"/>
        </w:numPr>
        <w:spacing w:after="30" w:before="30"/>
      </w:pPr>
      <w:r>
        <w:rPr>
          <w:sz w:val="22"/>
          <w:szCs w:val="22"/>
        </w:rPr>
        <w:t xml:space="preserve">Avoir un PDF du présent guide ouvert sur le PC en backup</w:t>
      </w:r>
    </w:p>
    <w:p>
      <w:pPr>
        <w:pStyle w:val="ListParagraph"/>
        <w:numPr>
          <w:ilvl w:val="0"/>
          <w:numId w:val="1"/>
        </w:numPr>
        <w:spacing w:after="30" w:before="30"/>
      </w:pPr>
      <w:r>
        <w:rPr>
          <w:sz w:val="22"/>
          <w:szCs w:val="22"/>
        </w:rPr>
        <w:t xml:space="preserve">Phrase : 'Comme la connexion fait des siennes, je vais vous faire la visite à partir des captures - tout est exactement comme dans la plateforme'</w:t>
      </w:r>
    </w:p>
    <w:p>
      <w:pPr>
        <w:spacing w:after="80" w:before="80"/>
      </w:pPr>
      <w:r>
        <w:t xml:space="preserve"/>
      </w:r>
    </w:p>
    <w:p>
      <w:pPr>
        <w:pStyle w:val="Heading2"/>
        <w:spacing w:after="100" w:before="240"/>
      </w:pPr>
      <w:r>
        <w:rPr>
          <w:b/>
          <w:bCs/>
          <w:color w:val="0A6B68"/>
          <w:sz w:val="26"/>
          <w:szCs w:val="26"/>
        </w:rPr>
        <w:t xml:space="preserve">Scénario 2 — La plateforme ne répond pas</w:t>
      </w:r>
    </w:p>
    <w:p>
      <w:pPr>
        <w:pStyle w:val="ListParagraph"/>
        <w:numPr>
          <w:ilvl w:val="0"/>
          <w:numId w:val="1"/>
        </w:numPr>
        <w:spacing w:after="30" w:before="30"/>
      </w:pPr>
      <w:r>
        <w:rPr>
          <w:sz w:val="22"/>
          <w:szCs w:val="22"/>
        </w:rPr>
        <w:t xml:space="preserve">Ne pas paniquer</w:t>
      </w:r>
    </w:p>
    <w:p>
      <w:pPr>
        <w:pStyle w:val="ListParagraph"/>
        <w:numPr>
          <w:ilvl w:val="0"/>
          <w:numId w:val="1"/>
        </w:numPr>
        <w:spacing w:after="30" w:before="30"/>
      </w:pPr>
      <w:r>
        <w:rPr>
          <w:sz w:val="22"/>
          <w:szCs w:val="22"/>
        </w:rPr>
        <w:t xml:space="preserve">Phrase : 'Comme on le voit, l'outil est en exploitation active, donc parfois ça respire. Heureusement, j'ai préparé l'essentiel en captures'</w:t>
      </w:r>
    </w:p>
    <w:p>
      <w:pPr>
        <w:pStyle w:val="ListParagraph"/>
        <w:numPr>
          <w:ilvl w:val="0"/>
          <w:numId w:val="1"/>
        </w:numPr>
        <w:spacing w:after="30" w:before="30"/>
      </w:pPr>
      <w:r>
        <w:rPr>
          <w:sz w:val="22"/>
          <w:szCs w:val="22"/>
        </w:rPr>
        <w:t xml:space="preserve">Basculer immédiatement sur les captures locales</w:t>
      </w:r>
    </w:p>
    <w:p>
      <w:pPr>
        <w:spacing w:after="80" w:before="80"/>
      </w:pPr>
      <w:r>
        <w:t xml:space="preserve"/>
      </w:r>
    </w:p>
    <w:p>
      <w:pPr>
        <w:pStyle w:val="Heading2"/>
        <w:spacing w:after="100" w:before="240"/>
      </w:pPr>
      <w:r>
        <w:rPr>
          <w:b/>
          <w:bCs/>
          <w:color w:val="0A6B68"/>
          <w:sz w:val="26"/>
          <w:szCs w:val="26"/>
        </w:rPr>
        <w:t xml:space="preserve">Scénario 3 — Bug d'affichage soumissions admin (déjà observé)</w:t>
      </w:r>
    </w:p>
    <w:p>
      <w:pPr>
        <w:pStyle w:val="ListParagraph"/>
        <w:numPr>
          <w:ilvl w:val="0"/>
          <w:numId w:val="1"/>
        </w:numPr>
        <w:spacing w:after="30" w:before="30"/>
      </w:pPr>
      <w:r>
        <w:rPr>
          <w:sz w:val="22"/>
          <w:szCs w:val="22"/>
        </w:rPr>
        <w:t xml:space="preserve">Si tu ne vois pas la soumission ANSD à l'écran : ouvrir une nouvelle navigation privée</w:t>
      </w:r>
    </w:p>
    <w:p>
      <w:pPr>
        <w:pStyle w:val="ListParagraph"/>
        <w:numPr>
          <w:ilvl w:val="0"/>
          <w:numId w:val="1"/>
        </w:numPr>
        <w:spacing w:after="30" w:before="30"/>
      </w:pPr>
      <w:r>
        <w:rPr>
          <w:sz w:val="22"/>
          <w:szCs w:val="22"/>
        </w:rPr>
        <w:t xml:space="preserve">Si toujours pas : montrer le résultat via l'API en SSH (curl) — montre la donnée existe</w:t>
      </w:r>
    </w:p>
    <w:p>
      <w:pPr>
        <w:pStyle w:val="ListParagraph"/>
        <w:numPr>
          <w:ilvl w:val="0"/>
          <w:numId w:val="1"/>
        </w:numPr>
        <w:spacing w:after="30" w:before="30"/>
      </w:pPr>
      <w:r>
        <w:rPr>
          <w:sz w:val="22"/>
          <w:szCs w:val="22"/>
        </w:rPr>
        <w:t xml:space="preserve">Phrase : 'On a un petit bug d'affichage qu'on corrige cette semaine — la donnée est bien là, je vous le montre via l'API.'</w:t>
      </w:r>
    </w:p>
    <w:p>
      <w:pPr>
        <w:spacing w:after="80" w:before="80"/>
      </w:pPr>
      <w:r>
        <w:t xml:space="preserve"/>
      </w:r>
    </w:p>
    <w:p>
      <w:pPr>
        <w:pStyle w:val="Heading2"/>
        <w:spacing w:after="100" w:before="240"/>
      </w:pPr>
      <w:r>
        <w:rPr>
          <w:b/>
          <w:bCs/>
          <w:color w:val="0A6B68"/>
          <w:sz w:val="26"/>
          <w:szCs w:val="26"/>
        </w:rPr>
        <w:t xml:space="preserve">Scénario 4 — Tu oublies un point</w:t>
      </w:r>
    </w:p>
    <w:p>
      <w:pPr>
        <w:pStyle w:val="ListParagraph"/>
        <w:numPr>
          <w:ilvl w:val="0"/>
          <w:numId w:val="1"/>
        </w:numPr>
        <w:spacing w:after="30" w:before="30"/>
      </w:pPr>
      <w:r>
        <w:rPr>
          <w:sz w:val="22"/>
          <w:szCs w:val="22"/>
        </w:rPr>
        <w:t xml:space="preserve">Cette fiche reste sous tes yeux pendant la démo</w:t>
      </w:r>
    </w:p>
    <w:p>
      <w:pPr>
        <w:pStyle w:val="ListParagraph"/>
        <w:numPr>
          <w:ilvl w:val="0"/>
          <w:numId w:val="1"/>
        </w:numPr>
        <w:spacing w:after="30" w:before="30"/>
      </w:pPr>
      <w:r>
        <w:rPr>
          <w:sz w:val="22"/>
          <w:szCs w:val="22"/>
        </w:rPr>
        <w:t xml:space="preserve">Personne ne te jugera de regarder tes notes — c'est même professionnel</w:t>
      </w:r>
    </w:p>
    <w:p>
      <w:pPr>
        <w:spacing w:after="80" w:before="80"/>
      </w:pPr>
      <w:r>
        <w:t xml:space="preserve"/>
      </w:r>
    </w:p>
    <w:p>
      <w:pPr>
        <w:pStyle w:val="Heading2"/>
        <w:spacing w:after="100" w:before="240"/>
      </w:pPr>
      <w:r>
        <w:rPr>
          <w:b/>
          <w:bCs/>
          <w:color w:val="0A6B68"/>
          <w:sz w:val="26"/>
          <w:szCs w:val="26"/>
        </w:rPr>
        <w:t xml:space="preserve">Scénario 5 — Une question piège ou hostile</w:t>
      </w:r>
    </w:p>
    <w:p>
      <w:pPr>
        <w:pStyle w:val="ListParagraph"/>
        <w:numPr>
          <w:ilvl w:val="0"/>
          <w:numId w:val="1"/>
        </w:numPr>
        <w:spacing w:after="30" w:before="30"/>
      </w:pPr>
      <w:r>
        <w:rPr>
          <w:sz w:val="22"/>
          <w:szCs w:val="22"/>
        </w:rPr>
        <w:t xml:space="preserve">Remercier la question : 'Merci pour cette question importante'</w:t>
      </w:r>
    </w:p>
    <w:p>
      <w:pPr>
        <w:pStyle w:val="ListParagraph"/>
        <w:numPr>
          <w:ilvl w:val="0"/>
          <w:numId w:val="1"/>
        </w:numPr>
        <w:spacing w:after="30" w:before="30"/>
      </w:pPr>
      <w:r>
        <w:rPr>
          <w:sz w:val="22"/>
          <w:szCs w:val="22"/>
        </w:rPr>
        <w:t xml:space="preserve">Reformuler pour gagner 2 secondes</w:t>
      </w:r>
    </w:p>
    <w:p>
      <w:pPr>
        <w:pStyle w:val="ListParagraph"/>
        <w:numPr>
          <w:ilvl w:val="0"/>
          <w:numId w:val="1"/>
        </w:numPr>
        <w:spacing w:after="30" w:before="30"/>
      </w:pPr>
      <w:r>
        <w:rPr>
          <w:sz w:val="22"/>
          <w:szCs w:val="22"/>
        </w:rPr>
        <w:t xml:space="preserve">Répondre factuellement, sans défensive</w:t>
      </w:r>
    </w:p>
    <w:p>
      <w:pPr>
        <w:spacing w:after="80" w:before="80"/>
      </w:pPr>
      <w:r>
        <w:t xml:space="preserve"/>
      </w:r>
    </w:p>
    <w:p>
      <w:pPr>
        <w:pStyle w:val="Heading2"/>
        <w:spacing w:after="100" w:before="240"/>
      </w:pPr>
      <w:r>
        <w:rPr>
          <w:b/>
          <w:bCs/>
          <w:color w:val="0A6B68"/>
          <w:sz w:val="26"/>
          <w:szCs w:val="26"/>
        </w:rPr>
        <w:t xml:space="preserve">Scénario 6 — Le projecteur lâche</w:t>
      </w:r>
    </w:p>
    <w:p>
      <w:pPr>
        <w:pStyle w:val="ListParagraph"/>
        <w:numPr>
          <w:ilvl w:val="0"/>
          <w:numId w:val="1"/>
        </w:numPr>
        <w:spacing w:after="30" w:before="30"/>
      </w:pPr>
      <w:r>
        <w:rPr>
          <w:sz w:val="22"/>
          <w:szCs w:val="22"/>
        </w:rPr>
        <w:t xml:space="preserve">Garder le sourire</w:t>
      </w:r>
    </w:p>
    <w:p>
      <w:pPr>
        <w:pStyle w:val="ListParagraph"/>
        <w:numPr>
          <w:ilvl w:val="0"/>
          <w:numId w:val="1"/>
        </w:numPr>
        <w:spacing w:after="30" w:before="30"/>
      </w:pPr>
      <w:r>
        <w:rPr>
          <w:sz w:val="22"/>
          <w:szCs w:val="22"/>
        </w:rPr>
        <w:t xml:space="preserve">Continuer en mode oratoire — les séquences 1, 2, 5 et 6 ne nécessitent pas l'écran</w:t>
      </w:r>
    </w:p>
    <w:p>
      <w:pPr>
        <w:pStyle w:val="ListParagraph"/>
        <w:numPr>
          <w:ilvl w:val="0"/>
          <w:numId w:val="1"/>
        </w:numPr>
        <w:spacing w:after="30" w:before="30"/>
      </w:pPr>
      <w:r>
        <w:rPr>
          <w:sz w:val="22"/>
          <w:szCs w:val="22"/>
        </w:rPr>
        <w:t xml:space="preserve">Distribuer le polycopié des 56 comptes en physique</w:t>
      </w:r>
    </w:p>
    <w:p>
      <w:r>
        <w:br w:type="page"/>
      </w:r>
    </w:p>
    <w:p>
      <w:pPr>
        <w:pStyle w:val="Heading1"/>
        <w:pBdr>
          <w:bottom w:val="single" w:color="0C1F3A" w:sz="12" w:space="4"/>
        </w:pBdr>
        <w:spacing w:after="200" w:before="400"/>
      </w:pPr>
      <w:r>
        <w:rPr>
          <w:b/>
          <w:bCs/>
          <w:color w:val="0C1F3A"/>
          <w:sz w:val="32"/>
          <w:szCs w:val="32"/>
        </w:rPr>
        <w:t xml:space="preserve">Annexe B — FAQ enrichie</w:t>
      </w:r>
    </w:p>
    <w:p>
      <w:pPr>
        <w:spacing w:after="60" w:before="60"/>
        <w:ind/>
        <w:jc w:val="left"/>
      </w:pPr>
      <w:r>
        <w:rPr>
          <w:b w:val="false"/>
          <w:bCs w:val="false"/>
          <w:i/>
          <w:iCs/>
          <w:color w:val="000000"/>
          <w:sz w:val="22"/>
          <w:szCs w:val="22"/>
        </w:rPr>
        <w:t xml:space="preserve">Les questions probables et leurs réponses préparées.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F4F4F4" w:val="solid"/>
          </w:tcPr>
          <w:p>
            <w:pPr>
              <w:spacing w:after="60" w:before="60"/>
              <w:jc w:val="left"/>
            </w:pPr>
            <w:r>
              <w:rPr>
                <w:b/>
                <w:bCs/>
                <w:i w:val="false"/>
                <w:iCs w:val="false"/>
                <w:color w:val="0C1F3A"/>
                <w:sz w:val="20"/>
                <w:szCs w:val="20"/>
              </w:rPr>
              <w:t xml:space="preserve">Combien ça coûte ?</w:t>
            </w:r>
          </w:p>
        </w:tc>
        <w:tc>
          <w:tcPr>
            <w:shd w:color="F4F4F4" w:val="solid"/>
          </w:tcPr>
          <w:p>
            <w:pPr>
              <w:spacing w:after="60" w:before="60"/>
              <w:jc w:val="left"/>
            </w:pPr>
            <w:r>
              <w:rPr>
                <w:b w:val="false"/>
                <w:bCs w:val="false"/>
                <w:i w:val="false"/>
                <w:iCs w:val="false"/>
                <w:color w:val="000000"/>
                <w:sz w:val="20"/>
                <w:szCs w:val="20"/>
              </w:rPr>
              <w:t xml:space="preserve">Financé dans le cadre du programme Goin' Digital de la GIZ et du New Deal Technologique. Aucun coût direct pour les administrations utilisatrices.</w:t>
            </w:r>
          </w:p>
        </w:tc>
      </w:tr>
      <w:tr>
        <w:tc>
          <w:p>
            <w:pPr>
              <w:spacing w:after="60" w:before="60"/>
              <w:jc w:val="left"/>
            </w:pPr>
            <w:r>
              <w:rPr>
                <w:b/>
                <w:bCs/>
                <w:i w:val="false"/>
                <w:iCs w:val="false"/>
                <w:color w:val="0C1F3A"/>
                <w:sz w:val="20"/>
                <w:szCs w:val="20"/>
              </w:rPr>
              <w:t xml:space="preserve">Qui héberge la plateforme ?</w:t>
            </w:r>
          </w:p>
        </w:tc>
        <w:tc>
          <w:p>
            <w:pPr>
              <w:spacing w:after="60" w:before="60"/>
              <w:jc w:val="left"/>
            </w:pPr>
            <w:r>
              <w:rPr>
                <w:b w:val="false"/>
                <w:bCs w:val="false"/>
                <w:i w:val="false"/>
                <w:iCs w:val="false"/>
                <w:color w:val="000000"/>
                <w:sz w:val="20"/>
                <w:szCs w:val="20"/>
              </w:rPr>
              <w:t xml:space="preserve">SENUM SA — infrastructure souveraine sénégalaise. Le code est sous gouvernance du MCTN.</w:t>
            </w:r>
          </w:p>
        </w:tc>
      </w:tr>
      <w:tr>
        <w:tc>
          <w:tcPr>
            <w:shd w:color="F4F4F4" w:val="solid"/>
          </w:tcPr>
          <w:p>
            <w:pPr>
              <w:spacing w:after="60" w:before="60"/>
              <w:jc w:val="left"/>
            </w:pPr>
            <w:r>
              <w:rPr>
                <w:b/>
                <w:bCs/>
                <w:i w:val="false"/>
                <w:iCs w:val="false"/>
                <w:color w:val="0C1F3A"/>
                <w:sz w:val="20"/>
                <w:szCs w:val="20"/>
              </w:rPr>
              <w:t xml:space="preserve">Quelle sécurité ?</w:t>
            </w:r>
          </w:p>
        </w:tc>
        <w:tc>
          <w:tcPr>
            <w:shd w:color="F4F4F4" w:val="solid"/>
          </w:tcPr>
          <w:p>
            <w:pPr>
              <w:spacing w:after="60" w:before="60"/>
              <w:jc w:val="left"/>
            </w:pPr>
            <w:r>
              <w:rPr>
                <w:b w:val="false"/>
                <w:bCs w:val="false"/>
                <w:i w:val="false"/>
                <w:iCs w:val="false"/>
                <w:color w:val="000000"/>
                <w:sz w:val="20"/>
                <w:szCs w:val="20"/>
              </w:rPr>
              <w:t xml:space="preserve">Authentification forte, journalisation inaltérable, classification des données. Conforme aux standards DCSSI. PKI nationale en cours.</w:t>
            </w:r>
          </w:p>
        </w:tc>
      </w:tr>
      <w:tr>
        <w:tc>
          <w:p>
            <w:pPr>
              <w:spacing w:after="60" w:before="60"/>
              <w:jc w:val="left"/>
            </w:pPr>
            <w:r>
              <w:rPr>
                <w:b/>
                <w:bCs/>
                <w:i w:val="false"/>
                <w:iCs w:val="false"/>
                <w:color w:val="0C1F3A"/>
                <w:sz w:val="20"/>
                <w:szCs w:val="20"/>
              </w:rPr>
              <w:t xml:space="preserve">Quel délai d'onboarding ?</w:t>
            </w:r>
          </w:p>
        </w:tc>
        <w:tc>
          <w:p>
            <w:pPr>
              <w:spacing w:after="60" w:before="60"/>
              <w:jc w:val="left"/>
            </w:pPr>
            <w:r>
              <w:rPr>
                <w:b w:val="false"/>
                <w:bCs w:val="false"/>
                <w:i w:val="false"/>
                <w:iCs w:val="false"/>
                <w:color w:val="000000"/>
                <w:sz w:val="20"/>
                <w:szCs w:val="20"/>
              </w:rPr>
              <w:t xml:space="preserve">4 à 6 semaines selon la maturité du SI de chaque administration.</w:t>
            </w:r>
          </w:p>
        </w:tc>
      </w:tr>
      <w:tr>
        <w:tc>
          <w:tcPr>
            <w:shd w:color="F4F4F4" w:val="solid"/>
          </w:tcPr>
          <w:p>
            <w:pPr>
              <w:spacing w:after="60" w:before="60"/>
              <w:jc w:val="left"/>
            </w:pPr>
            <w:r>
              <w:rPr>
                <w:b/>
                <w:bCs/>
                <w:i w:val="false"/>
                <w:iCs w:val="false"/>
                <w:color w:val="0C1F3A"/>
                <w:sz w:val="20"/>
                <w:szCs w:val="20"/>
              </w:rPr>
              <w:t xml:space="preserve">Et X-Road ?</w:t>
            </w:r>
          </w:p>
        </w:tc>
        <w:tc>
          <w:tcPr>
            <w:shd w:color="F4F4F4" w:val="solid"/>
          </w:tcPr>
          <w:p>
            <w:pPr>
              <w:spacing w:after="60" w:before="60"/>
              <w:jc w:val="left"/>
            </w:pPr>
            <w:r>
              <w:rPr>
                <w:b w:val="false"/>
                <w:bCs w:val="false"/>
                <w:i w:val="false"/>
                <w:iCs w:val="false"/>
                <w:color w:val="000000"/>
                <w:sz w:val="20"/>
                <w:szCs w:val="20"/>
              </w:rPr>
              <w:t xml:space="preserve">PINS s'appuie sur X-Road, déployé par la JICA. Complémentaire, pas concurrent. PINS apporte l'orchestration et la gouvernance.</w:t>
            </w:r>
          </w:p>
        </w:tc>
      </w:tr>
      <w:tr>
        <w:tc>
          <w:p>
            <w:pPr>
              <w:spacing w:after="60" w:before="60"/>
              <w:jc w:val="left"/>
            </w:pPr>
            <w:r>
              <w:rPr>
                <w:b/>
                <w:bCs/>
                <w:i w:val="false"/>
                <w:iCs w:val="false"/>
                <w:color w:val="0C1F3A"/>
                <w:sz w:val="20"/>
                <w:szCs w:val="20"/>
              </w:rPr>
              <w:t xml:space="preserve">ANSD, c'est tout ?</w:t>
            </w:r>
          </w:p>
        </w:tc>
        <w:tc>
          <w:p>
            <w:pPr>
              <w:spacing w:after="60" w:before="60"/>
              <w:jc w:val="left"/>
            </w:pPr>
            <w:r>
              <w:rPr>
                <w:b w:val="false"/>
                <w:bCs w:val="false"/>
                <w:i w:val="false"/>
                <w:iCs w:val="false"/>
                <w:color w:val="000000"/>
                <w:sz w:val="20"/>
                <w:szCs w:val="20"/>
              </w:rPr>
              <w:t xml:space="preserve">Non. 9 administrations sont déjà engagées : ANSD, DGID, APIX, AGEROUTE, MEN, MEPC, MMESS, ITA. 13 soumissions actives.</w:t>
            </w:r>
          </w:p>
        </w:tc>
      </w:tr>
      <w:tr>
        <w:tc>
          <w:tcPr>
            <w:shd w:color="F4F4F4" w:val="solid"/>
          </w:tcPr>
          <w:p>
            <w:pPr>
              <w:spacing w:after="60" w:before="60"/>
              <w:jc w:val="left"/>
            </w:pPr>
            <w:r>
              <w:rPr>
                <w:b/>
                <w:bCs/>
                <w:i w:val="false"/>
                <w:iCs w:val="false"/>
                <w:color w:val="0C1F3A"/>
                <w:sz w:val="20"/>
                <w:szCs w:val="20"/>
              </w:rPr>
              <w:t xml:space="preserve">Et si mon institution n'est pas dans le référentiel ?</w:t>
            </w:r>
          </w:p>
        </w:tc>
        <w:tc>
          <w:tcPr>
            <w:shd w:color="F4F4F4" w:val="solid"/>
          </w:tcPr>
          <w:p>
            <w:pPr>
              <w:spacing w:after="60" w:before="60"/>
              <w:jc w:val="left"/>
            </w:pPr>
            <w:r>
              <w:rPr>
                <w:b w:val="false"/>
                <w:bCs w:val="false"/>
                <w:i w:val="false"/>
                <w:iCs w:val="false"/>
                <w:color w:val="000000"/>
                <w:sz w:val="20"/>
                <w:szCs w:val="20"/>
              </w:rPr>
              <w:t xml:space="preserve">Signalez-le à la Delivery Unit MCTN. Ajout en moins de 24h. Hier 4 mai, nous avons ajouté 11 institutions à la demande.</w:t>
            </w:r>
          </w:p>
        </w:tc>
      </w:tr>
      <w:tr>
        <w:tc>
          <w:p>
            <w:pPr>
              <w:spacing w:after="60" w:before="60"/>
              <w:jc w:val="left"/>
            </w:pPr>
            <w:r>
              <w:rPr>
                <w:b/>
                <w:bCs/>
                <w:i w:val="false"/>
                <w:iCs w:val="false"/>
                <w:color w:val="0C1F3A"/>
                <w:sz w:val="20"/>
                <w:szCs w:val="20"/>
              </w:rPr>
              <w:t xml:space="preserve">Quel est le lien avec le Plan Sénégal Numérique 2034 ?</w:t>
            </w:r>
          </w:p>
        </w:tc>
        <w:tc>
          <w:p>
            <w:pPr>
              <w:spacing w:after="60" w:before="60"/>
              <w:jc w:val="left"/>
            </w:pPr>
            <w:r>
              <w:rPr>
                <w:b w:val="false"/>
                <w:bCs w:val="false"/>
                <w:i w:val="false"/>
                <w:iCs w:val="false"/>
                <w:color w:val="000000"/>
                <w:sz w:val="20"/>
                <w:szCs w:val="20"/>
              </w:rPr>
              <w:t xml:space="preserve">PINS est l'un des piliers du New Deal Technologique. Mentionné dans le Décret 2025-383 GouvNum.</w:t>
            </w:r>
          </w:p>
        </w:tc>
      </w:tr>
      <w:tr>
        <w:tc>
          <w:tcPr>
            <w:shd w:color="F4F4F4" w:val="solid"/>
          </w:tcPr>
          <w:p>
            <w:pPr>
              <w:spacing w:after="60" w:before="60"/>
              <w:jc w:val="left"/>
            </w:pPr>
            <w:r>
              <w:rPr>
                <w:b/>
                <w:bCs/>
                <w:i w:val="false"/>
                <w:iCs w:val="false"/>
                <w:color w:val="0C1F3A"/>
                <w:sz w:val="20"/>
                <w:szCs w:val="20"/>
              </w:rPr>
              <w:t xml:space="preserve">Mes données sortent de mon SI ?</w:t>
            </w:r>
          </w:p>
        </w:tc>
        <w:tc>
          <w:tcPr>
            <w:shd w:color="F4F4F4" w:val="solid"/>
          </w:tcPr>
          <w:p>
            <w:pPr>
              <w:spacing w:after="60" w:before="60"/>
              <w:jc w:val="left"/>
            </w:pPr>
            <w:r>
              <w:rPr>
                <w:b w:val="false"/>
                <w:bCs w:val="false"/>
                <w:i w:val="false"/>
                <w:iCs w:val="false"/>
                <w:color w:val="000000"/>
                <w:sz w:val="20"/>
                <w:szCs w:val="20"/>
              </w:rPr>
              <w:t xml:space="preserve">Non. PINS ne déplace pas vos données. Il orchestre les échanges entre vos SI selon les contrats d'interopérabilité validés.</w:t>
            </w:r>
          </w:p>
        </w:tc>
      </w:tr>
      <w:tr>
        <w:tc>
          <w:p>
            <w:pPr>
              <w:spacing w:after="60" w:before="60"/>
              <w:jc w:val="left"/>
            </w:pPr>
            <w:r>
              <w:rPr>
                <w:b/>
                <w:bCs/>
                <w:i w:val="false"/>
                <w:iCs w:val="false"/>
                <w:color w:val="0C1F3A"/>
                <w:sz w:val="20"/>
                <w:szCs w:val="20"/>
              </w:rPr>
              <w:t xml:space="preserve">Puis-je déléguer la saisie à un prestataire ?</w:t>
            </w:r>
          </w:p>
        </w:tc>
        <w:tc>
          <w:p>
            <w:pPr>
              <w:spacing w:after="60" w:before="60"/>
              <w:jc w:val="left"/>
            </w:pPr>
            <w:r>
              <w:rPr>
                <w:b w:val="false"/>
                <w:bCs w:val="false"/>
                <w:i w:val="false"/>
                <w:iCs w:val="false"/>
                <w:color w:val="000000"/>
                <w:sz w:val="20"/>
                <w:szCs w:val="20"/>
              </w:rPr>
              <w:t xml:space="preserve">Oui, mais le compte reste sous la responsabilité de l'administration. Pas de partage de mot de passe.</w:t>
            </w:r>
          </w:p>
        </w:tc>
      </w:tr>
      <w:tr>
        <w:tc>
          <w:tcPr>
            <w:shd w:color="F4F4F4" w:val="solid"/>
          </w:tcPr>
          <w:p>
            <w:pPr>
              <w:spacing w:after="60" w:before="60"/>
              <w:jc w:val="left"/>
            </w:pPr>
            <w:r>
              <w:rPr>
                <w:b/>
                <w:bCs/>
                <w:i w:val="false"/>
                <w:iCs w:val="false"/>
                <w:color w:val="0C1F3A"/>
                <w:sz w:val="20"/>
                <w:szCs w:val="20"/>
              </w:rPr>
              <w:t xml:space="preserve">Pourquoi y a-t-il des cas qui se ressemblent ?</w:t>
            </w:r>
          </w:p>
        </w:tc>
        <w:tc>
          <w:tcPr>
            <w:shd w:color="F4F4F4" w:val="solid"/>
          </w:tcPr>
          <w:p>
            <w:pPr>
              <w:spacing w:after="60" w:before="60"/>
              <w:jc w:val="left"/>
            </w:pPr>
            <w:r>
              <w:rPr>
                <w:b w:val="false"/>
                <w:bCs w:val="false"/>
                <w:i w:val="false"/>
                <w:iCs w:val="false"/>
                <w:color w:val="000000"/>
                <w:sz w:val="20"/>
                <w:szCs w:val="20"/>
              </w:rPr>
              <w:t xml:space="preserve">Excellente observation. Vous voyez des doublons sémantiques entre les PINS-CU (nomenclature historique) et les PINS-METIER/TECH (nomenclature N1). C'est précisément le travail de consolidation que la Delivery Unit pilote au cas par cas.</w:t>
            </w:r>
          </w:p>
        </w:tc>
      </w:tr>
      <w:tr>
        <w:tc>
          <w:p>
            <w:pPr>
              <w:spacing w:after="60" w:before="60"/>
              <w:jc w:val="left"/>
            </w:pPr>
            <w:r>
              <w:rPr>
                <w:b/>
                <w:bCs/>
                <w:i w:val="false"/>
                <w:iCs w:val="false"/>
                <w:color w:val="0C1F3A"/>
                <w:sz w:val="20"/>
                <w:szCs w:val="20"/>
              </w:rPr>
              <w:t xml:space="preserve">RGPD ?</w:t>
            </w:r>
          </w:p>
        </w:tc>
        <w:tc>
          <w:p>
            <w:pPr>
              <w:spacing w:after="60" w:before="60"/>
              <w:jc w:val="left"/>
            </w:pPr>
            <w:r>
              <w:rPr>
                <w:b w:val="false"/>
                <w:bCs w:val="false"/>
                <w:i w:val="false"/>
                <w:iCs w:val="false"/>
                <w:color w:val="000000"/>
                <w:sz w:val="20"/>
                <w:szCs w:val="20"/>
              </w:rPr>
              <w:t xml:space="preserve">Loi 2008-12 sur la protection des données. Délibérations CDP. Classification des données. Logs RGPD pour les services traitant des données personnelles.</w:t>
            </w:r>
          </w:p>
        </w:tc>
      </w:tr>
      <w:tr>
        <w:tc>
          <w:tcPr>
            <w:shd w:color="F4F4F4" w:val="solid"/>
          </w:tcPr>
          <w:p>
            <w:pPr>
              <w:spacing w:after="60" w:before="60"/>
              <w:jc w:val="left"/>
            </w:pPr>
            <w:r>
              <w:rPr>
                <w:b/>
                <w:bCs/>
                <w:i w:val="false"/>
                <w:iCs w:val="false"/>
                <w:color w:val="0C1F3A"/>
                <w:sz w:val="20"/>
                <w:szCs w:val="20"/>
              </w:rPr>
              <w:t xml:space="preserve">Et MOSIP / GovStack ?</w:t>
            </w:r>
          </w:p>
        </w:tc>
        <w:tc>
          <w:tcPr>
            <w:shd w:color="F4F4F4" w:val="solid"/>
          </w:tcPr>
          <w:p>
            <w:pPr>
              <w:spacing w:after="60" w:before="60"/>
              <w:jc w:val="left"/>
            </w:pPr>
            <w:r>
              <w:rPr>
                <w:b w:val="false"/>
                <w:bCs w:val="false"/>
                <w:i w:val="false"/>
                <w:iCs w:val="false"/>
                <w:color w:val="000000"/>
                <w:sz w:val="20"/>
                <w:szCs w:val="20"/>
              </w:rPr>
              <w:t xml:space="preserve">PINS s'inspire de GovStack et intègre une interopérabilité progressive avec MOSIP pour la couche identité, en cours de cadrage.</w:t>
            </w:r>
          </w:p>
        </w:tc>
      </w:tr>
      <w:tr>
        <w:tc>
          <w:p>
            <w:pPr>
              <w:spacing w:after="60" w:before="60"/>
              <w:jc w:val="left"/>
            </w:pPr>
            <w:r>
              <w:rPr>
                <w:b/>
                <w:bCs/>
                <w:i w:val="false"/>
                <w:iCs w:val="false"/>
                <w:color w:val="0C1F3A"/>
                <w:sz w:val="20"/>
                <w:szCs w:val="20"/>
              </w:rPr>
              <w:t xml:space="preserve">Open source ?</w:t>
            </w:r>
          </w:p>
        </w:tc>
        <w:tc>
          <w:p>
            <w:pPr>
              <w:spacing w:after="60" w:before="60"/>
              <w:jc w:val="left"/>
            </w:pPr>
            <w:r>
              <w:rPr>
                <w:b w:val="false"/>
                <w:bCs w:val="false"/>
                <w:i w:val="false"/>
                <w:iCs w:val="false"/>
                <w:color w:val="000000"/>
                <w:sz w:val="20"/>
                <w:szCs w:val="20"/>
              </w:rPr>
              <w:t xml:space="preserve">Le cadre méthodologique et les notes sont publiés. Le code applicatif évoluera vers une publication ouverte selon roadmap MCTN.</w:t>
            </w:r>
          </w:p>
        </w:tc>
      </w:tr>
      <w:tr>
        <w:tc>
          <w:tcPr>
            <w:shd w:color="F4F4F4" w:val="solid"/>
          </w:tcPr>
          <w:p>
            <w:pPr>
              <w:spacing w:after="60" w:before="60"/>
              <w:jc w:val="left"/>
            </w:pPr>
            <w:r>
              <w:rPr>
                <w:b/>
                <w:bCs/>
                <w:i w:val="false"/>
                <w:iCs w:val="false"/>
                <w:color w:val="0C1F3A"/>
                <w:sz w:val="20"/>
                <w:szCs w:val="20"/>
              </w:rPr>
              <w:t xml:space="preserve">Et SENTAX et SIGIF ?</w:t>
            </w:r>
          </w:p>
        </w:tc>
        <w:tc>
          <w:tcPr>
            <w:shd w:color="F4F4F4" w:val="solid"/>
          </w:tcPr>
          <w:p>
            <w:pPr>
              <w:spacing w:after="60" w:before="60"/>
              <w:jc w:val="left"/>
            </w:pPr>
            <w:r>
              <w:rPr>
                <w:b w:val="false"/>
                <w:bCs w:val="false"/>
                <w:i w:val="false"/>
                <w:iCs w:val="false"/>
                <w:color w:val="000000"/>
                <w:sz w:val="20"/>
                <w:szCs w:val="20"/>
              </w:rPr>
              <w:t xml:space="preserve">SENTAX (DGID) et SIGIF (DGCPT) sont des refontes en cours. PINS est conçu pour s'intégrer nativement à ces nouveaux systèmes.</w:t>
            </w:r>
          </w:p>
        </w:tc>
      </w:tr>
    </w:tbl>
    <w:p>
      <w:pPr>
        <w:spacing w:after="80" w:before="80"/>
      </w:pPr>
      <w:r>
        <w:t xml:space="preserve"/>
      </w:r>
    </w:p>
    <w:p>
      <w:pPr>
        <w:spacing w:after="80" w:before="80"/>
      </w:pPr>
      <w:r>
        <w:t xml:space="preserve"/>
      </w:r>
    </w:p>
    <w:p>
      <w:pPr>
        <w:pStyle w:val="Heading2"/>
        <w:spacing w:after="100" w:before="240"/>
      </w:pPr>
      <w:r>
        <w:rPr>
          <w:b/>
          <w:bCs/>
          <w:color w:val="0A6B68"/>
          <w:sz w:val="26"/>
          <w:szCs w:val="26"/>
        </w:rPr>
        <w:t xml:space="preserve">Coordonnées</w:t>
      </w:r>
    </w:p>
    <w:p>
      <w:pPr>
        <w:spacing w:after="60" w:before="60"/>
        <w:ind/>
        <w:jc w:val="left"/>
      </w:pPr>
      <w:r>
        <w:rPr>
          <w:b/>
          <w:bCs/>
          <w:i w:val="false"/>
          <w:iCs w:val="false"/>
          <w:color w:val="000000"/>
          <w:sz w:val="22"/>
          <w:szCs w:val="22"/>
        </w:rPr>
        <w:t xml:space="preserve">Birama DIOP</w:t>
      </w:r>
    </w:p>
    <w:p>
      <w:pPr>
        <w:spacing w:after="60" w:before="60"/>
        <w:ind/>
        <w:jc w:val="left"/>
      </w:pPr>
      <w:r>
        <w:rPr>
          <w:b w:val="false"/>
          <w:bCs w:val="false"/>
          <w:i w:val="false"/>
          <w:iCs w:val="false"/>
          <w:color w:val="000000"/>
          <w:sz w:val="22"/>
          <w:szCs w:val="22"/>
        </w:rPr>
        <w:t xml:space="preserve">Point Focal National d'Interopérabilité</w:t>
      </w:r>
    </w:p>
    <w:p>
      <w:pPr>
        <w:spacing w:after="60" w:before="60"/>
        <w:ind/>
        <w:jc w:val="left"/>
      </w:pPr>
      <w:r>
        <w:rPr>
          <w:b w:val="false"/>
          <w:bCs w:val="false"/>
          <w:i w:val="false"/>
          <w:iCs w:val="false"/>
          <w:color w:val="000000"/>
          <w:sz w:val="22"/>
          <w:szCs w:val="22"/>
        </w:rPr>
        <w:t xml:space="preserve">MCTN / SENUM SA</w:t>
      </w:r>
    </w:p>
    <w:p>
      <w:pPr>
        <w:spacing w:after="80" w:before="80"/>
      </w:pPr>
      <w:r>
        <w:t xml:space="preserve"/>
      </w:r>
    </w:p>
    <w:p>
      <w:pPr>
        <w:spacing w:after="60" w:before="60"/>
        <w:ind/>
        <w:jc w:val="left"/>
      </w:pPr>
      <w:r>
        <w:rPr>
          <w:b w:val="false"/>
          <w:bCs w:val="false"/>
          <w:i w:val="false"/>
          <w:iCs w:val="false"/>
          <w:color w:val="000000"/>
          <w:sz w:val="22"/>
          <w:szCs w:val="22"/>
        </w:rPr>
        <w:t xml:space="preserve">Email : birama.diop@senum.sn</w:t>
      </w:r>
    </w:p>
    <w:p>
      <w:pPr>
        <w:spacing w:after="60" w:before="60"/>
        <w:ind/>
        <w:jc w:val="left"/>
      </w:pPr>
      <w:r>
        <w:rPr>
          <w:b w:val="false"/>
          <w:bCs w:val="false"/>
          <w:i w:val="false"/>
          <w:iCs w:val="false"/>
          <w:color w:val="000000"/>
          <w:sz w:val="22"/>
          <w:szCs w:val="22"/>
        </w:rPr>
        <w:t xml:space="preserve">Plateforme : https://dpi-interop.senum.sn</w:t>
      </w:r>
    </w:p>
    <w:p>
      <w:pPr>
        <w:spacing w:after="80" w:before="80"/>
      </w:pPr>
      <w:r>
        <w:t xml:space="preserve"/>
      </w:r>
    </w:p>
    <w:p>
      <w:pPr>
        <w:spacing w:after="80" w:before="80"/>
      </w:pPr>
      <w:r>
        <w:t xml:space="preserve"/>
      </w:r>
    </w:p>
    <w:p>
      <w:pPr>
        <w:spacing w:after="60" w:before="60"/>
        <w:ind/>
        <w:jc w:val="center"/>
      </w:pPr>
      <w:r>
        <w:rPr>
          <w:b w:val="false"/>
          <w:bCs w:val="false"/>
          <w:i/>
          <w:iCs/>
          <w:color w:val="000000"/>
          <w:sz w:val="22"/>
          <w:szCs w:val="22"/>
        </w:rPr>
        <w:t xml:space="preserve">- Fin du guide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démo PINS v3</dc:title>
  <dc:creator>Birama DIOP</dc:creator>
  <dc:description>Atelier DPI 5 mai 2026</dc:description>
  <cp:lastModifiedBy>Un-named</cp:lastModifiedBy>
  <cp:revision>1</cp:revision>
  <dcterms:created xsi:type="dcterms:W3CDTF">2026-05-04T17:28:34.691Z</dcterms:created>
  <dcterms:modified xsi:type="dcterms:W3CDTF">2026-05-04T17:28:34.692Z</dcterms:modified>
</cp:coreProperties>
</file>

<file path=docProps/custom.xml><?xml version="1.0" encoding="utf-8"?>
<Properties xmlns="http://schemas.openxmlformats.org/officeDocument/2006/custom-properties" xmlns:vt="http://schemas.openxmlformats.org/officeDocument/2006/docPropsVTypes"/>
</file>