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Poppins" w:cs="Poppins" w:eastAsia="Poppins" w:hAnsi="Poppins"/>
          <w:b/>
          <w:bCs/>
          <w:color w:val="0C1F3A"/>
          <w:sz w:val="16"/>
          <w:szCs w:val="16"/>
        </w:rPr>
        <w:t xml:space="preserve">RÉPUBLIQUE DU SÉNÉGAL</w:t>
      </w:r>
      <w:r>
        <w:rPr>
          <w:rFonts w:ascii="Poppins" w:cs="Poppins" w:eastAsia="Poppins" w:hAnsi="Poppins"/>
          <w:color w:val="9CA3AF"/>
          <w:sz w:val="16"/>
          <w:szCs w:val="16"/>
        </w:rPr>
        <w:t xml:space="preserve">  |  </w:t>
      </w:r>
      <w:r>
        <w:rPr>
          <w:rFonts w:ascii="Poppins" w:cs="Poppins" w:eastAsia="Poppins" w:hAnsi="Poppins"/>
          <w:i/>
          <w:iCs/>
          <w:color w:val="374151"/>
          <w:sz w:val="16"/>
          <w:szCs w:val="16"/>
        </w:rPr>
        <w:t xml:space="preserve">Un Peuple – Un But – Une Foi</w:t>
      </w:r>
    </w:p>
    <w:p>
      <w:pPr>
        <w:spacing w:after="120" w:before="0"/>
      </w:pPr>
      <w:r>
        <w:rPr>
          <w:rFonts w:ascii="Poppins" w:cs="Poppins" w:eastAsia="Poppins" w:hAnsi="Poppins"/>
          <w:b/>
          <w:bCs/>
          <w:color w:val="0C1F3A"/>
          <w:sz w:val="18"/>
          <w:szCs w:val="18"/>
        </w:rPr>
        <w:t xml:space="preserve">MINISTÈRE DE LA COMMUNICATION, DES TÉLÉCOMMUNICATIONS ET DU NUMÉRIQUE</w:t>
      </w:r>
    </w:p>
    <w:p>
      <w:pPr>
        <w:spacing w:after="600" w:before="0"/>
      </w:pPr>
      <w:r>
        <w:rPr>
          <w:rFonts w:ascii="Poppins" w:cs="Poppins" w:eastAsia="Poppins" w:hAnsi="Poppins"/>
          <w:b/>
          <w:bCs/>
          <w:color w:val="0A6B68"/>
          <w:sz w:val="16"/>
          <w:szCs w:val="16"/>
        </w:rPr>
        <w:t xml:space="preserve">DELIVERY UNIT — SENUM 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A6B68" w:val="clear"/>
            <w:tcMar>
              <w:top w:type="dxa" w:w="120"/>
              <w:left w:type="dxa" w:w="200"/>
              <w:bottom w:type="dxa" w:w="120"/>
              <w:right w:type="dxa" w:w="200"/>
            </w:tcMar>
          </w:tcPr>
          <w:p>
            <w:pPr>
              <w:jc w:val="left"/>
            </w:pPr>
            <w:r>
              <w:rPr>
                <w:rFonts w:ascii="Poppins" w:cs="Poppins" w:eastAsia="Poppins" w:hAnsi="Poppins"/>
                <w:b/>
                <w:bCs/>
                <w:color w:val="FFFFFF"/>
                <w:spacing w:val="40"/>
                <w:sz w:val="18"/>
                <w:szCs w:val="18"/>
              </w:rPr>
              <w:t xml:space="preserve">NOTE DE CONCEPTION — PHASE P8</w:t>
            </w:r>
          </w:p>
        </w:tc>
      </w:tr>
    </w:tbl>
    <w:p>
      <w:pPr>
        <w:spacing w:after="60" w:before="60"/>
      </w:pPr>
    </w:p>
    <w:p>
      <w:pPr>
        <w:spacing w:after="120" w:before="200"/>
      </w:pPr>
      <w:r>
        <w:rPr>
          <w:rFonts w:ascii="Poppins" w:cs="Poppins" w:eastAsia="Poppins" w:hAnsi="Poppins"/>
          <w:b/>
          <w:bCs/>
          <w:color w:val="0C1F3A"/>
          <w:sz w:val="34"/>
          <w:szCs w:val="34"/>
        </w:rPr>
        <w:t xml:space="preserve">Catalogue des propositions</w:t>
      </w:r>
    </w:p>
    <w:p>
      <w:pPr>
        <w:spacing w:after="120" w:before="0"/>
      </w:pPr>
      <w:r>
        <w:rPr>
          <w:rFonts w:ascii="Poppins" w:cs="Poppins" w:eastAsia="Poppins" w:hAnsi="Poppins"/>
          <w:b/>
          <w:bCs/>
          <w:color w:val="0A6B68"/>
          <w:sz w:val="26"/>
          <w:szCs w:val="26"/>
        </w:rPr>
        <w:t xml:space="preserve">Anticipation et appropriation des cas d'usage PINS</w:t>
      </w:r>
    </w:p>
    <w:p>
      <w:pPr>
        <w:spacing w:after="600" w:before="0"/>
      </w:pPr>
      <w:r>
        <w:rPr>
          <w:rFonts w:ascii="Poppins" w:cs="Poppins" w:eastAsia="Poppins" w:hAnsi="Poppins"/>
          <w:i/>
          <w:iCs/>
          <w:color w:val="374151"/>
          <w:sz w:val="20"/>
          <w:szCs w:val="20"/>
        </w:rPr>
        <w:t xml:space="preserve">Évolution de la Vue 360° — note v0.1 pour cadrage DU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55A18" w:val="clear"/>
            <w:tcMar>
              <w:top w:type="dxa" w:w="120"/>
              <w:left w:type="dxa" w:w="200"/>
              <w:bottom w:type="dxa" w:w="120"/>
              <w:right w:type="dxa" w:w="200"/>
            </w:tcMar>
          </w:tcPr>
          <w:p>
            <w:pPr>
              <w:jc w:val="left"/>
            </w:pPr>
            <w:r>
              <w:rPr>
                <w:rFonts w:ascii="Poppins" w:cs="Poppins" w:eastAsia="Poppins" w:hAnsi="Poppins"/>
                <w:b/>
                <w:bCs/>
                <w:color w:val="FFFFFF"/>
                <w:spacing w:val="40"/>
                <w:sz w:val="14"/>
                <w:szCs w:val="14"/>
              </w:rPr>
              <w:t xml:space="preserve">DOCUMENT DE TRAVAIL — USAGE INTERNE MCTN / SENUM SA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Référence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MCTN/DU/APP-DPI-INTEROP/CONC-2026-03</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Version</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0.1 — note de cadrage</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Date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24 avril 2026</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Auteur</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Point Focal National d'Interopérabilité — Architecte DPI</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Validation attendue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Directeur Delivery Unit</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Phase</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P8 — Catalogue des propositions (suite de la Vue 360° livrée en P1-P7)</w:t>
            </w:r>
          </w:p>
        </w:tc>
      </w:tr>
      <w:tr>
        <w:tc>
          <w:tcPr>
            <w:tcW w:type="dxa" w:w="28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0C1F3A"/>
                <w:sz w:val="18"/>
                <w:szCs w:val="18"/>
              </w:rPr>
              <w:t xml:space="preserve">Documents liés</w:t>
            </w:r>
          </w:p>
        </w:tc>
        <w:tc>
          <w:tcPr>
            <w:tcW w:type="dxa" w:w="62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CONC-2026-02 (conception Vue 360° v1.0), CONC-2026-02-A1 (addendum référentiels), RECETTE-2026-01 (recette end-to-end)</w:t>
            </w:r>
          </w:p>
        </w:tc>
      </w:tr>
    </w:tbl>
    <w:p>
      <w:r>
        <w:br w:type="page"/>
      </w:r>
    </w:p>
    <w:p>
      <w:pPr>
        <w:pStyle w:val="Heading1"/>
        <w:spacing w:after="200" w:before="400"/>
      </w:pPr>
      <w:r>
        <w:rPr>
          <w:rFonts w:ascii="Poppins" w:cs="Poppins" w:eastAsia="Poppins" w:hAnsi="Poppins"/>
          <w:b/>
          <w:bCs/>
          <w:color w:val="0C1F3A"/>
          <w:sz w:val="32"/>
          <w:szCs w:val="32"/>
        </w:rPr>
        <w:t xml:space="preserve">1. Problématique</w:t>
      </w:r>
    </w:p>
    <w:p>
      <w:pPr>
        <w:pStyle w:val="Heading2"/>
        <w:spacing w:after="160" w:before="300"/>
      </w:pPr>
      <w:r>
        <w:rPr>
          <w:rFonts w:ascii="Poppins" w:cs="Poppins" w:eastAsia="Poppins" w:hAnsi="Poppins"/>
          <w:b/>
          <w:bCs/>
          <w:color w:val="0A6B68"/>
          <w:sz w:val="26"/>
          <w:szCs w:val="26"/>
        </w:rPr>
        <w:t xml:space="preserve">1.1 Constat opérationnel</w:t>
      </w:r>
    </w:p>
    <w:p>
      <w:pPr>
        <w:spacing w:after="80" w:before="80" w:line="300"/>
        <w:jc w:val="both"/>
      </w:pPr>
      <w:r>
        <w:rPr>
          <w:rFonts w:ascii="Poppins" w:cs="Poppins" w:eastAsia="Poppins" w:hAnsi="Poppins"/>
          <w:color w:val="1F2937"/>
          <w:sz w:val="20"/>
          <w:szCs w:val="20"/>
        </w:rPr>
        <w:t xml:space="preserve">La Vue 360° livrée en phases P1 à P7 introduit un cycle de vie formel des cas d'usage inter-administrations, depuis leur déclaration par une institution initiatrice jusqu'à leur mise en production. Ce pipeline repose sur un principe fondateur : la déclaration d'un cas d'usage est un engagement institutionnel formel, matérialisé par la désignation d'une institution initiatrice redevable.</w:t>
      </w:r>
    </w:p>
    <w:p>
      <w:pPr>
        <w:spacing w:after="80" w:before="80" w:line="300"/>
        <w:jc w:val="both"/>
      </w:pPr>
      <w:r>
        <w:rPr>
          <w:rFonts w:ascii="Poppins" w:cs="Poppins" w:eastAsia="Poppins" w:hAnsi="Poppins"/>
          <w:color w:val="1F2937"/>
          <w:sz w:val="20"/>
          <w:szCs w:val="20"/>
        </w:rPr>
        <w:t xml:space="preserve">La base de données actuelle de la plateforme contient toutefois deux populations de cas d'usage mélangées. D'une part, les cas d'usage réellement déclarés par une administration dans le cadre du pipeline Vue 360° — quatre cas issus du seed initial de la Vue 360° et un cas créé lors de la recette fonctionnelle du 23 avril 2026. D'autre part, un ensemble de vingt-et-un cas d'usage hérités du seed historique (MVP 0), pour lesquels aucune administration ne s'est formellement engagée : ils représentent des cas d'usage identifiés a priori par la Delivery Unit ou issus de travaux de cadrage, mais qui attendent d'être pris en charge.</w:t>
      </w:r>
    </w:p>
    <w:p>
      <w:pPr>
        <w:spacing w:after="80" w:before="80" w:line="300"/>
        <w:jc w:val="both"/>
      </w:pPr>
      <w:r>
        <w:rPr>
          <w:rFonts w:ascii="Poppins" w:cs="Poppins" w:eastAsia="Poppins" w:hAnsi="Poppins"/>
          <w:color w:val="1F2937"/>
          <w:sz w:val="20"/>
          <w:szCs w:val="20"/>
        </w:rPr>
        <w:t xml:space="preserve">Ce mélange produit trois effets indésirables.</w:t>
      </w:r>
    </w:p>
    <w:p>
      <w:pPr>
        <w:pStyle w:val="Heading2"/>
        <w:spacing w:after="160" w:before="300"/>
      </w:pPr>
      <w:r>
        <w:rPr>
          <w:rFonts w:ascii="Poppins" w:cs="Poppins" w:eastAsia="Poppins" w:hAnsi="Poppins"/>
          <w:b/>
          <w:bCs/>
          <w:color w:val="0A6B68"/>
          <w:sz w:val="26"/>
          <w:szCs w:val="26"/>
        </w:rPr>
        <w:t xml:space="preserve">1.2 Trois conséquences à corriger</w:t>
      </w:r>
    </w:p>
    <w:p>
      <w:pPr>
        <w:pStyle w:val="Heading3"/>
        <w:spacing w:after="120" w:before="240"/>
      </w:pPr>
      <w:r>
        <w:rPr>
          <w:rFonts w:ascii="Poppins" w:cs="Poppins" w:eastAsia="Poppins" w:hAnsi="Poppins"/>
          <w:b/>
          <w:bCs/>
          <w:color w:val="0C1F3A"/>
          <w:sz w:val="22"/>
          <w:szCs w:val="22"/>
        </w:rPr>
        <w:t xml:space="preserve">1.2.1 Les indicateurs de pilotage sont pollués</w:t>
      </w:r>
    </w:p>
    <w:p>
      <w:pPr>
        <w:spacing w:after="80" w:before="80" w:line="300"/>
        <w:jc w:val="both"/>
      </w:pPr>
      <w:r>
        <w:rPr>
          <w:rFonts w:ascii="Poppins" w:cs="Poppins" w:eastAsia="Poppins" w:hAnsi="Poppins"/>
          <w:color w:val="1F2937"/>
          <w:sz w:val="20"/>
          <w:szCs w:val="20"/>
        </w:rPr>
        <w:t xml:space="preserve">La vue d'arbitrage de la Delivery Unit affiche aujourd'hui « vingt-et-un cas d'usage déclarés » alors qu'un seul relève d'une déclaration institutionnelle réelle. Le chiffre donne l'impression d'un pipeline actif alors qu'il reflète un stock de propositions en attente. Cette confusion affaiblit la lecture institutionnelle du tableau de bord et rend difficile toute projection d'activité.</w:t>
      </w:r>
    </w:p>
    <w:p>
      <w:pPr>
        <w:pStyle w:val="Heading3"/>
        <w:spacing w:after="120" w:before="240"/>
      </w:pPr>
      <w:r>
        <w:rPr>
          <w:rFonts w:ascii="Poppins" w:cs="Poppins" w:eastAsia="Poppins" w:hAnsi="Poppins"/>
          <w:b/>
          <w:bCs/>
          <w:color w:val="0C1F3A"/>
          <w:sz w:val="22"/>
          <w:szCs w:val="22"/>
        </w:rPr>
        <w:t xml:space="preserve">1.2.2 Le signal d'engagement institutionnel est dilué</w:t>
      </w:r>
    </w:p>
    <w:p>
      <w:pPr>
        <w:spacing w:after="80" w:before="80" w:line="300"/>
        <w:jc w:val="both"/>
      </w:pPr>
      <w:r>
        <w:rPr>
          <w:rFonts w:ascii="Poppins" w:cs="Poppins" w:eastAsia="Poppins" w:hAnsi="Poppins"/>
          <w:color w:val="1F2937"/>
          <w:sz w:val="20"/>
          <w:szCs w:val="20"/>
        </w:rPr>
        <w:t xml:space="preserve">Dans la philosophie de la Vue 360°, déclarer un cas d'usage est un acte institutionnel fort : l'administration s'engage formellement, elle désigne ses parties prenantes, elle porte la consultation. Si la plateforme contient déjà une quarantaine de cas d'usage pré-créés, l'administration qui déclare un nouveau cas a l'impression de compléter une liste. Elle perd la dimension d'engagement.</w:t>
      </w:r>
    </w:p>
    <w:p>
      <w:pPr>
        <w:pStyle w:val="Heading3"/>
        <w:spacing w:after="120" w:before="240"/>
      </w:pPr>
      <w:r>
        <w:rPr>
          <w:rFonts w:ascii="Poppins" w:cs="Poppins" w:eastAsia="Poppins" w:hAnsi="Poppins"/>
          <w:b/>
          <w:bCs/>
          <w:color w:val="0C1F3A"/>
          <w:sz w:val="22"/>
          <w:szCs w:val="22"/>
        </w:rPr>
        <w:t xml:space="preserve">1.2.3 Une opportunité d'accompagnement actif est manquée</w:t>
      </w:r>
    </w:p>
    <w:p>
      <w:pPr>
        <w:spacing w:after="80" w:before="80" w:line="300"/>
        <w:jc w:val="both"/>
      </w:pPr>
      <w:r>
        <w:rPr>
          <w:rFonts w:ascii="Poppins" w:cs="Poppins" w:eastAsia="Poppins" w:hAnsi="Poppins"/>
          <w:color w:val="1F2937"/>
          <w:sz w:val="20"/>
          <w:szCs w:val="20"/>
        </w:rPr>
        <w:t xml:space="preserve">Le stock de cas d'usage identifiés a priori représente un capital intellectuel précieux — travaux de cadrage, recommandations d'ateliers, intuitions issues de l'expérience de la Delivery Unit. Exploité comme catalogue d'anticipation, il pourrait guider les administrations vers des cas d'usage déjà pré-cadrés. Mélangé au pipeline opérationnel, ce capital est invisible.</w:t>
      </w:r>
    </w:p>
    <w:p>
      <w:r>
        <w:br w:type="page"/>
      </w:r>
    </w:p>
    <w:p>
      <w:pPr>
        <w:pStyle w:val="Heading1"/>
        <w:spacing w:after="200" w:before="400"/>
      </w:pPr>
      <w:r>
        <w:rPr>
          <w:rFonts w:ascii="Poppins" w:cs="Poppins" w:eastAsia="Poppins" w:hAnsi="Poppins"/>
          <w:b/>
          <w:bCs/>
          <w:color w:val="0C1F3A"/>
          <w:sz w:val="32"/>
          <w:szCs w:val="32"/>
        </w:rPr>
        <w:t xml:space="preserve">2. Analyse — distinguer stock et pipeline</w:t>
      </w:r>
    </w:p>
    <w:p>
      <w:pPr>
        <w:pStyle w:val="Heading2"/>
        <w:spacing w:after="160" w:before="300"/>
      </w:pPr>
      <w:r>
        <w:rPr>
          <w:rFonts w:ascii="Poppins" w:cs="Poppins" w:eastAsia="Poppins" w:hAnsi="Poppins"/>
          <w:b/>
          <w:bCs/>
          <w:color w:val="0A6B68"/>
          <w:sz w:val="26"/>
          <w:szCs w:val="26"/>
        </w:rPr>
        <w:t xml:space="preserve">2.1 Deux populations, deux sémantiques</w:t>
      </w:r>
    </w:p>
    <w:p>
      <w:pPr>
        <w:spacing w:after="80" w:before="80" w:line="300"/>
        <w:jc w:val="both"/>
      </w:pPr>
      <w:r>
        <w:rPr>
          <w:rFonts w:ascii="Poppins" w:cs="Poppins" w:eastAsia="Poppins" w:hAnsi="Poppins"/>
          <w:color w:val="1F2937"/>
          <w:sz w:val="20"/>
          <w:szCs w:val="20"/>
        </w:rPr>
        <w:t xml:space="preserve">Pour résoudre les trois conséquences ci-dessus, il est nécessaire d'introduire une distinction explicite entre deux types de cas d'usage.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Caractéristique</w:t>
            </w:r>
          </w:p>
        </w:tc>
        <w:tc>
          <w:tcPr>
            <w:tcW w:type="dxa" w:w="3300"/>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Cas d'usage proposé (stock)</w:t>
            </w:r>
          </w:p>
        </w:tc>
        <w:tc>
          <w:tcPr>
            <w:tcW w:type="dxa" w:w="3326"/>
            <w:tcBorders>
              <w:top w:val="single" w:color="E1E4E8" w:sz="4"/>
              <w:left w:val="single" w:color="E1E4E8" w:sz="4"/>
              <w:bottom w:val="single" w:color="E1E4E8" w:sz="4"/>
              <w:right w:val="single" w:color="E1E4E8" w:sz="4"/>
            </w:tcBorders>
            <w:shd w:fill="0C1F3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FFFFFF"/>
                <w:sz w:val="18"/>
                <w:szCs w:val="18"/>
              </w:rPr>
              <w:t xml:space="preserve">Cas d'usage déclaré (pipeline)</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Initiateur</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Aucun — ou technique (Delivery Unit)</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Institution administrative réelle</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Engagement</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Aucun — proposition</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Acte institutionnel formel</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Parties prenantes</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Pressenties (indicatif)</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Désignées formellement</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Consultation</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Non ouverte</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Ouverte avec échéance SLA</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Source</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Cadrage amont (atelier, étude, expérience)</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Déclaration administrative</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Visibilité</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Catalogue public</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Transparence contrôlée (METADATA/DETAILED/FULL)</w:t>
            </w:r>
          </w:p>
        </w:tc>
      </w:tr>
      <w:tr>
        <w:tc>
          <w:tcPr>
            <w:tcW w:type="dxa" w:w="2400"/>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jc w:val="left"/>
            </w:pPr>
            <w:r>
              <w:rPr>
                <w:rFonts w:ascii="Poppins" w:cs="Poppins" w:eastAsia="Poppins" w:hAnsi="Poppins"/>
                <w:b/>
                <w:bCs/>
                <w:color w:val="1F2937"/>
                <w:sz w:val="18"/>
                <w:szCs w:val="18"/>
              </w:rPr>
              <w:t xml:space="preserve">Transition possible</w:t>
            </w:r>
          </w:p>
        </w:tc>
        <w:tc>
          <w:tcPr>
            <w:tcW w:type="dxa" w:w="3300"/>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Adoption par une institution</w:t>
            </w:r>
          </w:p>
        </w:tc>
        <w:tc>
          <w:tcPr>
            <w:tcW w:type="dxa" w:w="3326"/>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40"/>
              <w:jc w:val="left"/>
            </w:pPr>
            <w:r>
              <w:rPr>
                <w:rFonts w:ascii="Poppins" w:cs="Poppins" w:eastAsia="Poppins" w:hAnsi="Poppins"/>
                <w:color w:val="1F2937"/>
                <w:sz w:val="18"/>
                <w:szCs w:val="18"/>
              </w:rPr>
              <w:t xml:space="preserve">Progression dans le pipeline</w:t>
            </w:r>
          </w:p>
        </w:tc>
      </w:tr>
    </w:tbl>
    <w:p>
      <w:pPr>
        <w:pStyle w:val="Heading2"/>
        <w:spacing w:after="160" w:before="300"/>
      </w:pPr>
      <w:r>
        <w:rPr>
          <w:rFonts w:ascii="Poppins" w:cs="Poppins" w:eastAsia="Poppins" w:hAnsi="Poppins"/>
          <w:b/>
          <w:bCs/>
          <w:color w:val="0A6B68"/>
          <w:sz w:val="26"/>
          <w:szCs w:val="26"/>
        </w:rPr>
        <w:t xml:space="preserve">2.2 Le mécanisme d'adoption</w:t>
      </w:r>
    </w:p>
    <w:p>
      <w:pPr>
        <w:spacing w:after="80" w:before="80" w:line="300"/>
        <w:jc w:val="both"/>
      </w:pPr>
      <w:r>
        <w:rPr>
          <w:rFonts w:ascii="Poppins" w:cs="Poppins" w:eastAsia="Poppins" w:hAnsi="Poppins"/>
          <w:color w:val="1F2937"/>
          <w:sz w:val="20"/>
          <w:szCs w:val="20"/>
        </w:rPr>
        <w:t xml:space="preserve">Le pont entre les deux populations est le mécanisme d'adoption. Lorsqu'une administration reconnaît dans une proposition du catalogue un cas d'usage qui relève de sa mission, elle peut l'adopter. Cet acte transforme la proposition en cas d'usage déclaré : l'administration devient initiatrice, le statut passe au premier palier du pipeline, la consultation s'ouvre automatiquement si des fournisseurs sont désignés.</w:t>
      </w:r>
    </w:p>
    <w:p>
      <w:pPr>
        <w:spacing w:after="80" w:before="80" w:line="300"/>
        <w:jc w:val="both"/>
      </w:pPr>
      <w:r>
        <w:rPr>
          <w:rFonts w:ascii="Poppins" w:cs="Poppins" w:eastAsia="Poppins" w:hAnsi="Poppins"/>
          <w:color w:val="1F2937"/>
          <w:sz w:val="20"/>
          <w:szCs w:val="20"/>
        </w:rPr>
        <w:t xml:space="preserve">Cette adoption est distincte de l'auto-saisine. L'auto-saisine ajoute une institution comme partie prenante d'un cas d'usage déjà déclaré par une autre administration. L'adoption, elle, transforme une proposition sans initiateur en cas d'usage actif en donnant à l'institution le rôle structurant d'initiatrice.</w:t>
      </w:r>
    </w:p>
    <w:p>
      <w:r>
        <w:br w:type="page"/>
      </w:r>
    </w:p>
    <w:p>
      <w:pPr>
        <w:pStyle w:val="Heading1"/>
        <w:spacing w:after="200" w:before="400"/>
      </w:pPr>
      <w:r>
        <w:rPr>
          <w:rFonts w:ascii="Poppins" w:cs="Poppins" w:eastAsia="Poppins" w:hAnsi="Poppins"/>
          <w:b/>
          <w:bCs/>
          <w:color w:val="0C1F3A"/>
          <w:sz w:val="32"/>
          <w:szCs w:val="32"/>
        </w:rPr>
        <w:t xml:space="preserve">3. Design proposé</w:t>
      </w:r>
    </w:p>
    <w:p>
      <w:pPr>
        <w:pStyle w:val="Heading2"/>
        <w:spacing w:after="160" w:before="300"/>
      </w:pPr>
      <w:r>
        <w:rPr>
          <w:rFonts w:ascii="Poppins" w:cs="Poppins" w:eastAsia="Poppins" w:hAnsi="Poppins"/>
          <w:b/>
          <w:bCs/>
          <w:color w:val="0A6B68"/>
          <w:sz w:val="26"/>
          <w:szCs w:val="26"/>
        </w:rPr>
        <w:t xml:space="preserve">3.1 Un nouveau statut amont : Proposé</w:t>
      </w:r>
    </w:p>
    <w:p>
      <w:pPr>
        <w:spacing w:after="80" w:before="80" w:line="300"/>
        <w:jc w:val="both"/>
      </w:pPr>
      <w:r>
        <w:rPr>
          <w:rFonts w:ascii="Poppins" w:cs="Poppins" w:eastAsia="Poppins" w:hAnsi="Poppins"/>
          <w:color w:val="1F2937"/>
          <w:sz w:val="20"/>
          <w:szCs w:val="20"/>
        </w:rPr>
        <w:t xml:space="preserve">Le pipeline de la Vue 360° est actuellement : Déclaré, En consultation, En validation conjointe, Qualifié, Priorisé, Financement obtenu, Conventionné, En production, Suspendu, Retiré.</w:t>
      </w:r>
    </w:p>
    <w:p>
      <w:pPr>
        <w:spacing w:after="80" w:before="80" w:line="300"/>
        <w:jc w:val="both"/>
      </w:pPr>
      <w:r>
        <w:rPr>
          <w:rFonts w:ascii="Poppins" w:cs="Poppins" w:eastAsia="Poppins" w:hAnsi="Poppins"/>
          <w:color w:val="1F2937"/>
          <w:sz w:val="20"/>
          <w:szCs w:val="20"/>
        </w:rPr>
        <w:t xml:space="preserve">Un statut amont est introduit : Proposé. Il précède Déclaré. Un cas d'usage en statut Proposé ne dispose pas d'institution initiatrice administrative — seule une référence technique à la Delivery Unit comme créatrice de la proposition. Il n'a pas de consultation ouverte. Ses parties prenantes pressenties sont informatives, non redevables.</w:t>
      </w:r>
    </w:p>
    <w:p>
      <w:pPr>
        <w:spacing w:after="80" w:before="80" w:line="300"/>
        <w:jc w:val="both"/>
      </w:pPr>
      <w:r>
        <w:rPr>
          <w:rFonts w:ascii="Poppins" w:cs="Poppins" w:eastAsia="Poppins" w:hAnsi="Poppins"/>
          <w:color w:val="1F2937"/>
          <w:sz w:val="20"/>
          <w:szCs w:val="20"/>
        </w:rPr>
        <w:t xml:space="preserve">La transition Proposé vers Déclaré s'opère par l'acte d'adoption, décrit en section 3.3.</w:t>
      </w:r>
    </w:p>
    <w:p>
      <w:pPr>
        <w:pStyle w:val="Heading2"/>
        <w:spacing w:after="160" w:before="300"/>
      </w:pPr>
      <w:r>
        <w:rPr>
          <w:rFonts w:ascii="Poppins" w:cs="Poppins" w:eastAsia="Poppins" w:hAnsi="Poppins"/>
          <w:b/>
          <w:bCs/>
          <w:color w:val="0A6B68"/>
          <w:sz w:val="26"/>
          <w:szCs w:val="26"/>
        </w:rPr>
        <w:t xml:space="preserve">3.2 Le catalogue des propositions</w:t>
      </w:r>
    </w:p>
    <w:p>
      <w:pPr>
        <w:spacing w:after="80" w:before="80" w:line="300"/>
        <w:jc w:val="both"/>
      </w:pPr>
      <w:r>
        <w:rPr>
          <w:rFonts w:ascii="Poppins" w:cs="Poppins" w:eastAsia="Poppins" w:hAnsi="Poppins"/>
          <w:color w:val="1F2937"/>
          <w:sz w:val="20"/>
          <w:szCs w:val="20"/>
        </w:rPr>
        <w:t xml:space="preserve">Une nouvelle page est ajoutée à l'application, accessible à toutes les institutions connectées au PINS. Elle présente le stock des propositions avec recherche et filtres par domaine métier, par référentiels concernés et par institutions pressenties. Chaque fiche de proposition présente les éléments suivants : titre, résumé métier, contexte d'identification, institutions pressenties, référentiels touchés, niveau de maturité, bouton d'adoption conditionnel.</w:t>
      </w:r>
    </w:p>
    <w:p>
      <w:pPr>
        <w:spacing w:after="80" w:before="80" w:line="300"/>
        <w:jc w:val="both"/>
      </w:pPr>
      <w:r>
        <w:rPr>
          <w:rFonts w:ascii="Poppins" w:cs="Poppins" w:eastAsia="Poppins" w:hAnsi="Poppins"/>
          <w:color w:val="1F2937"/>
          <w:sz w:val="20"/>
          <w:szCs w:val="20"/>
        </w:rPr>
        <w:t xml:space="preserve">Le bouton d'adoption est affiché en évidence aux institutions pressenties. Pour les institutions non pressenties, un bouton alternatif permet de signaler à la Delivery Unit un intérêt motivé pour la proposition.</w:t>
      </w:r>
    </w:p>
    <w:p>
      <w:pPr>
        <w:pStyle w:val="Heading2"/>
        <w:spacing w:after="160" w:before="300"/>
      </w:pPr>
      <w:r>
        <w:rPr>
          <w:rFonts w:ascii="Poppins" w:cs="Poppins" w:eastAsia="Poppins" w:hAnsi="Poppins"/>
          <w:b/>
          <w:bCs/>
          <w:color w:val="0A6B68"/>
          <w:sz w:val="26"/>
          <w:szCs w:val="26"/>
        </w:rPr>
        <w:t xml:space="preserve">3.3 Le mécanisme d'adoption</w:t>
      </w:r>
    </w:p>
    <w:p>
      <w:pPr>
        <w:spacing w:after="80" w:before="80" w:line="300"/>
        <w:jc w:val="both"/>
      </w:pPr>
      <w:r>
        <w:rPr>
          <w:rFonts w:ascii="Poppins" w:cs="Poppins" w:eastAsia="Poppins" w:hAnsi="Poppins"/>
          <w:color w:val="1F2937"/>
          <w:sz w:val="20"/>
          <w:szCs w:val="20"/>
        </w:rPr>
        <w:t xml:space="preserve">L'adoption d'une proposition par une administration institutionnelle ouvre une modale de confirmation. Cette modale rappelle la responsabilité engagée : devenir initiatrice, mener la consultation des parties prenantes, faire progresser le cas d'usage dans le pipeline. Elle demande à l'administration de confirmer, de vérifier ou ajuster les parties prenantes pressenties, et de compléter si nécessaire les éléments pré-remplis.</w:t>
      </w:r>
    </w:p>
    <w:p>
      <w:pPr>
        <w:spacing w:after="80" w:before="80" w:line="300"/>
        <w:jc w:val="both"/>
      </w:pPr>
      <w:r>
        <w:rPr>
          <w:rFonts w:ascii="Poppins" w:cs="Poppins" w:eastAsia="Poppins" w:hAnsi="Poppins"/>
          <w:color w:val="1F2937"/>
          <w:sz w:val="20"/>
          <w:szCs w:val="20"/>
        </w:rPr>
        <w:t xml:space="preserve">À la confirmation, le cas d'usage bascule de Proposé à Déclaré. L'institution qui a adopté devient initiatrice. Les parties prenantes pressenties qui ont été validées deviennent formellement désignées. Les consultations s'ouvrent avec une échéance SLA automatique. La proposition sort du catalogue et rejoint le pipeline opérationnel.</w:t>
      </w:r>
    </w:p>
    <w:p>
      <w:pPr>
        <w:pStyle w:val="Heading2"/>
        <w:spacing w:after="160" w:before="300"/>
      </w:pPr>
      <w:r>
        <w:rPr>
          <w:rFonts w:ascii="Poppins" w:cs="Poppins" w:eastAsia="Poppins" w:hAnsi="Poppins"/>
          <w:b/>
          <w:bCs/>
          <w:color w:val="0A6B68"/>
          <w:sz w:val="26"/>
          <w:szCs w:val="26"/>
        </w:rPr>
        <w:t xml:space="preserve">3.4 Le détecteur de doublons à la création</w:t>
      </w:r>
    </w:p>
    <w:p>
      <w:pPr>
        <w:spacing w:after="80" w:before="80" w:line="300"/>
        <w:jc w:val="both"/>
      </w:pPr>
      <w:r>
        <w:rPr>
          <w:rFonts w:ascii="Poppins" w:cs="Poppins" w:eastAsia="Poppins" w:hAnsi="Poppins"/>
          <w:color w:val="1F2937"/>
          <w:sz w:val="20"/>
          <w:szCs w:val="20"/>
        </w:rPr>
        <w:t xml:space="preserve">Lorsqu'une administration déclare un nouveau cas d'usage par le parcours existant — depuis la page Mes cas d'usage — le formulaire interroge en temps réel le catalogue des propositions. Si le titre ou les champs clés saisis ressemblent à une proposition déjà identifiée, un encart pédagogique suggère à l'utilisateur d'examiner la proposition existante avant de créer un nouveau cas d'usage. L'utilisateur peut alors basculer sur l'adoption de la proposition ou confirmer qu'il souhaite créer un cas d'usage distinct.</w:t>
      </w:r>
    </w:p>
    <w:p>
      <w:pPr>
        <w:spacing w:after="80" w:before="80" w:line="300"/>
        <w:jc w:val="both"/>
      </w:pPr>
      <w:r>
        <w:rPr>
          <w:rFonts w:ascii="Poppins" w:cs="Poppins" w:eastAsia="Poppins" w:hAnsi="Poppins"/>
          <w:color w:val="1F2937"/>
          <w:sz w:val="20"/>
          <w:szCs w:val="20"/>
        </w:rPr>
        <w:t xml:space="preserve">Ce mécanisme évite les doublons, valorise le travail de cadrage amont, et réduit la charge de curation de la Delivery Unit.</w:t>
      </w:r>
    </w:p>
    <w:p>
      <w:pPr>
        <w:pStyle w:val="Heading2"/>
        <w:spacing w:after="160" w:before="300"/>
      </w:pPr>
      <w:r>
        <w:rPr>
          <w:rFonts w:ascii="Poppins" w:cs="Poppins" w:eastAsia="Poppins" w:hAnsi="Poppins"/>
          <w:b/>
          <w:bCs/>
          <w:color w:val="0A6B68"/>
          <w:sz w:val="26"/>
          <w:szCs w:val="26"/>
        </w:rPr>
        <w:t xml:space="preserve">3.5 Trois compléments qualifiants</w:t>
      </w:r>
    </w:p>
    <w:p>
      <w:pPr>
        <w:pStyle w:val="Heading3"/>
        <w:spacing w:after="120" w:before="240"/>
      </w:pPr>
      <w:r>
        <w:rPr>
          <w:rFonts w:ascii="Poppins" w:cs="Poppins" w:eastAsia="Poppins" w:hAnsi="Poppins"/>
          <w:b/>
          <w:bCs/>
          <w:color w:val="0C1F3A"/>
          <w:sz w:val="22"/>
          <w:szCs w:val="22"/>
        </w:rPr>
        <w:t xml:space="preserve">3.5.1 Niveau de maturité d'une proposition</w:t>
      </w:r>
    </w:p>
    <w:p>
      <w:pPr>
        <w:spacing w:after="80" w:before="80" w:line="300"/>
        <w:jc w:val="both"/>
      </w:pPr>
      <w:r>
        <w:rPr>
          <w:rFonts w:ascii="Poppins" w:cs="Poppins" w:eastAsia="Poppins" w:hAnsi="Poppins"/>
          <w:color w:val="1F2937"/>
          <w:sz w:val="20"/>
          <w:szCs w:val="20"/>
        </w:rPr>
        <w:t xml:space="preserve">Chaque proposition porte un niveau de maturité qui qualifie son degré de préparation. Trois niveaux sont retenus : Esquisse — idée formulée sans spécification technique, Pré-cadrée — institutions pressenties identifiées et référentiels listés, Prête à adopter — tout le travail préparatoire est effectué, l'administration n'a qu'à s'engager. Ce niveau est visible au premier regard dans le catalogue et oriente le choix des administrations.</w:t>
      </w:r>
    </w:p>
    <w:p>
      <w:pPr>
        <w:pStyle w:val="Heading3"/>
        <w:spacing w:after="120" w:before="240"/>
      </w:pPr>
      <w:r>
        <w:rPr>
          <w:rFonts w:ascii="Poppins" w:cs="Poppins" w:eastAsia="Poppins" w:hAnsi="Poppins"/>
          <w:b/>
          <w:bCs/>
          <w:color w:val="0C1F3A"/>
          <w:sz w:val="22"/>
          <w:szCs w:val="22"/>
        </w:rPr>
        <w:t xml:space="preserve">3.5.2 Notification active des institutions pressenties</w:t>
      </w:r>
    </w:p>
    <w:p>
      <w:pPr>
        <w:spacing w:after="80" w:before="80" w:line="300"/>
        <w:jc w:val="both"/>
      </w:pPr>
      <w:r>
        <w:rPr>
          <w:rFonts w:ascii="Poppins" w:cs="Poppins" w:eastAsia="Poppins" w:hAnsi="Poppins"/>
          <w:color w:val="1F2937"/>
          <w:sz w:val="20"/>
          <w:szCs w:val="20"/>
        </w:rPr>
        <w:t xml:space="preserve">Lorsqu'une proposition est créée ou mise à jour avec une institution pressentie, le Point Focal de cette institution reçoit une notification dans l'application et potentiellement par courrier électronique. Le message oriente vers la fiche de la proposition et présente l'adoption comme une action disponible. Le catalogue n'est plus un simple dépôt passif : il devient un outil d'accompagnement actif.</w:t>
      </w:r>
    </w:p>
    <w:p>
      <w:pPr>
        <w:pStyle w:val="Heading3"/>
        <w:spacing w:after="120" w:before="240"/>
      </w:pPr>
      <w:r>
        <w:rPr>
          <w:rFonts w:ascii="Poppins" w:cs="Poppins" w:eastAsia="Poppins" w:hAnsi="Poppins"/>
          <w:b/>
          <w:bCs/>
          <w:color w:val="0C1F3A"/>
          <w:sz w:val="22"/>
          <w:szCs w:val="22"/>
        </w:rPr>
        <w:t xml:space="preserve">3.5.3 Indicateur de santé du catalogue</w:t>
      </w:r>
    </w:p>
    <w:p>
      <w:pPr>
        <w:spacing w:after="80" w:before="80" w:line="300"/>
        <w:jc w:val="both"/>
      </w:pPr>
      <w:r>
        <w:rPr>
          <w:rFonts w:ascii="Poppins" w:cs="Poppins" w:eastAsia="Poppins" w:hAnsi="Poppins"/>
          <w:color w:val="1F2937"/>
          <w:sz w:val="20"/>
          <w:szCs w:val="20"/>
        </w:rPr>
        <w:t xml:space="preserve">La page de couverture DU affiche un nouvel indicateur de santé du catalogue : nombre de propositions créées sur la période, nombre d'adoptions, taux d'adoption. Cet indicateur permet d'évaluer l'efficacité du travail de cadrage amont et d'ajuster les choix de curation.</w:t>
      </w:r>
    </w:p>
    <w:p>
      <w:r>
        <w:br w:type="page"/>
      </w:r>
    </w:p>
    <w:p>
      <w:pPr>
        <w:pStyle w:val="Heading1"/>
        <w:spacing w:after="200" w:before="400"/>
      </w:pPr>
      <w:r>
        <w:rPr>
          <w:rFonts w:ascii="Poppins" w:cs="Poppins" w:eastAsia="Poppins" w:hAnsi="Poppins"/>
          <w:b/>
          <w:bCs/>
          <w:color w:val="0C1F3A"/>
          <w:sz w:val="32"/>
          <w:szCs w:val="32"/>
        </w:rPr>
        <w:t xml:space="preserve">4. Réponses aux cinq questions structurantes</w:t>
      </w:r>
    </w:p>
    <w:p>
      <w:pPr>
        <w:pStyle w:val="Heading2"/>
        <w:spacing w:after="160" w:before="300"/>
      </w:pPr>
      <w:r>
        <w:rPr>
          <w:rFonts w:ascii="Poppins" w:cs="Poppins" w:eastAsia="Poppins" w:hAnsi="Poppins"/>
          <w:b/>
          <w:bCs/>
          <w:color w:val="0A6B68"/>
          <w:sz w:val="26"/>
          <w:szCs w:val="26"/>
        </w:rPr>
        <w:t xml:space="preserve">4.1 Qui peut créer une proposition</w:t>
      </w:r>
    </w:p>
    <w:p>
      <w:pPr>
        <w:spacing w:after="80" w:before="80" w:line="300"/>
        <w:jc w:val="both"/>
      </w:pPr>
      <w:r>
        <w:rPr>
          <w:rFonts w:ascii="Poppins" w:cs="Poppins" w:eastAsia="Poppins" w:hAnsi="Poppins"/>
          <w:color w:val="1F2937"/>
          <w:sz w:val="20"/>
          <w:szCs w:val="20"/>
        </w:rPr>
        <w:t xml:space="preserve">Au démarrage de la phase P8, seule la Delivery Unit est habilitée à créer des propositions. Cette centralisation volontaire protège la qualité sémantique du catalogue pendant la phase d'amorçage et évite que le statut Proposé ne serve à contourner le processus formel de déclaration. Les institutions qui souhaitent contribuer au catalogue le font par canal oral ou électronique auprès de la Delivery Unit, qui qualifie, formalise et publie.</w:t>
      </w:r>
    </w:p>
    <w:p>
      <w:pPr>
        <w:spacing w:after="80" w:before="80" w:line="300"/>
        <w:jc w:val="both"/>
      </w:pPr>
      <w:r>
        <w:rPr>
          <w:rFonts w:ascii="Poppins" w:cs="Poppins" w:eastAsia="Poppins" w:hAnsi="Poppins"/>
          <w:color w:val="1F2937"/>
          <w:sz w:val="20"/>
          <w:szCs w:val="20"/>
        </w:rPr>
        <w:t xml:space="preserve">À six mois d'usage, une évolution vers un régime hybride est envisagée : les institutions pourraient soumettre des propositions, avec validation par la Delivery Unit avant publication dans le catalogue. Cette évolution sera décidée sur la base du retour d'expérience.</w:t>
      </w:r>
    </w:p>
    <w:p>
      <w:pPr>
        <w:pStyle w:val="Heading2"/>
        <w:spacing w:after="160" w:before="300"/>
      </w:pPr>
      <w:r>
        <w:rPr>
          <w:rFonts w:ascii="Poppins" w:cs="Poppins" w:eastAsia="Poppins" w:hAnsi="Poppins"/>
          <w:b/>
          <w:bCs/>
          <w:color w:val="0A6B68"/>
          <w:sz w:val="26"/>
          <w:szCs w:val="26"/>
        </w:rPr>
        <w:t xml:space="preserve">4.2 Qui peut adopter une proposition</w:t>
      </w:r>
    </w:p>
    <w:p>
      <w:pPr>
        <w:spacing w:after="80" w:before="80" w:line="300"/>
        <w:jc w:val="both"/>
      </w:pPr>
      <w:r>
        <w:rPr>
          <w:rFonts w:ascii="Poppins" w:cs="Poppins" w:eastAsia="Poppins" w:hAnsi="Poppins"/>
          <w:color w:val="1F2937"/>
          <w:sz w:val="20"/>
          <w:szCs w:val="20"/>
        </w:rPr>
        <w:t xml:space="preserve">Les institutions pressenties dans la proposition peuvent adopter directement, par simple confirmation motivée. Les institutions non pressenties peuvent également adopter, mais leur adoption est conditionnée à une motivation explicite et à une validation préalable de la Delivery Unit. Ce dispositif permet de rester ouvert aux opportunités inattendues sans affaiblir la cohérence de cadrage des propositions.</w:t>
      </w:r>
    </w:p>
    <w:p>
      <w:pPr>
        <w:pStyle w:val="Heading2"/>
        <w:spacing w:after="160" w:before="300"/>
      </w:pPr>
      <w:r>
        <w:rPr>
          <w:rFonts w:ascii="Poppins" w:cs="Poppins" w:eastAsia="Poppins" w:hAnsi="Poppins"/>
          <w:b/>
          <w:bCs/>
          <w:color w:val="0A6B68"/>
          <w:sz w:val="26"/>
          <w:szCs w:val="26"/>
        </w:rPr>
        <w:t xml:space="preserve">4.3 Que devient une proposition non adoptée</w:t>
      </w:r>
    </w:p>
    <w:p>
      <w:pPr>
        <w:spacing w:after="80" w:before="80" w:line="300"/>
        <w:jc w:val="both"/>
      </w:pPr>
      <w:r>
        <w:rPr>
          <w:rFonts w:ascii="Poppins" w:cs="Poppins" w:eastAsia="Poppins" w:hAnsi="Poppins"/>
          <w:color w:val="1F2937"/>
          <w:sz w:val="20"/>
          <w:szCs w:val="20"/>
        </w:rPr>
        <w:t xml:space="preserve">Aucune péremption automatique n'est introduite. Un cas d'usage identifié reste pertinent longtemps, même sans adoption immédiate. À la place, la Delivery Unit procède à une revue semestrielle du catalogue : archivage des propositions devenues obsolètes, fusion des doublons, re-priorisation en fonction de l'actualité institutionnelle. Deux statuts complémentaires sont ajoutés à l'énumération : Archivé pour les propositions retirées du catalogue et Fusionné pour les propositions consolidées avec un autre cas d'usage, avec préservation de la traçabilité de la fusion.</w:t>
      </w:r>
    </w:p>
    <w:p>
      <w:pPr>
        <w:pStyle w:val="Heading2"/>
        <w:spacing w:after="160" w:before="300"/>
      </w:pPr>
      <w:r>
        <w:rPr>
          <w:rFonts w:ascii="Poppins" w:cs="Poppins" w:eastAsia="Poppins" w:hAnsi="Poppins"/>
          <w:b/>
          <w:bCs/>
          <w:color w:val="0A6B68"/>
          <w:sz w:val="26"/>
          <w:szCs w:val="26"/>
        </w:rPr>
        <w:t xml:space="preserve">4.4 Visibilité de la source de la proposition</w:t>
      </w:r>
    </w:p>
    <w:p>
      <w:pPr>
        <w:spacing w:after="80" w:before="80" w:line="300"/>
        <w:jc w:val="both"/>
      </w:pPr>
      <w:r>
        <w:rPr>
          <w:rFonts w:ascii="Poppins" w:cs="Poppins" w:eastAsia="Poppins" w:hAnsi="Poppins"/>
          <w:color w:val="1F2937"/>
          <w:sz w:val="20"/>
          <w:szCs w:val="20"/>
        </w:rPr>
        <w:t xml:space="preserve">La catégorie de source est affichée publiquement sur chaque proposition — atelier de cadrage, étude interne, recommandation d'une autorité de contrôle, cadrage stratégique, proposition institutionnelle. Les détails précis — nom de l'événement, date, personnes impliquées — sont réservés aux institutions qui ont adopté la proposition et à la Delivery Unit. Cette gradation maintient la valorisation institutionnelle de la source tout en respectant les principes de transparence contrôlée déjà en vigueur.</w:t>
      </w:r>
    </w:p>
    <w:p>
      <w:pPr>
        <w:pStyle w:val="Heading2"/>
        <w:spacing w:after="160" w:before="300"/>
      </w:pPr>
      <w:r>
        <w:rPr>
          <w:rFonts w:ascii="Poppins" w:cs="Poppins" w:eastAsia="Poppins" w:hAnsi="Poppins"/>
          <w:b/>
          <w:bCs/>
          <w:color w:val="0A6B68"/>
          <w:sz w:val="26"/>
          <w:szCs w:val="26"/>
        </w:rPr>
        <w:t xml:space="preserve">4.5 Migration du stock actuel</w:t>
      </w:r>
    </w:p>
    <w:p>
      <w:pPr>
        <w:spacing w:after="80" w:before="80" w:line="300"/>
        <w:jc w:val="both"/>
      </w:pPr>
      <w:r>
        <w:rPr>
          <w:rFonts w:ascii="Poppins" w:cs="Poppins" w:eastAsia="Poppins" w:hAnsi="Poppins"/>
          <w:color w:val="1F2937"/>
          <w:sz w:val="20"/>
          <w:szCs w:val="20"/>
        </w:rPr>
        <w:t xml:space="preserve">Les cas d'usage actuellement en base qui relèvent du stock historique — soit une vingtaine d'entrées issues du seed MVP 0 — sont migrés en statut Proposé. Les cas d'usage effectivement activés dans le pipeline Vue 360° — PINS-CU-008, PINS-CU-011, PINS-CU-012, PINS-CU-019, PINS-CU-026 et tout autre cas avec une activité institutionnelle tracée — conservent leur statut actuel. Cette migration est réalisée en une opération unique, tracée dans le journal inaltérable, avec annotation automatique « Migration P8 — basculement en catalogue ».</w:t>
      </w:r>
    </w:p>
    <w:p>
      <w:pPr>
        <w:spacing w:after="80" w:before="80" w:line="300"/>
        <w:jc w:val="both"/>
      </w:pPr>
      <w:r>
        <w:rPr>
          <w:rFonts w:ascii="Poppins" w:cs="Poppins" w:eastAsia="Poppins" w:hAnsi="Poppins"/>
          <w:color w:val="1F2937"/>
          <w:sz w:val="20"/>
          <w:szCs w:val="20"/>
        </w:rPr>
        <w:t xml:space="preserve">À l'issue de cette migration, les indicateurs de pilotage retrouvent une lecture institutionnelle limpide : un nombre de propositions en stock distinct du nombre de cas d'usage effectivement déclarés et en consultation.</w:t>
      </w:r>
    </w:p>
    <w:p>
      <w:r>
        <w:br w:type="page"/>
      </w:r>
    </w:p>
    <w:p>
      <w:pPr>
        <w:pStyle w:val="Heading1"/>
        <w:spacing w:after="200" w:before="400"/>
      </w:pPr>
      <w:r>
        <w:rPr>
          <w:rFonts w:ascii="Poppins" w:cs="Poppins" w:eastAsia="Poppins" w:hAnsi="Poppins"/>
          <w:b/>
          <w:bCs/>
          <w:color w:val="0C1F3A"/>
          <w:sz w:val="32"/>
          <w:szCs w:val="32"/>
        </w:rPr>
        <w:t xml:space="preserve">5. Impacts sur l'existant</w:t>
      </w:r>
    </w:p>
    <w:p>
      <w:pPr>
        <w:pStyle w:val="Heading2"/>
        <w:spacing w:after="160" w:before="300"/>
      </w:pPr>
      <w:r>
        <w:rPr>
          <w:rFonts w:ascii="Poppins" w:cs="Poppins" w:eastAsia="Poppins" w:hAnsi="Poppins"/>
          <w:b/>
          <w:bCs/>
          <w:color w:val="0A6B68"/>
          <w:sz w:val="26"/>
          <w:szCs w:val="26"/>
        </w:rPr>
        <w:t xml:space="preserve">5.1 Modèle de données</w:t>
      </w:r>
    </w:p>
    <w:p>
      <w:pPr>
        <w:spacing w:after="80" w:before="80" w:line="300"/>
        <w:jc w:val="both"/>
      </w:pPr>
      <w:r>
        <w:rPr>
          <w:rFonts w:ascii="Poppins" w:cs="Poppins" w:eastAsia="Poppins" w:hAnsi="Poppins"/>
          <w:color w:val="1F2937"/>
          <w:sz w:val="20"/>
          <w:szCs w:val="20"/>
        </w:rPr>
        <w:t xml:space="preserve">L'énumération UseCaseStatus est enrichie de trois valeurs : Proposé en amont, Archivé et Fusionné en aval. La table des cas d'usage gagne un champ indiquant la source de la proposition et un champ indiquant le niveau de maturité. Une table associative permet de lier les institutions pressenties à une proposition. Ces évolutions sont compatibles avec le schéma actuel et ne nécessitent aucune modification des tables d'avis, de consultations, d'historique ou de notifications.</w:t>
      </w:r>
    </w:p>
    <w:p>
      <w:pPr>
        <w:pStyle w:val="Heading2"/>
        <w:spacing w:after="160" w:before="300"/>
      </w:pPr>
      <w:r>
        <w:rPr>
          <w:rFonts w:ascii="Poppins" w:cs="Poppins" w:eastAsia="Poppins" w:hAnsi="Poppins"/>
          <w:b/>
          <w:bCs/>
          <w:color w:val="0A6B68"/>
          <w:sz w:val="26"/>
          <w:szCs w:val="26"/>
        </w:rPr>
        <w:t xml:space="preserve">5.2 Interface utilisateur</w:t>
      </w:r>
    </w:p>
    <w:p>
      <w:pPr>
        <w:spacing w:after="80" w:before="80" w:line="300"/>
        <w:jc w:val="both"/>
      </w:pPr>
      <w:r>
        <w:rPr>
          <w:rFonts w:ascii="Poppins" w:cs="Poppins" w:eastAsia="Poppins" w:hAnsi="Poppins"/>
          <w:color w:val="1F2937"/>
          <w:sz w:val="20"/>
          <w:szCs w:val="20"/>
        </w:rPr>
        <w:t xml:space="preserve">Une nouvelle page est introduite dans l'application, accessible depuis la barre latérale principale, intitulée Catalogue des propositions. Elle présente la liste filtrable des propositions et permet l'adoption directe. Sur la page de création d'un nouveau cas d'usage, un encart de suggestion est ajouté pour inviter à examiner les propositions existantes en cas de similarité détectée. Les fiches de proposition sont distinctes visuellement des fiches de cas d'usage déclarés : bandeau pédagogique rappelant la nature de proposition, absence de fil d'avis formels, accent sur le bouton d'adoption.</w:t>
      </w:r>
    </w:p>
    <w:p>
      <w:pPr>
        <w:pStyle w:val="Heading2"/>
        <w:spacing w:after="160" w:before="300"/>
      </w:pPr>
      <w:r>
        <w:rPr>
          <w:rFonts w:ascii="Poppins" w:cs="Poppins" w:eastAsia="Poppins" w:hAnsi="Poppins"/>
          <w:b/>
          <w:bCs/>
          <w:color w:val="0A6B68"/>
          <w:sz w:val="26"/>
          <w:szCs w:val="26"/>
        </w:rPr>
        <w:t xml:space="preserve">5.3 Indicateurs de pilotage</w:t>
      </w:r>
    </w:p>
    <w:p>
      <w:pPr>
        <w:spacing w:after="80" w:before="80" w:line="300"/>
        <w:jc w:val="both"/>
      </w:pPr>
      <w:r>
        <w:rPr>
          <w:rFonts w:ascii="Poppins" w:cs="Poppins" w:eastAsia="Poppins" w:hAnsi="Poppins"/>
          <w:color w:val="1F2937"/>
          <w:sz w:val="20"/>
          <w:szCs w:val="20"/>
        </w:rPr>
        <w:t xml:space="preserve">La vue d'arbitrage de la Delivery Unit est enrichie d'un sixième indicateur en tête : le nombre de propositions en stock. L'indicateur existant des cas déclarés est recalculé pour ne compter que les cas ayant effectivement franchi le seuil de l'acte d'adoption. Un nouveau bloc présente les statistiques d'adoption de la période.</w:t>
      </w:r>
    </w:p>
    <w:p>
      <w:pPr>
        <w:pStyle w:val="Heading2"/>
        <w:spacing w:after="160" w:before="300"/>
      </w:pPr>
      <w:r>
        <w:rPr>
          <w:rFonts w:ascii="Poppins" w:cs="Poppins" w:eastAsia="Poppins" w:hAnsi="Poppins"/>
          <w:b/>
          <w:bCs/>
          <w:color w:val="0A6B68"/>
          <w:sz w:val="26"/>
          <w:szCs w:val="26"/>
        </w:rPr>
        <w:t xml:space="preserve">5.4 Communication institutionnelle</w:t>
      </w:r>
    </w:p>
    <w:p>
      <w:pPr>
        <w:spacing w:after="80" w:before="80" w:line="300"/>
        <w:jc w:val="both"/>
      </w:pPr>
      <w:r>
        <w:rPr>
          <w:rFonts w:ascii="Poppins" w:cs="Poppins" w:eastAsia="Poppins" w:hAnsi="Poppins"/>
          <w:color w:val="1F2937"/>
          <w:sz w:val="20"/>
          <w:szCs w:val="20"/>
        </w:rPr>
        <w:t xml:space="preserve">Le lancement de la phase P8 est l'occasion de clarifier auprès des administrations la distinction entre proposition et déclaration. Un court support de présentation est produit pour accompagner la prise en main du catalogue. Les Points Focaux des institutions pilotes sont informés qu'ils recevront désormais des notifications lorsqu'une proposition pertinente pour leur institution est publiée.</w:t>
      </w:r>
    </w:p>
    <w:p>
      <w:r>
        <w:br w:type="page"/>
      </w:r>
    </w:p>
    <w:p>
      <w:pPr>
        <w:pStyle w:val="Heading1"/>
        <w:spacing w:after="200" w:before="400"/>
      </w:pPr>
      <w:r>
        <w:rPr>
          <w:rFonts w:ascii="Poppins" w:cs="Poppins" w:eastAsia="Poppins" w:hAnsi="Poppins"/>
          <w:b/>
          <w:bCs/>
          <w:color w:val="0C1F3A"/>
          <w:sz w:val="32"/>
          <w:szCs w:val="32"/>
        </w:rPr>
        <w:t xml:space="preserve">6. Plan d'implémentation indicatif</w:t>
      </w:r>
    </w:p>
    <w:p>
      <w:pPr>
        <w:spacing w:after="80" w:before="80" w:line="300"/>
        <w:jc w:val="both"/>
      </w:pPr>
      <w:r>
        <w:rPr>
          <w:rFonts w:ascii="Poppins" w:cs="Poppins" w:eastAsia="Poppins" w:hAnsi="Poppins"/>
          <w:color w:val="1F2937"/>
          <w:sz w:val="20"/>
          <w:szCs w:val="20"/>
        </w:rPr>
        <w:t xml:space="preserve">La phase P8 peut être livrée en deux à trois jours ouvrés, sous réserve de validation du cadrage par la Delivery Unit. Le travail se décompose en cinq lots cohérents.</w:t>
      </w:r>
    </w:p>
    <w:p>
      <w:pPr>
        <w:pStyle w:val="Heading3"/>
        <w:spacing w:after="120" w:before="240"/>
      </w:pPr>
      <w:r>
        <w:rPr>
          <w:rFonts w:ascii="Poppins" w:cs="Poppins" w:eastAsia="Poppins" w:hAnsi="Poppins"/>
          <w:b/>
          <w:bCs/>
          <w:color w:val="0C1F3A"/>
          <w:sz w:val="22"/>
          <w:szCs w:val="22"/>
        </w:rPr>
        <w:t xml:space="preserve">Lot 1 — Évolution du modèle de données</w:t>
      </w:r>
    </w:p>
    <w:p>
      <w:pPr>
        <w:spacing w:after="80" w:before="80" w:line="300"/>
        <w:jc w:val="both"/>
      </w:pPr>
      <w:r>
        <w:rPr>
          <w:rFonts w:ascii="Poppins" w:cs="Poppins" w:eastAsia="Poppins" w:hAnsi="Poppins"/>
          <w:color w:val="1F2937"/>
          <w:sz w:val="20"/>
          <w:szCs w:val="20"/>
        </w:rPr>
        <w:t xml:space="preserve">Ajout des trois valeurs à l'énumération des statuts, ajout des champs de source et de maturité, création de la table des institutions pressenties. Migration de base tracée. Effort estimé : trois à quatre heures.</w:t>
      </w:r>
    </w:p>
    <w:p>
      <w:pPr>
        <w:pStyle w:val="Heading3"/>
        <w:spacing w:after="120" w:before="240"/>
      </w:pPr>
      <w:r>
        <w:rPr>
          <w:rFonts w:ascii="Poppins" w:cs="Poppins" w:eastAsia="Poppins" w:hAnsi="Poppins"/>
          <w:b/>
          <w:bCs/>
          <w:color w:val="0C1F3A"/>
          <w:sz w:val="22"/>
          <w:szCs w:val="22"/>
        </w:rPr>
        <w:t xml:space="preserve">Lot 2 — Migration du stock actuel</w:t>
      </w:r>
    </w:p>
    <w:p>
      <w:pPr>
        <w:spacing w:after="80" w:before="80" w:line="300"/>
        <w:jc w:val="both"/>
      </w:pPr>
      <w:r>
        <w:rPr>
          <w:rFonts w:ascii="Poppins" w:cs="Poppins" w:eastAsia="Poppins" w:hAnsi="Poppins"/>
          <w:color w:val="1F2937"/>
          <w:sz w:val="20"/>
          <w:szCs w:val="20"/>
        </w:rPr>
        <w:t xml:space="preserve">Script de migration des cas d'usage historiques vers le statut Proposé, avec identification automatique des institutions pressenties par analyse des descriptions existantes, attribution du niveau de maturité par défaut à Esquisse. Revue manuelle rapide par la Delivery Unit pour affiner les attributions les plus évidentes. Effort estimé : deux à trois heures.</w:t>
      </w:r>
    </w:p>
    <w:p>
      <w:pPr>
        <w:pStyle w:val="Heading3"/>
        <w:spacing w:after="120" w:before="240"/>
      </w:pPr>
      <w:r>
        <w:rPr>
          <w:rFonts w:ascii="Poppins" w:cs="Poppins" w:eastAsia="Poppins" w:hAnsi="Poppins"/>
          <w:b/>
          <w:bCs/>
          <w:color w:val="0C1F3A"/>
          <w:sz w:val="22"/>
          <w:szCs w:val="22"/>
        </w:rPr>
        <w:t xml:space="preserve">Lot 3 — API backend</w:t>
      </w:r>
    </w:p>
    <w:p>
      <w:pPr>
        <w:spacing w:after="80" w:before="80" w:line="300"/>
        <w:jc w:val="both"/>
      </w:pPr>
      <w:r>
        <w:rPr>
          <w:rFonts w:ascii="Poppins" w:cs="Poppins" w:eastAsia="Poppins" w:hAnsi="Poppins"/>
          <w:color w:val="1F2937"/>
          <w:sz w:val="20"/>
          <w:szCs w:val="20"/>
        </w:rPr>
        <w:t xml:space="preserve">Nouvelles routes pour le catalogue des propositions, l'adoption d'une proposition avec transition atomique vers le statut Déclaré, la recherche de propositions similaires à partir de critères de saisie, la création et la modification d'une proposition par la Delivery Unit. Effort estimé : six à huit heures.</w:t>
      </w:r>
    </w:p>
    <w:p>
      <w:pPr>
        <w:pStyle w:val="Heading3"/>
        <w:spacing w:after="120" w:before="240"/>
      </w:pPr>
      <w:r>
        <w:rPr>
          <w:rFonts w:ascii="Poppins" w:cs="Poppins" w:eastAsia="Poppins" w:hAnsi="Poppins"/>
          <w:b/>
          <w:bCs/>
          <w:color w:val="0C1F3A"/>
          <w:sz w:val="22"/>
          <w:szCs w:val="22"/>
        </w:rPr>
        <w:t xml:space="preserve">Lot 4 — Interface utilisateur</w:t>
      </w:r>
    </w:p>
    <w:p>
      <w:pPr>
        <w:spacing w:after="80" w:before="80" w:line="300"/>
        <w:jc w:val="both"/>
      </w:pPr>
      <w:r>
        <w:rPr>
          <w:rFonts w:ascii="Poppins" w:cs="Poppins" w:eastAsia="Poppins" w:hAnsi="Poppins"/>
          <w:color w:val="1F2937"/>
          <w:sz w:val="20"/>
          <w:szCs w:val="20"/>
        </w:rPr>
        <w:t xml:space="preserve">Nouvelle page de catalogue avec filtres, fiche détaillée d'une proposition, modale d'adoption, encart de suggestion à la création d'un cas d'usage, mise à jour du tableau de bord de la Delivery Unit avec le sixième indicateur et le bloc statistique. Effort estimé : huit à dix heures.</w:t>
      </w:r>
    </w:p>
    <w:p>
      <w:pPr>
        <w:pStyle w:val="Heading3"/>
        <w:spacing w:after="120" w:before="240"/>
      </w:pPr>
      <w:r>
        <w:rPr>
          <w:rFonts w:ascii="Poppins" w:cs="Poppins" w:eastAsia="Poppins" w:hAnsi="Poppins"/>
          <w:b/>
          <w:bCs/>
          <w:color w:val="0C1F3A"/>
          <w:sz w:val="22"/>
          <w:szCs w:val="22"/>
        </w:rPr>
        <w:t xml:space="preserve">Lot 5 — Recette et documentation</w:t>
      </w:r>
    </w:p>
    <w:p>
      <w:pPr>
        <w:spacing w:after="80" w:before="80" w:line="300"/>
        <w:jc w:val="both"/>
      </w:pPr>
      <w:r>
        <w:rPr>
          <w:rFonts w:ascii="Poppins" w:cs="Poppins" w:eastAsia="Poppins" w:hAnsi="Poppins"/>
          <w:color w:val="1F2937"/>
          <w:sz w:val="20"/>
          <w:szCs w:val="20"/>
        </w:rPr>
        <w:t xml:space="preserve">Tests fonctionnels couvrant la création d'une proposition, l'adoption directe, l'adoption motivée avec validation Delivery Unit, la détection de doublons à la création, l'archivage. Mise à jour de la documentation utilisateur et des guides d'accompagnement. Effort estimé : trois à quatre heures.</w:t>
      </w:r>
    </w:p>
    <w:p>
      <w:pPr>
        <w:spacing w:after="80" w:before="80" w:line="300"/>
        <w:jc w:val="both"/>
      </w:pPr>
      <w:r>
        <w:rPr>
          <w:rFonts w:ascii="Poppins" w:cs="Poppins" w:eastAsia="Poppins" w:hAnsi="Poppins"/>
          <w:color w:val="1F2937"/>
          <w:sz w:val="20"/>
          <w:szCs w:val="20"/>
        </w:rPr>
        <w:t xml:space="preserve">L'effort total est estimé entre vingt-deux et vingt-neuf heures de développement, soit deux à trois journées productives avec accompagnement méthodologique.</w:t>
      </w:r>
    </w:p>
    <w:p>
      <w:r>
        <w:br w:type="page"/>
      </w:r>
    </w:p>
    <w:p>
      <w:pPr>
        <w:pStyle w:val="Heading1"/>
        <w:spacing w:after="200" w:before="400"/>
      </w:pPr>
      <w:r>
        <w:rPr>
          <w:rFonts w:ascii="Poppins" w:cs="Poppins" w:eastAsia="Poppins" w:hAnsi="Poppins"/>
          <w:b/>
          <w:bCs/>
          <w:color w:val="0C1F3A"/>
          <w:sz w:val="32"/>
          <w:szCs w:val="32"/>
        </w:rPr>
        <w:t xml:space="preserve">7. Questions restantes à trancher en cadrage</w:t>
      </w:r>
    </w:p>
    <w:p>
      <w:pPr>
        <w:spacing w:after="80" w:before="80" w:line="300"/>
        <w:jc w:val="both"/>
      </w:pPr>
      <w:r>
        <w:rPr>
          <w:rFonts w:ascii="Poppins" w:cs="Poppins" w:eastAsia="Poppins" w:hAnsi="Poppins"/>
          <w:color w:val="1F2937"/>
          <w:sz w:val="20"/>
          <w:szCs w:val="20"/>
        </w:rPr>
        <w:t xml:space="preserve">Les questions suivantes demeurent ouvertes à ce stade et nécessitent un arbitrage avant lancement de l'implémentation.</w:t>
      </w:r>
    </w:p>
    <w:p>
      <w:pPr>
        <w:pStyle w:val="Heading2"/>
        <w:spacing w:after="160" w:before="300"/>
      </w:pPr>
      <w:r>
        <w:rPr>
          <w:rFonts w:ascii="Poppins" w:cs="Poppins" w:eastAsia="Poppins" w:hAnsi="Poppins"/>
          <w:b/>
          <w:bCs/>
          <w:color w:val="0A6B68"/>
          <w:sz w:val="26"/>
          <w:szCs w:val="26"/>
        </w:rPr>
        <w:t xml:space="preserve">7.1 Notifications par courrier électronique</w:t>
      </w:r>
    </w:p>
    <w:p>
      <w:pPr>
        <w:spacing w:after="80" w:before="80" w:line="300"/>
        <w:jc w:val="both"/>
      </w:pPr>
      <w:r>
        <w:rPr>
          <w:rFonts w:ascii="Poppins" w:cs="Poppins" w:eastAsia="Poppins" w:hAnsi="Poppins"/>
          <w:color w:val="1F2937"/>
          <w:sz w:val="20"/>
          <w:szCs w:val="20"/>
        </w:rPr>
        <w:t xml:space="preserve">Les notifications d'adoption pressentie sont prévues dans l'application. Leur déclinaison par courrier électronique est souhaitable pour atteindre les Points Focaux qui ne se connectent pas quotidiennement. Cela suppose l'activation d'un service d'envoi de courriel, sa configuration, et un cadrage des modèles de messages. À trancher selon l'infrastructure disponible.</w:t>
      </w:r>
    </w:p>
    <w:p>
      <w:pPr>
        <w:pStyle w:val="Heading2"/>
        <w:spacing w:after="160" w:before="300"/>
      </w:pPr>
      <w:r>
        <w:rPr>
          <w:rFonts w:ascii="Poppins" w:cs="Poppins" w:eastAsia="Poppins" w:hAnsi="Poppins"/>
          <w:b/>
          <w:bCs/>
          <w:color w:val="0A6B68"/>
          <w:sz w:val="26"/>
          <w:szCs w:val="26"/>
        </w:rPr>
        <w:t xml:space="preserve">7.2 Liaison avec les travaux d'architecture d'entreprise</w:t>
      </w:r>
    </w:p>
    <w:p>
      <w:pPr>
        <w:spacing w:after="80" w:before="80" w:line="300"/>
        <w:jc w:val="both"/>
      </w:pPr>
      <w:r>
        <w:rPr>
          <w:rFonts w:ascii="Poppins" w:cs="Poppins" w:eastAsia="Poppins" w:hAnsi="Poppins"/>
          <w:color w:val="1F2937"/>
          <w:sz w:val="20"/>
          <w:szCs w:val="20"/>
        </w:rPr>
        <w:t xml:space="preserve">Les propositions issues de travaux de cadrage stratégique ou d'alignement de l'architecture d'entreprise gouvernementale pourraient être intégrées automatiquement au catalogue par un mécanisme d'import. Cette articulation avec l'écosystème de gouvernance du numérique est à qualifier en fonction du calendrier des travaux connexes.</w:t>
      </w:r>
    </w:p>
    <w:p>
      <w:pPr>
        <w:pStyle w:val="Heading2"/>
        <w:spacing w:after="160" w:before="300"/>
      </w:pPr>
      <w:r>
        <w:rPr>
          <w:rFonts w:ascii="Poppins" w:cs="Poppins" w:eastAsia="Poppins" w:hAnsi="Poppins"/>
          <w:b/>
          <w:bCs/>
          <w:color w:val="0A6B68"/>
          <w:sz w:val="26"/>
          <w:szCs w:val="26"/>
        </w:rPr>
        <w:t xml:space="preserve">7.3 Périodicité des revues de catalogue</w:t>
      </w:r>
    </w:p>
    <w:p>
      <w:pPr>
        <w:spacing w:after="80" w:before="80" w:line="300"/>
        <w:jc w:val="both"/>
      </w:pPr>
      <w:r>
        <w:rPr>
          <w:rFonts w:ascii="Poppins" w:cs="Poppins" w:eastAsia="Poppins" w:hAnsi="Poppins"/>
          <w:color w:val="1F2937"/>
          <w:sz w:val="20"/>
          <w:szCs w:val="20"/>
        </w:rPr>
        <w:t xml:space="preserve">Une revue semestrielle a été retenue comme principe, mais son déclenchement concret — événement institutionnel, réunion dédiée, processus récurrent — reste à définir. La Delivery Unit précisera le format opérationnel lors du lancement de la phase P8.</w:t>
      </w:r>
    </w:p>
    <w:p>
      <w:pPr>
        <w:pStyle w:val="Heading2"/>
        <w:spacing w:after="160" w:before="300"/>
      </w:pPr>
      <w:r>
        <w:rPr>
          <w:rFonts w:ascii="Poppins" w:cs="Poppins" w:eastAsia="Poppins" w:hAnsi="Poppins"/>
          <w:b/>
          <w:bCs/>
          <w:color w:val="0A6B68"/>
          <w:sz w:val="26"/>
          <w:szCs w:val="26"/>
        </w:rPr>
        <w:t xml:space="preserve">7.4 Typologie fine des catégories de source</w:t>
      </w:r>
    </w:p>
    <w:p>
      <w:pPr>
        <w:spacing w:after="80" w:before="80" w:line="300"/>
        <w:jc w:val="both"/>
      </w:pPr>
      <w:r>
        <w:rPr>
          <w:rFonts w:ascii="Poppins" w:cs="Poppins" w:eastAsia="Poppins" w:hAnsi="Poppins"/>
          <w:color w:val="1F2937"/>
          <w:sz w:val="20"/>
          <w:szCs w:val="20"/>
        </w:rPr>
        <w:t xml:space="preserve">Cinq grandes catégories de source sont proposées. Une typologie plus fine — distinction entre atelier stratégique et atelier opérationnel, entre étude quantitative et étude qualitative, entre recommandation juridique et recommandation technique — peut être utile pour la curation. À affiner à l'usage.</w:t>
      </w:r>
    </w:p>
    <w:p>
      <w:r>
        <w:br w:type="page"/>
      </w:r>
    </w:p>
    <w:p>
      <w:pPr>
        <w:pStyle w:val="Heading1"/>
        <w:spacing w:after="200" w:before="400"/>
      </w:pPr>
      <w:r>
        <w:rPr>
          <w:rFonts w:ascii="Poppins" w:cs="Poppins" w:eastAsia="Poppins" w:hAnsi="Poppins"/>
          <w:b/>
          <w:bCs/>
          <w:color w:val="0C1F3A"/>
          <w:sz w:val="32"/>
          <w:szCs w:val="32"/>
        </w:rPr>
        <w:t xml:space="preserve">8. Validation</w:t>
      </w:r>
    </w:p>
    <w:p>
      <w:pPr>
        <w:spacing w:after="80" w:before="80" w:line="300"/>
        <w:jc w:val="both"/>
      </w:pPr>
      <w:r>
        <w:rPr>
          <w:rFonts w:ascii="Poppins" w:cs="Poppins" w:eastAsia="Poppins" w:hAnsi="Poppins"/>
          <w:color w:val="1F2937"/>
          <w:sz w:val="20"/>
          <w:szCs w:val="20"/>
        </w:rPr>
        <w:t xml:space="preserve">La présente note est soumise au Directeur de la Delivery Unit pour cadrage de la phase P8. Sa validation autorisera le lancement de l'implémentation selon le plan décrit en section 6.</w:t>
      </w:r>
    </w:p>
    <w:p>
      <w:pPr>
        <w:spacing w:after="80" w:before="80" w:line="300"/>
        <w:jc w:val="both"/>
      </w:pPr>
      <w:r>
        <w:rPr>
          <w:rFonts w:ascii="Poppins" w:cs="Poppins" w:eastAsia="Poppins" w:hAnsi="Poppins"/>
          <w:color w:val="1F2937"/>
          <w:sz w:val="20"/>
          <w:szCs w:val="20"/>
        </w:rPr>
        <w:t xml:space="preserve">Elle doit être lue en complément de la note de conception de la Vue 360° — référence CONC-2026-02 du 22 avril 2026 — et de son addendum relatif aux référentiels nationaux. Elle prolonge et enrichit ces deux documents sans les modifier.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pPr>
            <w:r>
              <w:rPr>
                <w:rFonts w:ascii="Poppins" w:cs="Poppins" w:eastAsia="Poppins" w:hAnsi="Poppins"/>
                <w:b/>
                <w:bCs/>
                <w:color w:val="0C1F3A"/>
                <w:sz w:val="18"/>
                <w:szCs w:val="18"/>
              </w:rPr>
              <w:t xml:space="preserve">Auteur — Point focal</w:t>
            </w:r>
          </w:p>
        </w:tc>
        <w:tc>
          <w:tcPr>
            <w:tcW w:type="dxa" w:w="4513"/>
            <w:tcBorders>
              <w:top w:val="single" w:color="E1E4E8" w:sz="4"/>
              <w:left w:val="single" w:color="E1E4E8" w:sz="4"/>
              <w:bottom w:val="single" w:color="E1E4E8" w:sz="4"/>
              <w:right w:val="single" w:color="E1E4E8" w:sz="4"/>
            </w:tcBorders>
            <w:shd w:fill="D6DEEA" w:val="clear"/>
            <w:tcMar>
              <w:top w:type="dxa" w:w="100"/>
              <w:left w:type="dxa" w:w="140"/>
              <w:bottom w:type="dxa" w:w="100"/>
              <w:right w:type="dxa" w:w="140"/>
            </w:tcMar>
            <w:vAlign w:val="center"/>
          </w:tcPr>
          <w:p>
            <w:pPr>
              <w:spacing w:after="40" w:before="40"/>
            </w:pPr>
            <w:r>
              <w:rPr>
                <w:rFonts w:ascii="Poppins" w:cs="Poppins" w:eastAsia="Poppins" w:hAnsi="Poppins"/>
                <w:b/>
                <w:bCs/>
                <w:color w:val="0C1F3A"/>
                <w:sz w:val="18"/>
                <w:szCs w:val="18"/>
              </w:rPr>
              <w:t xml:space="preserve">Validation — Delivery Unit</w:t>
            </w:r>
          </w:p>
        </w:tc>
      </w:tr>
      <w:tr>
        <w:tc>
          <w:tcPr>
            <w:tcW w:type="dxa" w:w="4513"/>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80"/>
            </w:pPr>
            <w:r>
              <w:rPr>
                <w:rFonts w:ascii="Poppins" w:cs="Poppins" w:eastAsia="Poppins" w:hAnsi="Poppins"/>
                <w:b/>
                <w:bCs/>
                <w:color w:val="1F2937"/>
                <w:sz w:val="20"/>
                <w:szCs w:val="20"/>
              </w:rPr>
              <w:t xml:space="preserve">Birama DIOP</w:t>
            </w:r>
          </w:p>
          <w:p>
            <w:pPr>
              <w:spacing w:after="40" w:before="0"/>
            </w:pPr>
            <w:r>
              <w:rPr>
                <w:rFonts w:ascii="Poppins" w:cs="Poppins" w:eastAsia="Poppins" w:hAnsi="Poppins"/>
                <w:i/>
                <w:iCs/>
                <w:color w:val="374151"/>
                <w:sz w:val="18"/>
                <w:szCs w:val="18"/>
              </w:rPr>
              <w:t xml:space="preserve">Point Focal National d'Interopérabilité</w:t>
            </w:r>
          </w:p>
          <w:p>
            <w:pPr>
              <w:spacing w:after="40" w:before="0"/>
            </w:pPr>
            <w:r>
              <w:rPr>
                <w:rFonts w:ascii="Poppins" w:cs="Poppins" w:eastAsia="Poppins" w:hAnsi="Poppins"/>
                <w:i/>
                <w:iCs/>
                <w:color w:val="374151"/>
                <w:sz w:val="18"/>
                <w:szCs w:val="18"/>
              </w:rPr>
              <w:t xml:space="preserve">Architecte DPI — MCTN / SENUM SA</w:t>
            </w:r>
          </w:p>
          <w:p>
            <w:pPr>
              <w:spacing w:after="40" w:before="200"/>
            </w:pPr>
            <w:r>
              <w:rPr>
                <w:rFonts w:ascii="Poppins" w:cs="Poppins" w:eastAsia="Poppins" w:hAnsi="Poppins"/>
                <w:color w:val="1F2937"/>
                <w:sz w:val="18"/>
                <w:szCs w:val="18"/>
              </w:rPr>
              <w:t xml:space="preserve">Date : 24 avril 2026</w:t>
            </w:r>
          </w:p>
          <w:p>
            <w:pPr>
              <w:spacing w:after="40" w:before="800"/>
            </w:pPr>
            <w:r>
              <w:rPr>
                <w:rFonts w:ascii="Poppins" w:cs="Poppins" w:eastAsia="Poppins" w:hAnsi="Poppins"/>
                <w:color w:val="1F2937"/>
                <w:sz w:val="18"/>
                <w:szCs w:val="18"/>
              </w:rPr>
              <w:t xml:space="preserve">Signature :</w:t>
            </w:r>
          </w:p>
        </w:tc>
        <w:tc>
          <w:tcPr>
            <w:tcW w:type="dxa" w:w="4513"/>
            <w:tcBorders>
              <w:top w:val="single" w:color="E1E4E8" w:sz="4"/>
              <w:left w:val="single" w:color="E1E4E8" w:sz="4"/>
              <w:bottom w:val="single" w:color="E1E4E8" w:sz="4"/>
              <w:right w:val="single" w:color="E1E4E8" w:sz="4"/>
            </w:tcBorders>
            <w:tcMar>
              <w:top w:type="dxa" w:w="100"/>
              <w:left w:type="dxa" w:w="140"/>
              <w:bottom w:type="dxa" w:w="100"/>
              <w:right w:type="dxa" w:w="140"/>
            </w:tcMar>
            <w:vAlign w:val="center"/>
          </w:tcPr>
          <w:p>
            <w:pPr>
              <w:spacing w:after="40" w:before="80"/>
            </w:pPr>
            <w:r>
              <w:rPr>
                <w:rFonts w:ascii="Poppins" w:cs="Poppins" w:eastAsia="Poppins" w:hAnsi="Poppins"/>
                <w:b/>
                <w:bCs/>
                <w:color w:val="1F2937"/>
                <w:sz w:val="20"/>
                <w:szCs w:val="20"/>
              </w:rPr>
              <w:t xml:space="preserve">Mohamed DIABY</w:t>
            </w:r>
          </w:p>
          <w:p>
            <w:pPr>
              <w:spacing w:after="40" w:before="0"/>
            </w:pPr>
            <w:r>
              <w:rPr>
                <w:rFonts w:ascii="Poppins" w:cs="Poppins" w:eastAsia="Poppins" w:hAnsi="Poppins"/>
                <w:i/>
                <w:iCs/>
                <w:color w:val="374151"/>
                <w:sz w:val="18"/>
                <w:szCs w:val="18"/>
              </w:rPr>
              <w:t xml:space="preserve">Directeur Delivery Unit</w:t>
            </w:r>
          </w:p>
          <w:p>
            <w:pPr>
              <w:spacing w:after="40" w:before="0"/>
            </w:pPr>
            <w:r>
              <w:rPr>
                <w:rFonts w:ascii="Poppins" w:cs="Poppins" w:eastAsia="Poppins" w:hAnsi="Poppins"/>
                <w:i/>
                <w:iCs/>
                <w:color w:val="374151"/>
                <w:sz w:val="18"/>
                <w:szCs w:val="18"/>
              </w:rPr>
              <w:t xml:space="preserve">MCTN</w:t>
            </w:r>
          </w:p>
          <w:p>
            <w:pPr>
              <w:spacing w:after="40" w:before="200"/>
            </w:pPr>
            <w:r>
              <w:rPr>
                <w:rFonts w:ascii="Poppins" w:cs="Poppins" w:eastAsia="Poppins" w:hAnsi="Poppins"/>
                <w:color w:val="1F2937"/>
                <w:sz w:val="18"/>
                <w:szCs w:val="18"/>
              </w:rPr>
              <w:t xml:space="preserve">Date :</w:t>
            </w:r>
          </w:p>
          <w:p>
            <w:pPr>
              <w:spacing w:after="40" w:before="800"/>
            </w:pPr>
            <w:r>
              <w:rPr>
                <w:rFonts w:ascii="Poppins" w:cs="Poppins" w:eastAsia="Poppins" w:hAnsi="Poppins"/>
                <w:color w:val="1F2937"/>
                <w:sz w:val="18"/>
                <w:szCs w:val="18"/>
              </w:rPr>
              <w:t xml:space="preserve">Signature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B68" w:sz="6" w:space="4"/>
      </w:pBdr>
      <w:tabs>
        <w:tab w:val="right" w:pos="9026"/>
      </w:tabs>
    </w:pPr>
    <w:r>
      <w:rPr>
        <w:rFonts w:ascii="Poppins" w:cs="Poppins" w:eastAsia="Poppins" w:hAnsi="Poppins"/>
        <w:i/>
        <w:iCs/>
        <w:color w:val="9CA3AF"/>
        <w:sz w:val="14"/>
        <w:szCs w:val="14"/>
      </w:rPr>
      <w:t xml:space="preserve">Document de travail — cadrage interne</w:t>
    </w:r>
    <w:r>
      <w:rPr>
        <w:rFonts w:ascii="Poppins" w:cs="Poppins" w:eastAsia="Poppins" w:hAnsi="Poppins"/>
        <w:sz w:val="14"/>
        <w:szCs w:val="14"/>
      </w:rPr>
      <w:t xml:space="preserve">	</w:t>
    </w:r>
    <w:r>
      <w:rPr>
        <w:rFonts w:ascii="Poppins" w:cs="Poppins" w:eastAsia="Poppins" w:hAnsi="Poppins"/>
        <w:color w:val="374151"/>
        <w:sz w:val="14"/>
        <w:szCs w:val="14"/>
      </w:rPr>
      <w:t xml:space="preserve">Page </w:t>
    </w:r>
    <w:r>
      <w:rPr>
        <w:rFonts w:ascii="Poppins" w:cs="Poppins" w:eastAsia="Poppins" w:hAnsi="Poppins"/>
        <w:b/>
        <w:bCs/>
        <w:color w:val="374151"/>
        <w:sz w:val="14"/>
        <w:szCs w:val="14"/>
      </w:rPr>
      <w:fldChar w:fldCharType="begin"/>
      <w:instrText xml:space="preserve">PAGE</w:instrText>
      <w:fldChar w:fldCharType="separate"/>
      <w:fldChar w:fldCharType="end"/>
    </w:r>
    <w:r>
      <w:rPr>
        <w:rFonts w:ascii="Poppins" w:cs="Poppins" w:eastAsia="Poppins" w:hAnsi="Poppins"/>
        <w:color w:val="374151"/>
        <w:sz w:val="14"/>
        <w:szCs w:val="14"/>
      </w:rPr>
      <w:t xml:space="preserve"> / </w:t>
    </w:r>
    <w:r>
      <w:rPr>
        <w:rFonts w:ascii="Poppins" w:cs="Poppins" w:eastAsia="Poppins" w:hAnsi="Poppins"/>
        <w:color w:val="374151"/>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B68" w:sz="6" w:space="4"/>
      </w:pBdr>
      <w:tabs>
        <w:tab w:val="right" w:pos="9026"/>
      </w:tabs>
    </w:pPr>
    <w:r>
      <w:rPr>
        <w:rFonts w:ascii="Poppins" w:cs="Poppins" w:eastAsia="Poppins" w:hAnsi="Poppins"/>
        <w:b/>
        <w:bCs/>
        <w:color w:val="0C1F3A"/>
        <w:sz w:val="16"/>
        <w:szCs w:val="16"/>
      </w:rPr>
      <w:t xml:space="preserve">MCTN / DU — Application DPI-INTEROP</w:t>
    </w:r>
    <w:r>
      <w:rPr>
        <w:rFonts w:ascii="Poppins" w:cs="Poppins" w:eastAsia="Poppins" w:hAnsi="Poppins"/>
        <w:sz w:val="16"/>
        <w:szCs w:val="16"/>
      </w:rPr>
      <w:t xml:space="preserve">	</w:t>
    </w:r>
    <w:r>
      <w:rPr>
        <w:rFonts w:ascii="Poppins" w:cs="Poppins" w:eastAsia="Poppins" w:hAnsi="Poppins"/>
        <w:i/>
        <w:iCs/>
        <w:color w:val="374151"/>
        <w:sz w:val="16"/>
        <w:szCs w:val="16"/>
      </w:rPr>
      <w:t xml:space="preserve">Note de conception P8 v0.1 — Catalogue des propositions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Poppins" w:cs="Poppins" w:eastAsia="Poppins" w:hAnsi="Poppins"/>
      <w:b/>
      <w:bCs/>
      <w:color w:val="0C1F3A"/>
      <w:sz w:val="32"/>
      <w:szCs w:val="32"/>
    </w:rPr>
  </w:style>
  <w:style w:type="paragraph" w:styleId="Heading2">
    <w:name w:val="Heading 2"/>
    <w:basedOn w:val="Normal"/>
    <w:next w:val="Normal"/>
    <w:qFormat/>
    <w:pPr>
      <w:spacing w:after="160" w:before="300"/>
      <w:outlineLvl w:val="1"/>
    </w:pPr>
    <w:rPr>
      <w:rFonts w:ascii="Poppins" w:cs="Poppins" w:eastAsia="Poppins" w:hAnsi="Poppins"/>
      <w:b/>
      <w:bCs/>
      <w:color w:val="0A6B68"/>
      <w:sz w:val="26"/>
      <w:szCs w:val="26"/>
    </w:rPr>
  </w:style>
  <w:style w:type="paragraph" w:styleId="Heading3">
    <w:name w:val="Heading 3"/>
    <w:basedOn w:val="Normal"/>
    <w:next w:val="Normal"/>
    <w:qFormat/>
    <w:pPr>
      <w:spacing w:after="120" w:before="240"/>
      <w:outlineLvl w:val="2"/>
    </w:pPr>
    <w:rPr>
      <w:rFonts w:ascii="Poppins" w:cs="Poppins" w:eastAsia="Poppins" w:hAnsi="Poppins"/>
      <w:b/>
      <w:bCs/>
      <w:color w:val="0C1F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2026-04-24T15:25:10.038Z</dcterms:created>
  <dcterms:modified xsi:type="dcterms:W3CDTF">2026-04-24T15:25:10.039Z</dcterms:modified>
</cp:coreProperties>
</file>

<file path=docProps/custom.xml><?xml version="1.0" encoding="utf-8"?>
<Properties xmlns="http://schemas.openxmlformats.org/officeDocument/2006/custom-properties" xmlns:vt="http://schemas.openxmlformats.org/officeDocument/2006/docPropsVTypes"/>
</file>