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NOTE DE CADRAGE — N1</w:t>
            </w:r>
          </w:p>
        </w:tc>
      </w:tr>
    </w:tbl>
    <w:p>
      <w:pPr>
        <w:spacing w:after="60" w:before="60"/>
      </w:pPr>
    </w:p>
    <w:p>
      <w:pPr>
        <w:spacing w:after="120" w:before="200"/>
      </w:pPr>
      <w:r>
        <w:rPr>
          <w:rFonts w:ascii="Poppins" w:cs="Poppins" w:eastAsia="Poppins" w:hAnsi="Poppins"/>
          <w:b/>
          <w:bCs/>
          <w:color w:val="0C1F3A"/>
          <w:sz w:val="34"/>
          <w:szCs w:val="34"/>
        </w:rPr>
        <w:t xml:space="preserve">Nomenclature et migration</w:t>
      </w:r>
    </w:p>
    <w:p>
      <w:pPr>
        <w:spacing w:after="120" w:before="0"/>
      </w:pPr>
      <w:r>
        <w:rPr>
          <w:rFonts w:ascii="Poppins" w:cs="Poppins" w:eastAsia="Poppins" w:hAnsi="Poppins"/>
          <w:b/>
          <w:bCs/>
          <w:color w:val="0A6B68"/>
          <w:sz w:val="28"/>
          <w:szCs w:val="28"/>
        </w:rPr>
        <w:t xml:space="preserve">des cas d'usage PINS</w:t>
      </w:r>
    </w:p>
    <w:p>
      <w:pPr>
        <w:spacing w:after="600" w:before="0"/>
      </w:pPr>
      <w:r>
        <w:rPr>
          <w:rFonts w:ascii="Poppins" w:cs="Poppins" w:eastAsia="Poppins" w:hAnsi="Poppins"/>
          <w:i/>
          <w:iCs/>
          <w:color w:val="374151"/>
          <w:sz w:val="20"/>
          <w:szCs w:val="20"/>
        </w:rPr>
        <w:t xml:space="preserve">Rationalisation de la base avant déploiement pilote — note v0.1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DOCUMENT D'ARCHITECTURE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Référence</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MCTN/DU/APP-DPI-INTEROP/CONC-2026-06</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0.1 — note de cadrage opérationnel</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28 avril 2026</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Validation attendue</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Directeur Delivery Unit</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Phase</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N1 — Cadrage de la nomenclature des cas d'usage</w:t>
            </w:r>
          </w:p>
        </w:tc>
      </w:tr>
      <w:tr>
        <w:tc>
          <w:tcPr>
            <w:tcW w:type="dxa" w:w="28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8"/>
                <w:szCs w:val="18"/>
              </w:rPr>
              <w:t xml:space="preserve">Documents liés</w:t>
            </w:r>
          </w:p>
        </w:tc>
        <w:tc>
          <w:tcPr>
            <w:tcW w:type="dxa" w:w="62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8"/>
                <w:szCs w:val="18"/>
              </w:rPr>
              <w:t xml:space="preserve">CONC-2026-04 (Typologie métier-technique P9), CONC-2026-05 (Articulation des concepts P10)</w:t>
            </w:r>
          </w:p>
        </w:tc>
      </w:tr>
    </w:tbl>
    <w:p>
      <w:r>
        <w:br w:type="page"/>
      </w:r>
    </w:p>
    <w:p>
      <w:pPr>
        <w:pStyle w:val="Heading1"/>
        <w:spacing w:after="200" w:before="400"/>
      </w:pPr>
      <w:r>
        <w:rPr>
          <w:rFonts w:ascii="Poppins" w:cs="Poppins" w:eastAsia="Poppins" w:hAnsi="Poppins"/>
          <w:b/>
          <w:bCs/>
          <w:color w:val="0C1F3A"/>
          <w:sz w:val="32"/>
          <w:szCs w:val="32"/>
        </w:rPr>
        <w:t xml:space="preserve">1. Constat de la situation actuelle</w:t>
      </w:r>
    </w:p>
    <w:p>
      <w:pPr>
        <w:pStyle w:val="Heading2"/>
        <w:spacing w:after="160" w:before="300"/>
      </w:pPr>
      <w:r>
        <w:rPr>
          <w:rFonts w:ascii="Poppins" w:cs="Poppins" w:eastAsia="Poppins" w:hAnsi="Poppins"/>
          <w:b/>
          <w:bCs/>
          <w:color w:val="0A6B68"/>
          <w:sz w:val="26"/>
          <w:szCs w:val="26"/>
        </w:rPr>
        <w:t xml:space="preserve">1.1 Une base hétérogène héritée</w:t>
      </w:r>
    </w:p>
    <w:p>
      <w:pPr>
        <w:spacing w:after="80" w:before="80" w:line="300"/>
        <w:jc w:val="both"/>
      </w:pPr>
      <w:r>
        <w:rPr>
          <w:rFonts w:ascii="Poppins" w:cs="Poppins" w:eastAsia="Poppins" w:hAnsi="Poppins"/>
          <w:color w:val="1F2937"/>
          <w:sz w:val="20"/>
          <w:szCs w:val="20"/>
        </w:rPr>
        <w:t xml:space="preserve">Au moment de la présente note, la table cas_usage_mvp de la plateforme contient 57 cas d'usage répartis selon sept conventions de codification différentes. Cette hétérogénéité est le résultat d'une accumulation historique : chaque vague de travail (MVP 1.0, MVP 2.0, exploration Vue 360°, propositions de démo, demandes GIZ, flux historiques) a introduit son propre préfixe sans coordination préalable.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rPr>
          <w:tblHeader/>
        </w:trPr>
        <w:tc>
          <w:tcPr>
            <w:tcW w:type="dxa" w:w="22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Préfixe</w:t>
            </w:r>
          </w:p>
        </w:tc>
        <w:tc>
          <w:tcPr>
            <w:tcW w:type="dxa" w:w="10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center"/>
            </w:pPr>
            <w:r>
              <w:rPr>
                <w:rFonts w:ascii="Poppins" w:cs="Poppins" w:eastAsia="Poppins" w:hAnsi="Poppins"/>
                <w:b/>
                <w:bCs/>
                <w:color w:val="FFFFFF"/>
                <w:sz w:val="18"/>
                <w:szCs w:val="18"/>
              </w:rPr>
              <w:t xml:space="preserve">Nombre</w:t>
            </w:r>
          </w:p>
        </w:tc>
        <w:tc>
          <w:tcPr>
            <w:tcW w:type="dxa" w:w="58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Origine</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MVP1-CU-</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2</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MVP 1.0 — financés JICA, en test technique</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MVP2-CU-</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7</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MVP 2.0 — cibles MVP 2.0 identifiées</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HIST-</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12</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Flux historiques manuels existants entre administrations</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XRN-CU-</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14</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Nomenclature antérieure X-Road National</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UC-GIZ-FIN-</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8</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Demandes spécifiques GIZ Finances Publiques</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PINS-CU-</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4</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Saisies de la phase Vue 360° (P1 à P9)</w:t>
            </w:r>
          </w:p>
        </w:tc>
      </w:tr>
      <w:tr>
        <w:tc>
          <w:tcPr>
            <w:tcW w:type="dxa" w:w="22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PINS-PROP-DEMO-</w:t>
            </w:r>
          </w:p>
        </w:tc>
        <w:tc>
          <w:tcPr>
            <w:tcW w:type="dxa" w:w="1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10</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Propositions de démonstration produites le 23 avril 2026</w:t>
            </w:r>
          </w:p>
        </w:tc>
      </w:tr>
      <w:tr>
        <w:tc>
          <w:tcPr>
            <w:tcW w:type="dxa" w:w="22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7"/>
                <w:szCs w:val="17"/>
              </w:rPr>
              <w:t xml:space="preserve">Total</w:t>
            </w:r>
          </w:p>
        </w:tc>
        <w:tc>
          <w:tcPr>
            <w:tcW w:type="dxa" w:w="10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center"/>
            </w:pPr>
            <w:r>
              <w:rPr>
                <w:rFonts w:ascii="Poppins" w:cs="Poppins" w:eastAsia="Poppins" w:hAnsi="Poppins"/>
                <w:b/>
                <w:bCs/>
                <w:color w:val="C55A18"/>
                <w:sz w:val="17"/>
                <w:szCs w:val="17"/>
              </w:rPr>
              <w:t xml:space="preserve">57</w:t>
            </w:r>
          </w:p>
        </w:tc>
        <w:tc>
          <w:tcPr>
            <w:tcW w:type="dxa" w:w="5826"/>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
            </w:r>
          </w:p>
        </w:tc>
      </w:tr>
    </w:tbl>
    <w:p>
      <w:pPr>
        <w:pStyle w:val="Heading2"/>
        <w:spacing w:after="160" w:before="300"/>
      </w:pPr>
      <w:r>
        <w:rPr>
          <w:rFonts w:ascii="Poppins" w:cs="Poppins" w:eastAsia="Poppins" w:hAnsi="Poppins"/>
          <w:b/>
          <w:bCs/>
          <w:color w:val="0A6B68"/>
          <w:sz w:val="26"/>
          <w:szCs w:val="26"/>
        </w:rPr>
        <w:t xml:space="preserve">1.2 Trois symptômes de désorganisation</w:t>
      </w:r>
    </w:p>
    <w:p>
      <w:pPr>
        <w:pStyle w:val="Heading3"/>
        <w:spacing w:after="120" w:before="240"/>
      </w:pPr>
      <w:r>
        <w:rPr>
          <w:rFonts w:ascii="Poppins" w:cs="Poppins" w:eastAsia="Poppins" w:hAnsi="Poppins"/>
          <w:b/>
          <w:bCs/>
          <w:color w:val="0C1F3A"/>
          <w:sz w:val="22"/>
          <w:szCs w:val="22"/>
        </w:rPr>
        <w:t xml:space="preserve">1.2.1 Doublons fonctionnels massifs</w:t>
      </w:r>
    </w:p>
    <w:p>
      <w:pPr>
        <w:spacing w:after="80" w:before="80" w:line="300"/>
        <w:jc w:val="both"/>
      </w:pPr>
      <w:r>
        <w:rPr>
          <w:rFonts w:ascii="Poppins" w:cs="Poppins" w:eastAsia="Poppins" w:hAnsi="Poppins"/>
          <w:color w:val="1F2937"/>
          <w:sz w:val="20"/>
          <w:szCs w:val="20"/>
        </w:rPr>
        <w:t xml:space="preserve">Au moins neuf doublons fonctionnels ont été identifiés dans la base actuelle. Le cas le plus emblématique est l'exposition des déclarations douanières via Douanes.GetDeclarations qui apparaît trois fois sous les codes MVP1-CU-02, PINS-CU-011 et UC-GIZ-FIN-01, chacun rattaché à un statut différent. La réconciliation des recettes douanières et du Trésor apparaît également trois fois sous MVP2-CU-01, XRN-CU-10 et HIST-02. Ces doublons ne sont pas des erreurs ponctuelles : ils traduisent l'absence d'un mécanisme de déduplication à l'introduction d'un nouveau cas dans la base.</w:t>
      </w:r>
    </w:p>
    <w:p>
      <w:pPr>
        <w:pStyle w:val="Heading3"/>
        <w:spacing w:after="120" w:before="240"/>
      </w:pPr>
      <w:r>
        <w:rPr>
          <w:rFonts w:ascii="Poppins" w:cs="Poppins" w:eastAsia="Poppins" w:hAnsi="Poppins"/>
          <w:b/>
          <w:bCs/>
          <w:color w:val="0C1F3A"/>
          <w:sz w:val="22"/>
          <w:szCs w:val="22"/>
        </w:rPr>
        <w:t xml:space="preserve">1.2.2 Absence de logique de codification</w:t>
      </w:r>
    </w:p>
    <w:p>
      <w:pPr>
        <w:spacing w:after="80" w:before="80" w:line="300"/>
        <w:jc w:val="both"/>
      </w:pPr>
      <w:r>
        <w:rPr>
          <w:rFonts w:ascii="Poppins" w:cs="Poppins" w:eastAsia="Poppins" w:hAnsi="Poppins"/>
          <w:color w:val="1F2937"/>
          <w:sz w:val="20"/>
          <w:szCs w:val="20"/>
        </w:rPr>
        <w:t xml:space="preserve">Les sept préfixes en présence mélangent trois critères de classification incompatibles : l'origine financière (UC-GIZ-FIN), l'origine technique (XRN, MVP1, MVP2) et l'origine fonctionnelle (HIST, PINS-CU, PINS-PROP-DEMO). À la lecture d'un code, il est impossible de savoir si l'on se trouve face à un cas d'usage métier ou technique, ni de mesurer son degré de maturité opérationnelle.</w:t>
      </w:r>
    </w:p>
    <w:p>
      <w:pPr>
        <w:pStyle w:val="Heading3"/>
        <w:spacing w:after="120" w:before="240"/>
      </w:pPr>
      <w:r>
        <w:rPr>
          <w:rFonts w:ascii="Poppins" w:cs="Poppins" w:eastAsia="Poppins" w:hAnsi="Poppins"/>
          <w:b/>
          <w:bCs/>
          <w:color w:val="0C1F3A"/>
          <w:sz w:val="22"/>
          <w:szCs w:val="22"/>
        </w:rPr>
        <w:t xml:space="preserve">1.2.3 Pollution par les propositions de démonstration</w:t>
      </w:r>
    </w:p>
    <w:p>
      <w:pPr>
        <w:spacing w:after="80" w:before="80" w:line="300"/>
        <w:jc w:val="both"/>
      </w:pPr>
      <w:r>
        <w:rPr>
          <w:rFonts w:ascii="Poppins" w:cs="Poppins" w:eastAsia="Poppins" w:hAnsi="Poppins"/>
          <w:color w:val="1F2937"/>
          <w:sz w:val="20"/>
          <w:szCs w:val="20"/>
        </w:rPr>
        <w:t xml:space="preserve">Les dix codes du préfixe PINS-PROP-DEMO-* ont été produits le 23 avril 2026 dans le cadre de la session de travail M. Diaby. Ces propositions, par nature exploratoires, occupent aujourd'hui le même espace de la base que les cas d'usage opérationnels matures. Cette indistinction nuit à la lisibilité du portefeuille et expose au risque qu'un acteur extérieur prenne une démonstration pour un engagement opérationnel.</w:t>
      </w:r>
    </w:p>
    <w:p>
      <w:pPr>
        <w:pStyle w:val="Heading2"/>
        <w:spacing w:after="160" w:before="300"/>
      </w:pPr>
      <w:r>
        <w:rPr>
          <w:rFonts w:ascii="Poppins" w:cs="Poppins" w:eastAsia="Poppins" w:hAnsi="Poppins"/>
          <w:b/>
          <w:bCs/>
          <w:color w:val="0A6B68"/>
          <w:sz w:val="26"/>
          <w:szCs w:val="26"/>
        </w:rPr>
        <w:t xml:space="preserve">1.3 Enjeu de la rationalisation</w:t>
      </w:r>
    </w:p>
    <w:p>
      <w:pPr>
        <w:spacing w:after="80" w:before="80" w:line="300"/>
        <w:jc w:val="both"/>
      </w:pPr>
      <w:r>
        <w:rPr>
          <w:rFonts w:ascii="Poppins" w:cs="Poppins" w:eastAsia="Poppins" w:hAnsi="Poppins"/>
          <w:color w:val="1F2937"/>
          <w:sz w:val="20"/>
          <w:szCs w:val="20"/>
        </w:rPr>
        <w:t xml:space="preserve">La présente note intervient à un moment charnière. Aucune institution pilote n'est encore connectée à la plateforme. Les déploiements futurs vont s'appuyer sur la base existante comme référence. Si la base n'est pas rationalisée maintenant, chaque institution pilote héritera de l'hétérogénéité et la perpétuera, voire l'aggravera. Une rationalisation différée coûtera dix fois plus cher qu'une rationalisation immédiate.</w:t>
      </w:r>
    </w:p>
    <w:p>
      <w:pPr>
        <w:spacing w:after="80" w:before="80" w:line="300"/>
        <w:jc w:val="both"/>
      </w:pPr>
      <w:r>
        <w:rPr>
          <w:rFonts w:ascii="Poppins" w:cs="Poppins" w:eastAsia="Poppins" w:hAnsi="Poppins"/>
          <w:color w:val="1F2937"/>
          <w:sz w:val="20"/>
          <w:szCs w:val="20"/>
        </w:rPr>
        <w:t xml:space="preserve">Le présent cadrage propose donc une nomenclature cible cohérente, une matrice de migration des cas existants vers cette nomenclature, et un plan d'action en trois étapes pour mener cette rationalisation avant tout déploiement pilote.</w:t>
      </w:r>
    </w:p>
    <w:p>
      <w:r>
        <w:br w:type="page"/>
      </w:r>
    </w:p>
    <w:p>
      <w:pPr>
        <w:pStyle w:val="Heading1"/>
        <w:spacing w:after="200" w:before="400"/>
      </w:pPr>
      <w:r>
        <w:rPr>
          <w:rFonts w:ascii="Poppins" w:cs="Poppins" w:eastAsia="Poppins" w:hAnsi="Poppins"/>
          <w:b/>
          <w:bCs/>
          <w:color w:val="0C1F3A"/>
          <w:sz w:val="32"/>
          <w:szCs w:val="32"/>
        </w:rPr>
        <w:t xml:space="preserve">2. Nomenclature cible</w:t>
      </w:r>
    </w:p>
    <w:p>
      <w:pPr>
        <w:pStyle w:val="Heading2"/>
        <w:spacing w:after="160" w:before="300"/>
      </w:pPr>
      <w:r>
        <w:rPr>
          <w:rFonts w:ascii="Poppins" w:cs="Poppins" w:eastAsia="Poppins" w:hAnsi="Poppins"/>
          <w:b/>
          <w:bCs/>
          <w:color w:val="0A6B68"/>
          <w:sz w:val="26"/>
          <w:szCs w:val="26"/>
        </w:rPr>
        <w:t xml:space="preserve">2.1 Principe directeur</w:t>
      </w:r>
    </w:p>
    <w:p>
      <w:pPr>
        <w:spacing w:after="80" w:before="80" w:line="300"/>
        <w:jc w:val="both"/>
      </w:pPr>
      <w:r>
        <w:rPr>
          <w:rFonts w:ascii="Poppins" w:cs="Poppins" w:eastAsia="Poppins" w:hAnsi="Poppins"/>
          <w:color w:val="1F2937"/>
          <w:sz w:val="20"/>
          <w:szCs w:val="20"/>
        </w:rPr>
        <w:t xml:space="preserve">La nomenclature cible repose sur un principe simple. Tous les cas d'usage du PINS partagent un préfixe institutionnel commun, suivi d'un identifiant typologique (TECH ou METIER) selon la typologie introduite en phase P9, et complété par une numérotation séquentielle continue.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Format de code</w:t>
            </w:r>
          </w:p>
        </w:tc>
        <w:tc>
          <w:tcPr>
            <w:tcW w:type="dxa" w:w="58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Sémantique</w:t>
            </w:r>
          </w:p>
        </w:tc>
      </w:tr>
      <w:tr>
        <w:tc>
          <w:tcPr>
            <w:tcW w:type="dxa" w:w="32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20"/>
                <w:szCs w:val="20"/>
              </w:rPr>
              <w:t xml:space="preserve">PINS-TECH-XXXX</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Service technique d'échange de données entre deux administrations. Capacité maximale de 9 999 services techniques.</w:t>
            </w:r>
          </w:p>
        </w:tc>
      </w:tr>
      <w:tr>
        <w:tc>
          <w:tcPr>
            <w:tcW w:type="dxa" w:w="3200"/>
            <w:tcBorders>
              <w:top w:val="single" w:color="E1E4E8" w:sz="4"/>
              <w:left w:val="single" w:color="E1E4E8" w:sz="4"/>
              <w:bottom w:val="single" w:color="E1E4E8" w:sz="4"/>
              <w:right w:val="single" w:color="E1E4E8" w:sz="4"/>
            </w:tcBorders>
            <w:shd w:fill="FBEFCE"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20"/>
                <w:szCs w:val="20"/>
              </w:rPr>
              <w:t xml:space="preserve">PINS-METIER-XXX</w:t>
            </w:r>
          </w:p>
        </w:tc>
        <w:tc>
          <w:tcPr>
            <w:tcW w:type="dxa" w:w="58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Parcours métier multi-administrations orienté bénéficiaire. Capacité maximale de 999 parcours métier.</w:t>
            </w:r>
          </w:p>
        </w:tc>
      </w:tr>
    </w:tbl>
    <w:p>
      <w:pPr>
        <w:spacing w:after="80" w:before="80" w:line="300"/>
        <w:jc w:val="both"/>
      </w:pPr>
      <w:r>
        <w:rPr>
          <w:rFonts w:ascii="Poppins" w:cs="Poppins" w:eastAsia="Poppins" w:hAnsi="Poppins"/>
          <w:color w:val="1F2937"/>
          <w:sz w:val="20"/>
          <w:szCs w:val="20"/>
        </w:rPr>
        <w:t xml:space="preserve">Le choix d'un suffixe à quatre chiffres pour les services techniques anticipe la cardinalité plus élevée que la cardinalité des parcours métier. Un parcours métier mobilise typiquement entre cinq et quinze services techniques sous-jacents, ce qui justifie cette asymétrie de capacité.</w:t>
      </w:r>
    </w:p>
    <w:p>
      <w:pPr>
        <w:pStyle w:val="Heading2"/>
        <w:spacing w:after="160" w:before="300"/>
      </w:pPr>
      <w:r>
        <w:rPr>
          <w:rFonts w:ascii="Poppins" w:cs="Poppins" w:eastAsia="Poppins" w:hAnsi="Poppins"/>
          <w:b/>
          <w:bCs/>
          <w:color w:val="0A6B68"/>
          <w:sz w:val="26"/>
          <w:szCs w:val="26"/>
        </w:rPr>
        <w:t xml:space="preserve">2.2 Articulation avec la cardinalité réelle</w:t>
      </w:r>
    </w:p>
    <w:p>
      <w:pPr>
        <w:spacing w:after="80" w:before="80" w:line="300"/>
        <w:jc w:val="both"/>
      </w:pPr>
      <w:r>
        <w:rPr>
          <w:rFonts w:ascii="Poppins" w:cs="Poppins" w:eastAsia="Poppins" w:hAnsi="Poppins"/>
          <w:color w:val="1F2937"/>
          <w:sz w:val="20"/>
          <w:szCs w:val="20"/>
        </w:rPr>
        <w:t xml:space="preserve">Le portail e-senegal.sn recense aujourd'hui plus de sept mille démarches administratives sénégalaises. Cette cardinalité importante ne se traduit pas en sept mille parcours PINS-METIER. La plateforme PINS n'a pas vocation à orchestrer toutes les démarches : elle orchestre les parcours qui mobilisent au moins deux administrations distinctes pour aboutir au service rendu, et que la Delivery Unit choisit de prendre en charge.</w:t>
      </w:r>
    </w:p>
    <w:p>
      <w:pPr>
        <w:spacing w:after="80" w:before="80" w:line="300"/>
        <w:jc w:val="both"/>
      </w:pPr>
      <w:r>
        <w:rPr>
          <w:rFonts w:ascii="Poppins" w:cs="Poppins" w:eastAsia="Poppins" w:hAnsi="Poppins"/>
          <w:color w:val="1F2937"/>
          <w:sz w:val="20"/>
          <w:szCs w:val="20"/>
        </w:rPr>
        <w:t xml:space="preserve">À l'horizon de la trajectoire PINS, la Delivery Unit estime entre trente et cent parcours métier prioritaires, avec deux à trois cents services techniques sous-jacents. Cette cardinalité s'inscrit largement dans les capacités offertes par la nomenclature à quatre chiffres.</w:t>
      </w:r>
    </w:p>
    <w:p>
      <w:pPr>
        <w:pStyle w:val="Heading2"/>
        <w:spacing w:after="160" w:before="300"/>
      </w:pPr>
      <w:r>
        <w:rPr>
          <w:rFonts w:ascii="Poppins" w:cs="Poppins" w:eastAsia="Poppins" w:hAnsi="Poppins"/>
          <w:b/>
          <w:bCs/>
          <w:color w:val="0A6B68"/>
          <w:sz w:val="26"/>
          <w:szCs w:val="26"/>
        </w:rPr>
        <w:t xml:space="preserve">2.3 Lexique des verbes d'échange pour les services techniques</w:t>
      </w:r>
    </w:p>
    <w:p>
      <w:pPr>
        <w:spacing w:after="80" w:before="80" w:line="300"/>
        <w:jc w:val="both"/>
      </w:pPr>
      <w:r>
        <w:rPr>
          <w:rFonts w:ascii="Poppins" w:cs="Poppins" w:eastAsia="Poppins" w:hAnsi="Poppins"/>
          <w:color w:val="1F2937"/>
          <w:sz w:val="20"/>
          <w:szCs w:val="20"/>
        </w:rPr>
        <w:t xml:space="preserve">Au-delà du code, le titre d'un service technique doit être lisible dès la première lecture. La présente note introduit un lexique de verbes d'échange standardisés que tout titre de PINS-TECH-XXXX doit utiliser comme premier mot. Ce lexique reflète la diversité des modes d'interaction techniques et facilite la classification spontanée des services.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Verbe</w:t>
            </w:r>
          </w:p>
        </w:tc>
        <w:tc>
          <w:tcPr>
            <w:tcW w:type="dxa" w:w="30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Sémantique</w:t>
            </w:r>
          </w:p>
        </w:tc>
        <w:tc>
          <w:tcPr>
            <w:tcW w:type="dxa" w:w="40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Exemple de titre</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Consultation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Lecture d'une donnée détenue par un Tiers, sans modification</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Consultation NINEA pour contrôle fiscal</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Vérification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Validation d'un statut ou d'une condition auprès d'un Tiers</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Vérification d'éligibilité sociale auprès du RNU</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Notification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Information envoyée à un Tiers à l'issue d'un événement</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Notification de paiement de pension IPRES</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Transmission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Envoi structuré d'un ensemble de données vers un Tiers</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projets agréés APIX vers les Douanes</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Réconciliation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Échange croisé bidirectionnel pour cohérence</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Réconciliation fiscale DGD ↔ DGID</w:t>
            </w:r>
          </w:p>
        </w:tc>
      </w:tr>
      <w:tr>
        <w:tc>
          <w:tcPr>
            <w:tcW w:type="dxa" w:w="20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Alimentation</w:t>
            </w:r>
          </w:p>
        </w:tc>
        <w:tc>
          <w:tcPr>
            <w:tcW w:type="dxa" w:w="30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Mise à jour récurrente d'un référentiel à partir d'un Tiers</w:t>
            </w:r>
          </w:p>
        </w:tc>
        <w:tc>
          <w:tcPr>
            <w:tcW w:type="dxa" w:w="40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NINEA depuis registre RCCM</w:t>
            </w:r>
          </w:p>
        </w:tc>
      </w:tr>
    </w:tbl>
    <w:p>
      <w:pPr>
        <w:spacing w:after="80" w:before="80" w:line="300"/>
        <w:jc w:val="both"/>
      </w:pPr>
      <w:r>
        <w:rPr>
          <w:rFonts w:ascii="Poppins" w:cs="Poppins" w:eastAsia="Poppins" w:hAnsi="Poppins"/>
          <w:color w:val="1F2937"/>
          <w:sz w:val="20"/>
          <w:szCs w:val="20"/>
        </w:rPr>
        <w:t xml:space="preserve">Cette convention de titre n'est pas exclusive — un service technique peut combiner plusieurs verbes d'échange. Elle constitue une orientation forte pour rendre le catalogue des services techniques lisible à la première lecture, notamment dans le contexte d'une consultation par un Tiers (institution coordinatrice qui consulte le catalogue pour identifier les services qu'elle pourrait mobiliser dans un parcours métier).</w:t>
      </w:r>
    </w:p>
    <w:p>
      <w:pPr>
        <w:pStyle w:val="Heading2"/>
        <w:spacing w:after="160" w:before="300"/>
      </w:pPr>
      <w:r>
        <w:rPr>
          <w:rFonts w:ascii="Poppins" w:cs="Poppins" w:eastAsia="Poppins" w:hAnsi="Poppins"/>
          <w:b/>
          <w:bCs/>
          <w:color w:val="0A6B68"/>
          <w:sz w:val="26"/>
          <w:szCs w:val="26"/>
        </w:rPr>
        <w:t xml:space="preserve">2.4 Champ codeHistorique pour traçabilité</w:t>
      </w:r>
    </w:p>
    <w:p>
      <w:pPr>
        <w:spacing w:after="80" w:before="80" w:line="300"/>
        <w:jc w:val="both"/>
      </w:pPr>
      <w:r>
        <w:rPr>
          <w:rFonts w:ascii="Poppins" w:cs="Poppins" w:eastAsia="Poppins" w:hAnsi="Poppins"/>
          <w:color w:val="1F2937"/>
          <w:sz w:val="20"/>
          <w:szCs w:val="20"/>
        </w:rPr>
        <w:t xml:space="preserve">Pour préserver la mémoire des codes antérieurs après migration, le modèle CasUsageMVP doit être enrichi d'un champ optionnel codeHistorique de type texte. Ce champ contiendra l'ancien code (par exemple MVP1-CU-02) sous forme de chaîne, séparé par des virgules en cas de fusion de plusieurs cas en un seul. Aucun cas migré ne doit perdre la trace de son origine. Les liens externes pré-existants vers les anciens codes pourront être redirigés grâce à ce champ.</w:t>
      </w:r>
    </w:p>
    <w:p>
      <w:r>
        <w:br w:type="page"/>
      </w:r>
    </w:p>
    <w:p>
      <w:pPr>
        <w:pStyle w:val="Heading1"/>
        <w:spacing w:after="200" w:before="400"/>
      </w:pPr>
      <w:r>
        <w:rPr>
          <w:rFonts w:ascii="Poppins" w:cs="Poppins" w:eastAsia="Poppins" w:hAnsi="Poppins"/>
          <w:b/>
          <w:bCs/>
          <w:color w:val="0C1F3A"/>
          <w:sz w:val="32"/>
          <w:szCs w:val="32"/>
        </w:rPr>
        <w:t xml:space="preserve">3. Matrice de migration</w:t>
      </w:r>
    </w:p>
    <w:p>
      <w:pPr>
        <w:pStyle w:val="Heading2"/>
        <w:spacing w:after="160" w:before="300"/>
      </w:pPr>
      <w:r>
        <w:rPr>
          <w:rFonts w:ascii="Poppins" w:cs="Poppins" w:eastAsia="Poppins" w:hAnsi="Poppins"/>
          <w:b/>
          <w:bCs/>
          <w:color w:val="0A6B68"/>
          <w:sz w:val="26"/>
          <w:szCs w:val="26"/>
        </w:rPr>
        <w:t xml:space="preserve">3.1 Principes de la matrice</w:t>
      </w:r>
    </w:p>
    <w:p>
      <w:pPr>
        <w:spacing w:after="80" w:before="80" w:line="300"/>
        <w:jc w:val="both"/>
      </w:pPr>
      <w:r>
        <w:rPr>
          <w:rFonts w:ascii="Poppins" w:cs="Poppins" w:eastAsia="Poppins" w:hAnsi="Poppins"/>
          <w:color w:val="1F2937"/>
          <w:sz w:val="20"/>
          <w:szCs w:val="20"/>
        </w:rPr>
        <w:t xml:space="preserve">La matrice présentée dans cette section couvre les 57 cas d'usage actuels. Pour chaque cas, elle indique le code cible, l'action de migration requise (RENOMMER, FUSIONNER, RECLASSER, ARCHIVER), la typologie cible selon la phase P9 (TECH ou METIER), et le commentaire qualifiant la décision.</w:t>
      </w:r>
    </w:p>
    <w:p>
      <w:pPr>
        <w:spacing w:after="80" w:before="80" w:line="300"/>
        <w:jc w:val="both"/>
      </w:pPr>
      <w:r>
        <w:rPr>
          <w:rFonts w:ascii="Poppins" w:cs="Poppins" w:eastAsia="Poppins" w:hAnsi="Poppins"/>
          <w:color w:val="1F2937"/>
          <w:sz w:val="20"/>
          <w:szCs w:val="20"/>
        </w:rPr>
        <w:t xml:space="preserve">Trois familles d'actions structurent la migration. RENOMMER conserve le cas et lui attribue un nouveau code. FUSIONNER absorbe le cas dans un autre cas plus institutionnel et bascule ses parties prenantes vers le cas absorbant. RECLASSER fait basculer un cas issu de PINS-PROP-DEMO vers le statut PROPOSE du catalogue P8 ou vers une typologie différente. ARCHIVER place le cas en statut ARCHIVE pour mémoire sans le supprimer.</w:t>
      </w:r>
    </w:p>
    <w:p>
      <w:pPr>
        <w:pStyle w:val="Heading2"/>
        <w:spacing w:after="160" w:before="300"/>
      </w:pPr>
      <w:r>
        <w:rPr>
          <w:rFonts w:ascii="Poppins" w:cs="Poppins" w:eastAsia="Poppins" w:hAnsi="Poppins"/>
          <w:b/>
          <w:bCs/>
          <w:color w:val="0A6B68"/>
          <w:sz w:val="26"/>
          <w:szCs w:val="26"/>
        </w:rPr>
        <w:t xml:space="preserve">3.2 Cas d'usage techniques en service ou en test</w:t>
      </w:r>
    </w:p>
    <w:p>
      <w:pPr>
        <w:spacing w:after="80" w:before="80" w:line="300"/>
        <w:jc w:val="both"/>
      </w:pPr>
      <w:r>
        <w:rPr>
          <w:rFonts w:ascii="Poppins" w:cs="Poppins" w:eastAsia="Poppins" w:hAnsi="Poppins"/>
          <w:color w:val="1F2937"/>
          <w:sz w:val="20"/>
          <w:szCs w:val="20"/>
        </w:rPr>
        <w:t xml:space="preserve">Cette catégorie regroupe les neuf cas d'usage déjà engagés opérationnellement, qu'ils soient en test technique sur le MVP 1.0, en préparation pour le MVP 2.0, ou en déploiement institutionnel actif.</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actuel</w:t>
            </w:r>
          </w:p>
        </w:tc>
        <w:tc>
          <w:tcPr>
            <w:tcW w:type="dxa" w:w="24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cible</w:t>
            </w:r>
          </w:p>
        </w:tc>
        <w:tc>
          <w:tcPr>
            <w:tcW w:type="dxa" w:w="43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Titre cible</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MVP1-CU-01</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PINS-TECH-0001</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Vérification d'éligibilité aux programmes de protection sociale via RNU</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6"/>
                <w:szCs w:val="16"/>
              </w:rPr>
              <w:t xml:space="preserve">MVP1-CU-02 + PINS-CU-011 + UC-GIZ-FIN-01</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PINS-TECH-0002</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Consultation des déclarations douanières via Douanes.GetDeclarations</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XRN-CU-20</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PINS-TECH-0003</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Infrastructure d'authentification et de signature PKI nationale</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6"/>
                <w:szCs w:val="16"/>
              </w:rPr>
              <w:t xml:space="preserve">MVP2-CU-04 + UC-GIZ-FIN-05</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PINS-TECH-0004</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Consultation NINEA pour contrôles inter-administrations</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MVP2-CU-05</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PINS-TECH-0005</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projets agréés APIX vers les Douanes</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6"/>
                <w:szCs w:val="16"/>
              </w:rPr>
              <w:t xml:space="preserve">MVP2-CU-01 + XRN-CU-10 + HIST-02</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PINS-TECH-0006</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Réconciliation des recettes douanières et trésor public</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UC-GIZ-FIN-03</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PINS-TECH-0007</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Vérification du quitus fiscal en temps réel</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UC-GIZ-FIN-02</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PINS-TECH-0008</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Cycle complet douanier liquidation, recouvrement et bon à enlever</w:t>
            </w:r>
          </w:p>
        </w:tc>
      </w:tr>
      <w:tr>
        <w:tc>
          <w:tcPr>
            <w:tcW w:type="dxa" w:w="23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PINS-CU-008</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PINS-TECH-0009</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Réconciliation fiscale DGCPT vers DGID</w:t>
            </w:r>
          </w:p>
        </w:tc>
      </w:tr>
    </w:tbl>
    <w:p>
      <w:pPr>
        <w:pStyle w:val="Heading2"/>
        <w:spacing w:after="160" w:before="300"/>
      </w:pPr>
      <w:r>
        <w:rPr>
          <w:rFonts w:ascii="Poppins" w:cs="Poppins" w:eastAsia="Poppins" w:hAnsi="Poppins"/>
          <w:b/>
          <w:bCs/>
          <w:color w:val="0A6B68"/>
          <w:sz w:val="26"/>
          <w:szCs w:val="26"/>
        </w:rPr>
        <w:t xml:space="preserve">3.3 Cas d'usage techniques flux historiques institutionnels</w:t>
      </w:r>
    </w:p>
    <w:p>
      <w:pPr>
        <w:spacing w:after="80" w:before="80" w:line="300"/>
        <w:jc w:val="both"/>
      </w:pPr>
      <w:r>
        <w:rPr>
          <w:rFonts w:ascii="Poppins" w:cs="Poppins" w:eastAsia="Poppins" w:hAnsi="Poppins"/>
          <w:color w:val="1F2937"/>
          <w:sz w:val="20"/>
          <w:szCs w:val="20"/>
        </w:rPr>
        <w:t xml:space="preserve">Cette catégorie regroupe les douze cas du préfixe HIST et les flux institutionnels conservés du préfixe XRN-CU. Ils représentent l'existant manuel ou semi-manuel à digitaliser via le PINS. Le tableau ci-dessous établit la migration en tenant compte des fusions identifiées en section 3.2 ; les codes XRN-CU déjà fusionnés ne sont pas réinscrits ici.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actuel</w:t>
            </w:r>
          </w:p>
        </w:tc>
        <w:tc>
          <w:tcPr>
            <w:tcW w:type="dxa" w:w="24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cible</w:t>
            </w:r>
          </w:p>
        </w:tc>
        <w:tc>
          <w:tcPr>
            <w:tcW w:type="dxa" w:w="43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Titre cible</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HIST-01</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PINS-TECH-0010</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import-export par contribuable des Douanes vers la DGID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HIST-04</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PINS-TECH-0011</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du fichier des entreprises CGE de la DGID vers les Douanes</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C55A18"/>
                <w:sz w:val="16"/>
                <w:szCs w:val="16"/>
              </w:rPr>
              <w:t xml:space="preserve">HIST-05 + XRN-CU-14</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PINS-TECH-0012</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rôles d'impôts de la DGID vers le Trésor</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HIST-06</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PINS-TECH-0013</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Mise à jour des informations NINEA depuis la DGID vers l'ANSD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HIST-07</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PINS-TECH-0014</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quittances du Trésor vers la DGID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HIST-08</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PINS-TECH-0015</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 l'état des recouvrements du Trésor vers les Douanes</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HIST-09</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PINS-TECH-0016</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du TOFE depuis le Trésor vers la DGF</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HIST-10</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PINS-TECH-0017</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du fichier NINEA vers la DGID</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C55A18"/>
                <w:sz w:val="16"/>
                <w:szCs w:val="16"/>
              </w:rPr>
              <w:t xml:space="preserve">HIST-11 + XRN-CU-05</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PINS-TECH-0018</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du fichier NINEA vers les Douanes</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HIST-12</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PINS-TECH-0019</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du fichier NINEA vers le Trésor</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C55A18"/>
                <w:sz w:val="16"/>
                <w:szCs w:val="16"/>
              </w:rPr>
              <w:t xml:space="preserve">HIST-03 + XRN-CU-16</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PINS-TECH-0020</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statistiques du commerce extérieur des Douanes vers l'ANSD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XRN-CU-08</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PINS-TECH-0021</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informations RCCM du Greffe vers l'ANSD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XRN-CU-13</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PINS-TECH-0022</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informations RNU vers la Couverture Maladie Universelle</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XRN-CU-06</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PINS-TECH-0023</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Vérification de l'état civil auprès de l'ANEC pour les contrôles fiscaux</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XRN-CU-07</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PINS-TECH-0024</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Consultation du casier judiciaire CNCJ pour les inscriptions RCCM</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XRN-CU-09</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PINS-TECH-0025</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données sociales IPRES vers la CSS</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XRN-CU-15</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PINS-TECH-0026</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Suivi de l'exécution budgétaire du Trésor vers la DGB</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XRN-CU-17</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PINS-TECH-0027</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données foncières NICAD du DCAD vers la DGID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XRN-CU-18</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PINS-TECH-0028</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des données des marchés publics ARCOP vers le Trésor</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XRN-CU-19</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PINS-TECH-0029</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Transmission du fichier électoral DAF vers la DGE-ELEC</w:t>
            </w:r>
          </w:p>
        </w:tc>
      </w:tr>
    </w:tbl>
    <w:p>
      <w:pPr>
        <w:pStyle w:val="Heading2"/>
        <w:spacing w:after="160" w:before="300"/>
      </w:pPr>
      <w:r>
        <w:rPr>
          <w:rFonts w:ascii="Poppins" w:cs="Poppins" w:eastAsia="Poppins" w:hAnsi="Poppins"/>
          <w:b/>
          <w:bCs/>
          <w:color w:val="0A6B68"/>
          <w:sz w:val="26"/>
          <w:szCs w:val="26"/>
        </w:rPr>
        <w:t xml:space="preserve">3.4 Cas d'usage techniques de phase MVP 2.0 et GIZ</w:t>
      </w:r>
    </w:p>
    <w:p>
      <w:pPr>
        <w:spacing w:after="80" w:before="80" w:line="300"/>
        <w:jc w:val="both"/>
      </w:pPr>
      <w:r>
        <w:rPr>
          <w:rFonts w:ascii="Poppins" w:cs="Poppins" w:eastAsia="Poppins" w:hAnsi="Poppins"/>
          <w:color w:val="1F2937"/>
          <w:sz w:val="20"/>
          <w:szCs w:val="20"/>
        </w:rPr>
        <w:t xml:space="preserve">Cette catégorie regroupe les cas restants des phases MVP 2.0 et UC-GIZ-FIN après absorption des doublons identifiés.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326"/>
      </w:tblGrid>
      <w:tr>
        <w:trPr>
          <w:tblHeader/>
        </w:trPr>
        <w:tc>
          <w:tcPr>
            <w:tcW w:type="dxa" w:w="23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actuel</w:t>
            </w:r>
          </w:p>
        </w:tc>
        <w:tc>
          <w:tcPr>
            <w:tcW w:type="dxa" w:w="24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cible</w:t>
            </w:r>
          </w:p>
        </w:tc>
        <w:tc>
          <w:tcPr>
            <w:tcW w:type="dxa" w:w="43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Titre cible</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C55A18"/>
                <w:sz w:val="16"/>
                <w:szCs w:val="16"/>
              </w:rPr>
              <w:t xml:space="preserve">MVP2-CU-02 + XRN-CU-11</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PINS-TECH-0030</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Suivi des exonérations douanières vers le Trésor</w:t>
            </w:r>
          </w:p>
        </w:tc>
      </w:tr>
      <w:tr>
        <w:tc>
          <w:tcPr>
            <w:tcW w:type="dxa" w:w="23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C55A18"/>
                <w:sz w:val="16"/>
                <w:szCs w:val="16"/>
              </w:rPr>
              <w:t xml:space="preserve">MVP2-CU-03 + XRN-CU-12</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PINS-TECH-0031</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Rapprochement des liquidations douanières avec le Trésor</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MVP2-CU-06</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PINS-TECH-0032</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Gestion des exonérations et suivi des suspensions de TVA APIX-DGD-DGID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MVP2-CU-07</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PINS-TECH-0033</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Interopérabilité de la plateforme OMAR avec ANSD, DGD et DGID</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UC-GIZ-FIN-04</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PINS-TECH-0034</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Télépaiement fiscal via X-Road E.Taxes vers SIGIF</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UC-GIZ-FIN-06</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PINS-TECH-0035</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Détection des contribuables à risque par croisement multi-sources</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UC-GIZ-FIN-07</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PINS-TECH-0036</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Alimentation automatisée du TOFE et des données budgétaires</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UC-GIZ-FIN-08</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PINS-TECH-0037</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Fiscalité locale TéléDAC, GFILOC et SIGIF</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PINS-CU-012</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PINS-TECH-0038</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Qualification fiscale des bénéficiaires RNU</w:t>
            </w:r>
          </w:p>
        </w:tc>
      </w:tr>
      <w:tr>
        <w:tc>
          <w:tcPr>
            <w:tcW w:type="dxa" w:w="23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PINS-CU-019</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1F2937"/>
                <w:sz w:val="17"/>
                <w:szCs w:val="17"/>
              </w:rPr>
              <w:t xml:space="preserve">PINS-TECH-0039</w:t>
            </w:r>
          </w:p>
        </w:tc>
        <w:tc>
          <w:tcPr>
            <w:tcW w:type="dxa" w:w="43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Plateforme anti-fraude inter-administrations</w:t>
            </w:r>
          </w:p>
        </w:tc>
      </w:tr>
    </w:tbl>
    <w:p>
      <w:pPr>
        <w:pStyle w:val="Heading2"/>
        <w:spacing w:after="160" w:before="300"/>
      </w:pPr>
      <w:r>
        <w:rPr>
          <w:rFonts w:ascii="Poppins" w:cs="Poppins" w:eastAsia="Poppins" w:hAnsi="Poppins"/>
          <w:b/>
          <w:bCs/>
          <w:color w:val="0A6B68"/>
          <w:sz w:val="26"/>
          <w:szCs w:val="26"/>
        </w:rPr>
        <w:t xml:space="preserve">3.5 Reclassement des propositions de démonstration</w:t>
      </w:r>
    </w:p>
    <w:p>
      <w:pPr>
        <w:spacing w:after="80" w:before="80" w:line="300"/>
        <w:jc w:val="both"/>
      </w:pPr>
      <w:r>
        <w:rPr>
          <w:rFonts w:ascii="Poppins" w:cs="Poppins" w:eastAsia="Poppins" w:hAnsi="Poppins"/>
          <w:color w:val="1F2937"/>
          <w:sz w:val="20"/>
          <w:szCs w:val="20"/>
        </w:rPr>
        <w:t xml:space="preserve">Les dix propositions du préfixe PINS-PROP-DEMO sont traitées au cas par cas selon leur nature et leur pertinence opérationnelle.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actuel</w:t>
            </w:r>
          </w:p>
        </w:tc>
        <w:tc>
          <w:tcPr>
            <w:tcW w:type="dxa" w:w="24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Action</w:t>
            </w:r>
          </w:p>
        </w:tc>
        <w:tc>
          <w:tcPr>
            <w:tcW w:type="dxa" w:w="39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7"/>
                <w:szCs w:val="17"/>
              </w:rPr>
              <w:t xml:space="preserve">Code cible et statut</w:t>
            </w:r>
          </w:p>
        </w:tc>
      </w:tr>
      <w:tr>
        <w:tc>
          <w:tcPr>
            <w:tcW w:type="dxa" w:w="2700"/>
            <w:tcBorders>
              <w:top w:val="single" w:color="E1E4E8" w:sz="4"/>
              <w:left w:val="single" w:color="E1E4E8" w:sz="4"/>
              <w:bottom w:val="single" w:color="E1E4E8" w:sz="4"/>
              <w:right w:val="single" w:color="E1E4E8" w:sz="4"/>
            </w:tcBorders>
            <w:shd w:fill="FBEFCE"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PINS-PROP-DEMO-01 (Création d'entreprise)</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D4A820"/>
                <w:sz w:val="17"/>
                <w:szCs w:val="17"/>
              </w:rPr>
              <w:t xml:space="preserve">RECLASSER en METIER</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PINS-METIER-001 — statut IDENTIFIE — Cas métier de référence pour la démonstration nationale</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PINS-PROP-DEMO-02 (Bourse universitaire)</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PINS-METIER-002 — statut PROPOSE — Catalogue des propositions parcours métier</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PINS-PROP-DEMO-03 (Demande passeport)</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PINS-METIER-003 — statut PROPOSE</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PINS-PROP-DEMO-04 (Inscription scolaire)</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PINS-METIER-004 — statut PROPOSE</w:t>
            </w:r>
          </w:p>
        </w:tc>
      </w:tr>
      <w:tr>
        <w:tc>
          <w:tcPr>
            <w:tcW w:type="dxa" w:w="27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PINS-PROP-DEMO-05 (Consultation RCCM)</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7"/>
                <w:szCs w:val="17"/>
              </w:rPr>
              <w:t xml:space="preserve">RECLASSER en TECH</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PINS-TECH-0040 — statut PROPOSE — Service technique et non parcours métier</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PINS-PROP-DEMO-06 (Casier judiciaire)</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PINS-METIER-005 — statut PROPOSE</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PINS-PROP-DEMO-07 (Affiliation CSS)</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PINS-METIER-006 — statut PROPOSE</w:t>
            </w:r>
          </w:p>
        </w:tc>
      </w:tr>
      <w:tr>
        <w:tc>
          <w:tcPr>
            <w:tcW w:type="dxa" w:w="27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PINS-PROP-DEMO-08 (Affiliation IPRES)</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0A6B68"/>
                <w:sz w:val="17"/>
                <w:szCs w:val="17"/>
              </w:rPr>
              <w:t xml:space="preserve">RECLASSER en PROPOSE</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PINS-METIER-007 — statut PROPOSE</w:t>
            </w:r>
          </w:p>
        </w:tc>
      </w:tr>
      <w:tr>
        <w:tc>
          <w:tcPr>
            <w:tcW w:type="dxa" w:w="27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PINS-PROP-DEMO-09 (Requête GAINDE)</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7"/>
                <w:szCs w:val="17"/>
              </w:rPr>
              <w:t xml:space="preserve">RECLASSER en TECH</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PINS-TECH-0041 — statut PROPOSE — Service technique douanier</w:t>
            </w:r>
          </w:p>
        </w:tc>
      </w:tr>
      <w:tr>
        <w:tc>
          <w:tcPr>
            <w:tcW w:type="dxa" w:w="27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6"/>
                <w:szCs w:val="16"/>
              </w:rPr>
              <w:t xml:space="preserve">PINS-PROP-DEMO-10 (Extrait RNU)</w:t>
            </w:r>
          </w:p>
        </w:tc>
        <w:tc>
          <w:tcPr>
            <w:tcW w:type="dxa" w:w="24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b/>
                <w:bCs/>
                <w:color w:val="C55A18"/>
                <w:sz w:val="17"/>
                <w:szCs w:val="17"/>
              </w:rPr>
              <w:t xml:space="preserve">RECLASSER en TECH</w:t>
            </w:r>
          </w:p>
        </w:tc>
        <w:tc>
          <w:tcPr>
            <w:tcW w:type="dxa" w:w="39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PINS-TECH-0042 — statut PROPOSE — Service technique social</w:t>
            </w:r>
          </w:p>
        </w:tc>
      </w:tr>
    </w:tbl>
    <w:p>
      <w:pPr>
        <w:pStyle w:val="Heading2"/>
        <w:spacing w:after="160" w:before="300"/>
      </w:pPr>
      <w:r>
        <w:rPr>
          <w:rFonts w:ascii="Poppins" w:cs="Poppins" w:eastAsia="Poppins" w:hAnsi="Poppins"/>
          <w:b/>
          <w:bCs/>
          <w:color w:val="0A6B68"/>
          <w:sz w:val="26"/>
          <w:szCs w:val="26"/>
        </w:rPr>
        <w:t xml:space="preserve">3.6 Synthèse de la migration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26"/>
      </w:tblGrid>
      <w:tr>
        <w:trPr>
          <w:tblHeader/>
        </w:trPr>
        <w:tc>
          <w:tcPr>
            <w:tcW w:type="dxa" w:w="45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FFFFFF"/>
                <w:sz w:val="18"/>
                <w:szCs w:val="18"/>
              </w:rPr>
              <w:t xml:space="preserve">Catégorie</w:t>
            </w:r>
          </w:p>
        </w:tc>
        <w:tc>
          <w:tcPr>
            <w:tcW w:type="dxa" w:w="15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center"/>
            </w:pPr>
            <w:r>
              <w:rPr>
                <w:rFonts w:ascii="Poppins" w:cs="Poppins" w:eastAsia="Poppins" w:hAnsi="Poppins"/>
                <w:b/>
                <w:bCs/>
                <w:color w:val="FFFFFF"/>
                <w:sz w:val="18"/>
                <w:szCs w:val="18"/>
              </w:rPr>
              <w:t xml:space="preserve">Avant</w:t>
            </w:r>
          </w:p>
        </w:tc>
        <w:tc>
          <w:tcPr>
            <w:tcW w:type="dxa" w:w="1500"/>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center"/>
            </w:pPr>
            <w:r>
              <w:rPr>
                <w:rFonts w:ascii="Poppins" w:cs="Poppins" w:eastAsia="Poppins" w:hAnsi="Poppins"/>
                <w:b/>
                <w:bCs/>
                <w:color w:val="FFFFFF"/>
                <w:sz w:val="18"/>
                <w:szCs w:val="18"/>
              </w:rPr>
              <w:t xml:space="preserve">Après</w:t>
            </w:r>
          </w:p>
        </w:tc>
        <w:tc>
          <w:tcPr>
            <w:tcW w:type="dxa" w:w="1526"/>
            <w:tcBorders>
              <w:top w:val="single" w:color="E1E4E8" w:sz="4"/>
              <w:left w:val="single" w:color="E1E4E8" w:sz="4"/>
              <w:bottom w:val="single" w:color="E1E4E8" w:sz="4"/>
              <w:right w:val="single" w:color="E1E4E8" w:sz="4"/>
            </w:tcBorders>
            <w:shd w:fill="0C1F3A" w:val="clear"/>
            <w:tcMar>
              <w:top w:type="dxa" w:w="80"/>
              <w:left w:type="dxa" w:w="120"/>
              <w:bottom w:type="dxa" w:w="80"/>
              <w:right w:type="dxa" w:w="120"/>
            </w:tcMar>
            <w:vAlign w:val="center"/>
          </w:tcPr>
          <w:p>
            <w:pPr>
              <w:spacing w:after="40" w:before="40"/>
              <w:jc w:val="center"/>
            </w:pPr>
            <w:r>
              <w:rPr>
                <w:rFonts w:ascii="Poppins" w:cs="Poppins" w:eastAsia="Poppins" w:hAnsi="Poppins"/>
                <w:b/>
                <w:bCs/>
                <w:color w:val="FFFFFF"/>
                <w:sz w:val="18"/>
                <w:szCs w:val="18"/>
              </w:rPr>
              <w:t xml:space="preserve">Évolution</w:t>
            </w:r>
          </w:p>
        </w:tc>
      </w:tr>
      <w:tr>
        <w:tc>
          <w:tcPr>
            <w:tcW w:type="dxa" w:w="4500"/>
            <w:tcBorders>
              <w:top w:val="single" w:color="E1E4E8" w:sz="4"/>
              <w:left w:val="single" w:color="E1E4E8" w:sz="4"/>
              <w:bottom w:val="single" w:color="E1E4E8" w:sz="4"/>
              <w:right w:val="single" w:color="E1E4E8" w:sz="4"/>
            </w:tcBorders>
            <w:shd w:fill="D4EBE9"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Cas d'usage techniques</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47</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1F2937"/>
                <w:sz w:val="17"/>
                <w:szCs w:val="17"/>
              </w:rPr>
              <w:t xml:space="preserve">42</w:t>
            </w:r>
          </w:p>
        </w:tc>
        <w:tc>
          <w:tcPr>
            <w:tcW w:type="dxa" w:w="15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047857"/>
                <w:sz w:val="17"/>
                <w:szCs w:val="17"/>
              </w:rPr>
              <w:t xml:space="preserve">-5 (fusions)</w:t>
            </w:r>
          </w:p>
        </w:tc>
      </w:tr>
      <w:tr>
        <w:tc>
          <w:tcPr>
            <w:tcW w:type="dxa" w:w="4500"/>
            <w:tcBorders>
              <w:top w:val="single" w:color="E1E4E8" w:sz="4"/>
              <w:left w:val="single" w:color="E1E4E8" w:sz="4"/>
              <w:bottom w:val="single" w:color="E1E4E8" w:sz="4"/>
              <w:right w:val="single" w:color="E1E4E8" w:sz="4"/>
            </w:tcBorders>
            <w:shd w:fill="FBEFCE"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Parcours métier</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0</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1F2937"/>
                <w:sz w:val="17"/>
                <w:szCs w:val="17"/>
              </w:rPr>
              <w:t xml:space="preserve">7</w:t>
            </w:r>
          </w:p>
        </w:tc>
        <w:tc>
          <w:tcPr>
            <w:tcW w:type="dxa" w:w="15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047857"/>
                <w:sz w:val="17"/>
                <w:szCs w:val="17"/>
              </w:rPr>
              <w:t xml:space="preserve">+7 (création)</w:t>
            </w:r>
          </w:p>
        </w:tc>
      </w:tr>
      <w:tr>
        <w:tc>
          <w:tcPr>
            <w:tcW w:type="dxa" w:w="4500"/>
            <w:tcBorders>
              <w:top w:val="single" w:color="E1E4E8" w:sz="4"/>
              <w:left w:val="single" w:color="E1E4E8" w:sz="4"/>
              <w:bottom w:val="single" w:color="E1E4E8" w:sz="4"/>
              <w:right w:val="single" w:color="E1E4E8" w:sz="4"/>
            </w:tcBorders>
            <w:shd w:fill="FADBC8" w:val="clear"/>
            <w:tcMar>
              <w:top w:type="dxa" w:w="80"/>
              <w:left w:type="dxa" w:w="120"/>
              <w:bottom w:type="dxa" w:w="80"/>
              <w:right w:type="dxa" w:w="120"/>
            </w:tcMar>
            <w:vAlign w:val="center"/>
          </w:tcPr>
          <w:p>
            <w:pPr>
              <w:spacing w:after="40" w:before="40"/>
              <w:jc w:val="left"/>
            </w:pPr>
            <w:r>
              <w:rPr>
                <w:rFonts w:ascii="Poppins" w:cs="Poppins" w:eastAsia="Poppins" w:hAnsi="Poppins"/>
                <w:color w:val="1F2937"/>
                <w:sz w:val="17"/>
                <w:szCs w:val="17"/>
              </w:rPr>
              <w:t xml:space="preserve">Propositions PINS-PROP-DEMO restantes</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1F2937"/>
                <w:sz w:val="17"/>
                <w:szCs w:val="17"/>
              </w:rPr>
              <w:t xml:space="preserve">10</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1F2937"/>
                <w:sz w:val="17"/>
                <w:szCs w:val="17"/>
              </w:rPr>
              <w:t xml:space="preserve">0</w:t>
            </w:r>
          </w:p>
        </w:tc>
        <w:tc>
          <w:tcPr>
            <w:tcW w:type="dxa" w:w="15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color w:val="047857"/>
                <w:sz w:val="17"/>
                <w:szCs w:val="17"/>
              </w:rPr>
              <w:t xml:space="preserve">Migrées</w:t>
            </w:r>
          </w:p>
        </w:tc>
      </w:tr>
      <w:tr>
        <w:tc>
          <w:tcPr>
            <w:tcW w:type="dxa" w:w="4500"/>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jc w:val="left"/>
            </w:pPr>
            <w:r>
              <w:rPr>
                <w:rFonts w:ascii="Poppins" w:cs="Poppins" w:eastAsia="Poppins" w:hAnsi="Poppins"/>
                <w:b/>
                <w:bCs/>
                <w:color w:val="0C1F3A"/>
                <w:sz w:val="17"/>
                <w:szCs w:val="17"/>
              </w:rPr>
              <w:t xml:space="preserve">Total cas d'usage en base</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1F2937"/>
                <w:sz w:val="17"/>
                <w:szCs w:val="17"/>
              </w:rPr>
              <w:t xml:space="preserve">57</w:t>
            </w:r>
          </w:p>
        </w:tc>
        <w:tc>
          <w:tcPr>
            <w:tcW w:type="dxa" w:w="1500"/>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0C1F3A"/>
                <w:sz w:val="17"/>
                <w:szCs w:val="17"/>
              </w:rPr>
              <w:t xml:space="preserve">49</w:t>
            </w:r>
          </w:p>
        </w:tc>
        <w:tc>
          <w:tcPr>
            <w:tcW w:type="dxa" w:w="1526"/>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40"/>
              <w:jc w:val="center"/>
            </w:pPr>
            <w:r>
              <w:rPr>
                <w:rFonts w:ascii="Poppins" w:cs="Poppins" w:eastAsia="Poppins" w:hAnsi="Poppins"/>
                <w:b/>
                <w:bCs/>
                <w:color w:val="047857"/>
                <w:sz w:val="17"/>
                <w:szCs w:val="17"/>
              </w:rPr>
              <w:t xml:space="preserve">-8</w:t>
            </w:r>
          </w:p>
        </w:tc>
      </w:tr>
    </w:tbl>
    <w:p>
      <w:pPr>
        <w:spacing w:after="80" w:before="80" w:line="300"/>
        <w:jc w:val="both"/>
      </w:pPr>
      <w:r>
        <w:rPr>
          <w:rFonts w:ascii="Poppins" w:cs="Poppins" w:eastAsia="Poppins" w:hAnsi="Poppins"/>
          <w:color w:val="1F2937"/>
          <w:sz w:val="20"/>
          <w:szCs w:val="20"/>
        </w:rPr>
        <w:t xml:space="preserve">La rationalisation aboutit à 49 cas d'usage uniques, dont 42 services techniques et 7 parcours métier. Les cas en statut PROPOSE constituent la part vivante du catalogue P8 prête à être enrichie par les administrations adoptantes.</w:t>
      </w:r>
    </w:p>
    <w:p>
      <w:r>
        <w:br w:type="page"/>
      </w:r>
    </w:p>
    <w:p>
      <w:pPr>
        <w:pStyle w:val="Heading1"/>
        <w:spacing w:after="200" w:before="400"/>
      </w:pPr>
      <w:r>
        <w:rPr>
          <w:rFonts w:ascii="Poppins" w:cs="Poppins" w:eastAsia="Poppins" w:hAnsi="Poppins"/>
          <w:b/>
          <w:bCs/>
          <w:color w:val="0C1F3A"/>
          <w:sz w:val="32"/>
          <w:szCs w:val="32"/>
        </w:rPr>
        <w:t xml:space="preserve">4. Plan d'action en trois prompts Claude Code</w:t>
      </w:r>
    </w:p>
    <w:p>
      <w:pPr>
        <w:pStyle w:val="Heading2"/>
        <w:spacing w:after="160" w:before="300"/>
      </w:pPr>
      <w:r>
        <w:rPr>
          <w:rFonts w:ascii="Poppins" w:cs="Poppins" w:eastAsia="Poppins" w:hAnsi="Poppins"/>
          <w:b/>
          <w:bCs/>
          <w:color w:val="0A6B68"/>
          <w:sz w:val="26"/>
          <w:szCs w:val="26"/>
        </w:rPr>
        <w:t xml:space="preserve">4.1 Prompt N1 — La présente note</w:t>
      </w:r>
    </w:p>
    <w:p>
      <w:pPr>
        <w:spacing w:after="80" w:before="80" w:line="300"/>
        <w:jc w:val="both"/>
      </w:pPr>
      <w:r>
        <w:rPr>
          <w:rFonts w:ascii="Poppins" w:cs="Poppins" w:eastAsia="Poppins" w:hAnsi="Poppins"/>
          <w:color w:val="1F2937"/>
          <w:sz w:val="20"/>
          <w:szCs w:val="20"/>
        </w:rPr>
        <w:t xml:space="preserve">La présente note constitue le premier prompt opérationnel. Elle livre la nomenclature cible, la matrice de migration des 57 cas, et le dimensionnement attendu de la base après rationalisation. Sa validation par la Direction de la Delivery Unit constitue le déclencheur des deux prompts suivants.</w:t>
      </w:r>
    </w:p>
    <w:p>
      <w:pPr>
        <w:pStyle w:val="Heading2"/>
        <w:spacing w:after="160" w:before="300"/>
      </w:pPr>
      <w:r>
        <w:rPr>
          <w:rFonts w:ascii="Poppins" w:cs="Poppins" w:eastAsia="Poppins" w:hAnsi="Poppins"/>
          <w:b/>
          <w:bCs/>
          <w:color w:val="0A6B68"/>
          <w:sz w:val="26"/>
          <w:szCs w:val="26"/>
        </w:rPr>
        <w:t xml:space="preserve">4.2 Prompt N2 — Migration technique de la base</w:t>
      </w:r>
    </w:p>
    <w:p>
      <w:pPr>
        <w:spacing w:after="80" w:before="80" w:line="300"/>
        <w:jc w:val="both"/>
      </w:pPr>
      <w:r>
        <w:rPr>
          <w:rFonts w:ascii="Poppins" w:cs="Poppins" w:eastAsia="Poppins" w:hAnsi="Poppins"/>
          <w:color w:val="1F2937"/>
          <w:sz w:val="20"/>
          <w:szCs w:val="20"/>
        </w:rPr>
        <w:t xml:space="preserve">Le second prompt produira un script de migration en deux phases. La phase un ajoute le champ codeHistorique sur le modèle CasUsageMVP par migration Prisma. La phase deux exécute la matrice de migration de la section 3 : renommages des codes, fusions des doublons avec redirection des stakeholders, reclassements des propositions de démonstration vers les statuts cibles, mise à jour des typologies P9.</w:t>
      </w:r>
    </w:p>
    <w:p>
      <w:pPr>
        <w:spacing w:after="80" w:before="80" w:line="300"/>
        <w:jc w:val="both"/>
      </w:pPr>
      <w:r>
        <w:rPr>
          <w:rFonts w:ascii="Poppins" w:cs="Poppins" w:eastAsia="Poppins" w:hAnsi="Poppins"/>
          <w:color w:val="1F2937"/>
          <w:sz w:val="20"/>
          <w:szCs w:val="20"/>
        </w:rPr>
        <w:t xml:space="preserve">Ce prompt intégrera systématiquement la sauvegarde préalable de la base de données par dump, la traçabilité de chaque migration dans le journal inaltérable, et un test post-migration vérifiant la cohérence des cas d'usage migrés et de leurs liaisons. La migration doit être idempotente et réversible le temps d'une fenêtre de validation.</w:t>
      </w:r>
    </w:p>
    <w:p>
      <w:pPr>
        <w:pStyle w:val="Heading2"/>
        <w:spacing w:after="160" w:before="300"/>
      </w:pPr>
      <w:r>
        <w:rPr>
          <w:rFonts w:ascii="Poppins" w:cs="Poppins" w:eastAsia="Poppins" w:hAnsi="Poppins"/>
          <w:b/>
          <w:bCs/>
          <w:color w:val="0A6B68"/>
          <w:sz w:val="26"/>
          <w:szCs w:val="26"/>
        </w:rPr>
        <w:t xml:space="preserve">4.3 Prompt N3 — Saisie des nouveaux cas pilotes</w:t>
      </w:r>
    </w:p>
    <w:p>
      <w:pPr>
        <w:spacing w:after="80" w:before="80" w:line="300"/>
        <w:jc w:val="both"/>
      </w:pPr>
      <w:r>
        <w:rPr>
          <w:rFonts w:ascii="Poppins" w:cs="Poppins" w:eastAsia="Poppins" w:hAnsi="Poppins"/>
          <w:color w:val="1F2937"/>
          <w:sz w:val="20"/>
          <w:szCs w:val="20"/>
        </w:rPr>
        <w:t xml:space="preserve">Le troisième prompt produira la saisie effective des deux parcours métier prioritaires et des cinq services techniques associés que le Point Focal souhaite mobiliser pour les démonstrations pilotes. Cette saisie sera réalisée en SQL ou via l'interface utilisateur selon la complexité, en cohérence avec la nomenclature et les conventions de titres définies en section 2.</w:t>
      </w:r>
    </w:p>
    <w:p>
      <w:pPr>
        <w:spacing w:after="80" w:before="80" w:line="300"/>
        <w:jc w:val="both"/>
      </w:pPr>
      <w:r>
        <w:rPr>
          <w:rFonts w:ascii="Poppins" w:cs="Poppins" w:eastAsia="Poppins" w:hAnsi="Poppins"/>
          <w:color w:val="1F2937"/>
          <w:sz w:val="20"/>
          <w:szCs w:val="20"/>
        </w:rPr>
        <w:t xml:space="preserve">La saisie de ces sept nouveaux cas s'inscrit dans la nouvelle nomenclature et complète immédiatement la base après migration. À l'issue de ce prompt, la plateforme dispose d'une base propre et illustrative, prête pour les premiers déploiements pilotes.</w:t>
      </w:r>
    </w:p>
    <w:p>
      <w:pPr>
        <w:pStyle w:val="Heading2"/>
        <w:spacing w:after="160" w:before="300"/>
      </w:pPr>
      <w:r>
        <w:rPr>
          <w:rFonts w:ascii="Poppins" w:cs="Poppins" w:eastAsia="Poppins" w:hAnsi="Poppins"/>
          <w:b/>
          <w:bCs/>
          <w:color w:val="0A6B68"/>
          <w:sz w:val="26"/>
          <w:szCs w:val="26"/>
        </w:rPr>
        <w:t xml:space="preserve">4.4 Calendrier indicatif</w:t>
      </w:r>
    </w:p>
    <w:p>
      <w:pPr>
        <w:spacing w:after="80" w:before="80" w:line="300"/>
        <w:jc w:val="both"/>
      </w:pPr>
      <w:r>
        <w:rPr>
          <w:rFonts w:ascii="Poppins" w:cs="Poppins" w:eastAsia="Poppins" w:hAnsi="Poppins"/>
          <w:color w:val="1F2937"/>
          <w:sz w:val="20"/>
          <w:szCs w:val="20"/>
        </w:rPr>
        <w:t xml:space="preserve">Le calendrier proposé pour ces trois prompts est compact, l'objectif étant de boucler la rationalisation avant la fin de la première semaine de mai 2026. La validation par la Direction Delivery Unit de la présente note ouvre la fenêtre d'exécution. Le prompt N2 nécessite environ une demi-journée de travail Claude Code, le prompt N3 environ une heure. La validation des résultats par le Point Focal et la Direction Delivery Unit est la seule contrainte de fond sur ce calendrier.</w:t>
      </w:r>
    </w:p>
    <w:p>
      <w:r>
        <w:br w:type="page"/>
      </w:r>
    </w:p>
    <w:p>
      <w:pPr>
        <w:pStyle w:val="Heading1"/>
        <w:spacing w:after="200" w:before="400"/>
      </w:pPr>
      <w:r>
        <w:rPr>
          <w:rFonts w:ascii="Poppins" w:cs="Poppins" w:eastAsia="Poppins" w:hAnsi="Poppins"/>
          <w:b/>
          <w:bCs/>
          <w:color w:val="0C1F3A"/>
          <w:sz w:val="32"/>
          <w:szCs w:val="32"/>
        </w:rPr>
        <w:t xml:space="preserve">5. Points de vigilance</w:t>
      </w:r>
    </w:p>
    <w:p>
      <w:pPr>
        <w:pStyle w:val="Heading2"/>
        <w:spacing w:after="160" w:before="300"/>
      </w:pPr>
      <w:r>
        <w:rPr>
          <w:rFonts w:ascii="Poppins" w:cs="Poppins" w:eastAsia="Poppins" w:hAnsi="Poppins"/>
          <w:b/>
          <w:bCs/>
          <w:color w:val="0A6B68"/>
          <w:sz w:val="26"/>
          <w:szCs w:val="26"/>
        </w:rPr>
        <w:t xml:space="preserve">5.1 Préservation des liaisons existantes</w:t>
      </w:r>
    </w:p>
    <w:p>
      <w:pPr>
        <w:spacing w:after="80" w:before="80" w:line="300"/>
        <w:jc w:val="both"/>
      </w:pPr>
      <w:r>
        <w:rPr>
          <w:rFonts w:ascii="Poppins" w:cs="Poppins" w:eastAsia="Poppins" w:hAnsi="Poppins"/>
          <w:color w:val="1F2937"/>
          <w:sz w:val="20"/>
          <w:szCs w:val="20"/>
        </w:rPr>
        <w:t xml:space="preserve">La migration ne se contente pas de renommer des codes. Les cas d'usage actuels portent des liaisons critiques : stakeholders, registres touchés, avis émis, statuts de cycle de vie, conventions associées. Toutes ces liaisons doivent être préservées intégralement. Pour les fusions, les liaisons des cas absorbés sont reportées sur le cas absorbant en évitant les doublons.</w:t>
      </w:r>
    </w:p>
    <w:p>
      <w:pPr>
        <w:pStyle w:val="Heading2"/>
        <w:spacing w:after="160" w:before="300"/>
      </w:pPr>
      <w:r>
        <w:rPr>
          <w:rFonts w:ascii="Poppins" w:cs="Poppins" w:eastAsia="Poppins" w:hAnsi="Poppins"/>
          <w:b/>
          <w:bCs/>
          <w:color w:val="0A6B68"/>
          <w:sz w:val="26"/>
          <w:szCs w:val="26"/>
        </w:rPr>
        <w:t xml:space="preserve">5.2 Traçabilité historique</w:t>
      </w:r>
    </w:p>
    <w:p>
      <w:pPr>
        <w:spacing w:after="80" w:before="80" w:line="300"/>
        <w:jc w:val="both"/>
      </w:pPr>
      <w:r>
        <w:rPr>
          <w:rFonts w:ascii="Poppins" w:cs="Poppins" w:eastAsia="Poppins" w:hAnsi="Poppins"/>
          <w:color w:val="1F2937"/>
          <w:sz w:val="20"/>
          <w:szCs w:val="20"/>
        </w:rPr>
        <w:t xml:space="preserve">Aucun code historique ne doit être perdu. Le champ codeHistorique introduit dans le modèle conserve la mémoire de l'origine. Les rapports historiques, les exports, les documents externes qui référencent les anciens codes peuvent ainsi être mis à jour à leur rythme sans perte d'information.</w:t>
      </w:r>
    </w:p>
    <w:p>
      <w:pPr>
        <w:pStyle w:val="Heading2"/>
        <w:spacing w:after="160" w:before="300"/>
      </w:pPr>
      <w:r>
        <w:rPr>
          <w:rFonts w:ascii="Poppins" w:cs="Poppins" w:eastAsia="Poppins" w:hAnsi="Poppins"/>
          <w:b/>
          <w:bCs/>
          <w:color w:val="0A6B68"/>
          <w:sz w:val="26"/>
          <w:szCs w:val="26"/>
        </w:rPr>
        <w:t xml:space="preserve">5.3 Cohérence avec la phase P9</w:t>
      </w:r>
    </w:p>
    <w:p>
      <w:pPr>
        <w:spacing w:after="80" w:before="80" w:line="300"/>
        <w:jc w:val="both"/>
      </w:pPr>
      <w:r>
        <w:rPr>
          <w:rFonts w:ascii="Poppins" w:cs="Poppins" w:eastAsia="Poppins" w:hAnsi="Poppins"/>
          <w:color w:val="1F2937"/>
          <w:sz w:val="20"/>
          <w:szCs w:val="20"/>
        </w:rPr>
        <w:t xml:space="preserve">Chaque cas d'usage migré doit être correctement classé selon la typologie de la phase P9. Un cas marqué TECHNIQUE dans la nomenclature doit avoir typologie = TECHNIQUE dans la table CasUsage. Un cas marqué METIER doit avoir typologie = METIER. Cette cohérence est vérifiée à la sortie du prompt N2.</w:t>
      </w:r>
    </w:p>
    <w:p>
      <w:pPr>
        <w:pStyle w:val="Heading2"/>
        <w:spacing w:after="160" w:before="300"/>
      </w:pPr>
      <w:r>
        <w:rPr>
          <w:rFonts w:ascii="Poppins" w:cs="Poppins" w:eastAsia="Poppins" w:hAnsi="Poppins"/>
          <w:b/>
          <w:bCs/>
          <w:color w:val="0A6B68"/>
          <w:sz w:val="26"/>
          <w:szCs w:val="26"/>
        </w:rPr>
        <w:t xml:space="preserve">5.4 Communication institutionnelle</w:t>
      </w:r>
    </w:p>
    <w:p>
      <w:pPr>
        <w:spacing w:after="80" w:before="80" w:line="300"/>
        <w:jc w:val="both"/>
      </w:pPr>
      <w:r>
        <w:rPr>
          <w:rFonts w:ascii="Poppins" w:cs="Poppins" w:eastAsia="Poppins" w:hAnsi="Poppins"/>
          <w:color w:val="1F2937"/>
          <w:sz w:val="20"/>
          <w:szCs w:val="20"/>
        </w:rPr>
        <w:t xml:space="preserve">Le changement de nomenclature impacte les institutions partenaires qui ont déjà des références aux anciens codes. Une note de communication à la GIZ, à la JICA, et aux administrations engagées dans les cas d'usage MVP 1.0 et MVP 2.0 doit accompagner le déploiement effectif. Cette communication peut être préparée par la Delivery Unit en parallèle de la phase technique.</w:t>
      </w:r>
    </w:p>
    <w:p>
      <w:pPr>
        <w:pStyle w:val="Heading2"/>
        <w:spacing w:after="160" w:before="300"/>
      </w:pPr>
      <w:r>
        <w:rPr>
          <w:rFonts w:ascii="Poppins" w:cs="Poppins" w:eastAsia="Poppins" w:hAnsi="Poppins"/>
          <w:b/>
          <w:bCs/>
          <w:color w:val="0A6B68"/>
          <w:sz w:val="26"/>
          <w:szCs w:val="26"/>
        </w:rPr>
        <w:t xml:space="preserve">5.5 Anticipation de la prochaine vague</w:t>
      </w:r>
    </w:p>
    <w:p>
      <w:pPr>
        <w:spacing w:after="80" w:before="80" w:line="300"/>
        <w:jc w:val="both"/>
      </w:pPr>
      <w:r>
        <w:rPr>
          <w:rFonts w:ascii="Poppins" w:cs="Poppins" w:eastAsia="Poppins" w:hAnsi="Poppins"/>
          <w:color w:val="1F2937"/>
          <w:sz w:val="20"/>
          <w:szCs w:val="20"/>
        </w:rPr>
        <w:t xml:space="preserve">La nomenclature à quatre chiffres pour les services techniques offre une capacité de 9 999 codes. À la cardinalité actuelle de 42 services techniques, la marge de croissance est largement suffisante pour les cinq à dix prochaines années. Une vigilance institutionnelle reste de rigueur : la création de nouveaux cas doit passer par la Delivery Unit qui contrôle les doublons et les chevauchements avant attribution d'un code.</w:t>
      </w:r>
    </w:p>
    <w:p>
      <w:r>
        <w:br w:type="page"/>
      </w:r>
    </w:p>
    <w:p>
      <w:pPr>
        <w:pStyle w:val="Heading1"/>
        <w:spacing w:after="200" w:before="400"/>
      </w:pPr>
      <w:r>
        <w:rPr>
          <w:rFonts w:ascii="Poppins" w:cs="Poppins" w:eastAsia="Poppins" w:hAnsi="Poppins"/>
          <w:b/>
          <w:bCs/>
          <w:color w:val="0C1F3A"/>
          <w:sz w:val="32"/>
          <w:szCs w:val="32"/>
        </w:rPr>
        <w:t xml:space="preserve">6. Validation</w:t>
      </w:r>
    </w:p>
    <w:p>
      <w:pPr>
        <w:spacing w:after="80" w:before="80" w:line="300"/>
        <w:jc w:val="both"/>
      </w:pPr>
      <w:r>
        <w:rPr>
          <w:rFonts w:ascii="Poppins" w:cs="Poppins" w:eastAsia="Poppins" w:hAnsi="Poppins"/>
          <w:color w:val="1F2937"/>
          <w:sz w:val="20"/>
          <w:szCs w:val="20"/>
        </w:rPr>
        <w:t xml:space="preserve">La présente note est soumise au Directeur de la Delivery Unit pour validation institutionnelle. Sa validation autorise le lancement immédiat du prompt N2 de migration technique de la base. La nomenclature et la matrice de migration définies dans cette note constituent la référence opposable pour toutes les évolutions futures du portefeuille des cas d'usage du PINS.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pPr>
            <w:r>
              <w:rPr>
                <w:rFonts w:ascii="Poppins" w:cs="Poppins" w:eastAsia="Poppins" w:hAnsi="Poppins"/>
                <w:b/>
                <w:bCs/>
                <w:color w:val="0C1F3A"/>
                <w:sz w:val="18"/>
                <w:szCs w:val="18"/>
              </w:rPr>
              <w:t xml:space="preserve">Auteur — Point focal</w:t>
            </w:r>
          </w:p>
        </w:tc>
        <w:tc>
          <w:tcPr>
            <w:tcW w:type="dxa" w:w="4513"/>
            <w:tcBorders>
              <w:top w:val="single" w:color="E1E4E8" w:sz="4"/>
              <w:left w:val="single" w:color="E1E4E8" w:sz="4"/>
              <w:bottom w:val="single" w:color="E1E4E8" w:sz="4"/>
              <w:right w:val="single" w:color="E1E4E8" w:sz="4"/>
            </w:tcBorders>
            <w:shd w:fill="D6DEEA" w:val="clear"/>
            <w:tcMar>
              <w:top w:type="dxa" w:w="80"/>
              <w:left w:type="dxa" w:w="120"/>
              <w:bottom w:type="dxa" w:w="80"/>
              <w:right w:type="dxa" w:w="120"/>
            </w:tcMar>
            <w:vAlign w:val="center"/>
          </w:tcPr>
          <w:p>
            <w:pPr>
              <w:spacing w:after="40" w:before="40"/>
            </w:pPr>
            <w:r>
              <w:rPr>
                <w:rFonts w:ascii="Poppins" w:cs="Poppins" w:eastAsia="Poppins" w:hAnsi="Poppins"/>
                <w:b/>
                <w:bCs/>
                <w:color w:val="0C1F3A"/>
                <w:sz w:val="18"/>
                <w:szCs w:val="18"/>
              </w:rPr>
              <w:t xml:space="preserve">Validation — Delivery Unit</w:t>
            </w:r>
          </w:p>
        </w:tc>
      </w:tr>
      <w:tr>
        <w:tc>
          <w:tcPr>
            <w:tcW w:type="dxa" w:w="4513"/>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28 avril 2026</w:t>
            </w:r>
          </w:p>
          <w:p>
            <w:pPr>
              <w:spacing w:after="40" w:before="8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80"/>
              <w:left w:type="dxa" w:w="120"/>
              <w:bottom w:type="dxa" w:w="80"/>
              <w:right w:type="dxa" w:w="12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8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Document de cadrage opérationnel — usage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Note N1 v0.1 — Nomenclature et migration des cas d'usage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2026-04-28T16:14:59.960Z</dcterms:created>
  <dcterms:modified xsi:type="dcterms:W3CDTF">2026-04-28T16:14:59.991Z</dcterms:modified>
</cp:coreProperties>
</file>

<file path=docProps/custom.xml><?xml version="1.0" encoding="utf-8"?>
<Properties xmlns="http://schemas.openxmlformats.org/officeDocument/2006/custom-properties" xmlns:vt="http://schemas.openxmlformats.org/officeDocument/2006/docPropsVTypes"/>
</file>