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Poppins" w:cs="Poppins" w:eastAsia="Poppins" w:hAnsi="Poppins"/>
          <w:b/>
          <w:bCs/>
          <w:color w:val="0C1F3A"/>
          <w:sz w:val="16"/>
          <w:szCs w:val="16"/>
        </w:rPr>
        <w:t xml:space="preserve">RÉPUBLIQUE DU SÉNÉGAL</w:t>
      </w:r>
      <w:r>
        <w:rPr>
          <w:rFonts w:ascii="Poppins" w:cs="Poppins" w:eastAsia="Poppins" w:hAnsi="Poppins"/>
          <w:color w:val="9CA3AF"/>
          <w:sz w:val="16"/>
          <w:szCs w:val="16"/>
        </w:rPr>
        <w:t xml:space="preserve">  |  </w:t>
      </w:r>
      <w:r>
        <w:rPr>
          <w:rFonts w:ascii="Poppins" w:cs="Poppins" w:eastAsia="Poppins" w:hAnsi="Poppins"/>
          <w:i/>
          <w:iCs/>
          <w:color w:val="374151"/>
          <w:sz w:val="16"/>
          <w:szCs w:val="16"/>
        </w:rPr>
        <w:t xml:space="preserve">Un Peuple – Un But – Une Foi</w:t>
      </w:r>
    </w:p>
    <w:p>
      <w:pPr>
        <w:spacing w:after="120" w:before="0"/>
      </w:pPr>
      <w:r>
        <w:rPr>
          <w:rFonts w:ascii="Poppins" w:cs="Poppins" w:eastAsia="Poppins" w:hAnsi="Poppins"/>
          <w:b/>
          <w:bCs/>
          <w:color w:val="0C1F3A"/>
          <w:sz w:val="18"/>
          <w:szCs w:val="18"/>
        </w:rPr>
        <w:t xml:space="preserve">MINISTÈRE DE LA COMMUNICATION, DES TÉLÉCOMMUNICATIONS ET DU NUMÉRIQUE</w:t>
      </w:r>
    </w:p>
    <w:p>
      <w:pPr>
        <w:spacing w:after="600" w:before="0"/>
      </w:pPr>
      <w:r>
        <w:rPr>
          <w:rFonts w:ascii="Poppins" w:cs="Poppins" w:eastAsia="Poppins" w:hAnsi="Poppins"/>
          <w:b/>
          <w:bCs/>
          <w:color w:val="0A6B68"/>
          <w:sz w:val="16"/>
          <w:szCs w:val="16"/>
        </w:rPr>
        <w:t xml:space="preserve">DELIVERY UNIT — SENUM 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6B68" w:val="clear"/>
            <w:tcMar>
              <w:top w:type="dxa" w:w="120"/>
              <w:left w:type="dxa" w:w="200"/>
              <w:bottom w:type="dxa" w:w="120"/>
              <w:right w:type="dxa" w:w="200"/>
            </w:tcMar>
          </w:tcPr>
          <w:p>
            <w:pPr>
              <w:jc w:val="left"/>
            </w:pPr>
            <w:r>
              <w:rPr>
                <w:rFonts w:ascii="Poppins" w:cs="Poppins" w:eastAsia="Poppins" w:hAnsi="Poppins"/>
                <w:b/>
                <w:bCs/>
                <w:color w:val="FFFFFF"/>
                <w:spacing w:val="40"/>
                <w:sz w:val="18"/>
                <w:szCs w:val="18"/>
              </w:rPr>
              <w:t xml:space="preserve">NOTE D'ARCHITECTURE — PHASE P10</w:t>
            </w:r>
          </w:p>
        </w:tc>
      </w:tr>
    </w:tbl>
    <w:p>
      <w:pPr>
        <w:spacing w:after="60" w:before="60"/>
      </w:pPr>
    </w:p>
    <w:p>
      <w:pPr>
        <w:spacing w:after="120" w:before="200"/>
      </w:pPr>
      <w:r>
        <w:rPr>
          <w:rFonts w:ascii="Poppins" w:cs="Poppins" w:eastAsia="Poppins" w:hAnsi="Poppins"/>
          <w:b/>
          <w:bCs/>
          <w:color w:val="0C1F3A"/>
          <w:sz w:val="34"/>
          <w:szCs w:val="34"/>
        </w:rPr>
        <w:t xml:space="preserve">Articulation des concepts</w:t>
      </w:r>
    </w:p>
    <w:p>
      <w:pPr>
        <w:spacing w:after="120" w:before="0"/>
      </w:pPr>
      <w:r>
        <w:rPr>
          <w:rFonts w:ascii="Poppins" w:cs="Poppins" w:eastAsia="Poppins" w:hAnsi="Poppins"/>
          <w:b/>
          <w:bCs/>
          <w:color w:val="0A6B68"/>
          <w:sz w:val="24"/>
          <w:szCs w:val="24"/>
        </w:rPr>
        <w:t xml:space="preserve">Vue 360°, questionnaire institutionnel, typologie métier-technique</w:t>
      </w:r>
    </w:p>
    <w:p>
      <w:pPr>
        <w:spacing w:after="600" w:before="0"/>
      </w:pPr>
      <w:r>
        <w:rPr>
          <w:rFonts w:ascii="Poppins" w:cs="Poppins" w:eastAsia="Poppins" w:hAnsi="Poppins"/>
          <w:i/>
          <w:iCs/>
          <w:color w:val="374151"/>
          <w:sz w:val="20"/>
          <w:szCs w:val="20"/>
        </w:rPr>
        <w:t xml:space="preserve">Vision d'ensemble et parcours d'onboarding institutionnel — note v0.1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55A18" w:val="clear"/>
            <w:tcMar>
              <w:top w:type="dxa" w:w="120"/>
              <w:left w:type="dxa" w:w="200"/>
              <w:bottom w:type="dxa" w:w="120"/>
              <w:right w:type="dxa" w:w="200"/>
            </w:tcMar>
          </w:tcPr>
          <w:p>
            <w:pPr>
              <w:jc w:val="left"/>
            </w:pPr>
            <w:r>
              <w:rPr>
                <w:rFonts w:ascii="Poppins" w:cs="Poppins" w:eastAsia="Poppins" w:hAnsi="Poppins"/>
                <w:b/>
                <w:bCs/>
                <w:color w:val="FFFFFF"/>
                <w:spacing w:val="40"/>
                <w:sz w:val="14"/>
                <w:szCs w:val="14"/>
              </w:rPr>
              <w:t xml:space="preserve">DOCUMENT D'ARCHITECTURE — USAGE INTERNE MCTN / SENUM SA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Référence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MCTN/DU/APP-DPI-INTEROP/CONC-2026-05</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Version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0.1 — note de cadrage architectural</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Date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24 avril 2026</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Auteur</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Point Focal National d'Interopérabilité — Architecte DPI</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Validation attendue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Directeur Delivery Unit</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Phase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P10 — Articulation des concepts (note de cadrage stratégique)</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Documents liés</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CONC-2026-02 et A1 (Vue 360°), CONC-2026-03 (Catalogue propositions), CONC-2026-04 (Typologie métier-technique)</w:t>
            </w:r>
          </w:p>
        </w:tc>
      </w:tr>
    </w:tbl>
    <w:p>
      <w:r>
        <w:br w:type="page"/>
      </w:r>
    </w:p>
    <w:p>
      <w:pPr>
        <w:pStyle w:val="Heading1"/>
        <w:spacing w:after="200" w:before="400"/>
      </w:pPr>
      <w:r>
        <w:rPr>
          <w:rFonts w:ascii="Poppins" w:cs="Poppins" w:eastAsia="Poppins" w:hAnsi="Poppins"/>
          <w:b/>
          <w:bCs/>
          <w:color w:val="0C1F3A"/>
          <w:sz w:val="32"/>
          <w:szCs w:val="32"/>
        </w:rPr>
        <w:t xml:space="preserve">1. Problématique</w:t>
      </w:r>
    </w:p>
    <w:p>
      <w:pPr>
        <w:pStyle w:val="Heading2"/>
        <w:spacing w:after="160" w:before="300"/>
      </w:pPr>
      <w:r>
        <w:rPr>
          <w:rFonts w:ascii="Poppins" w:cs="Poppins" w:eastAsia="Poppins" w:hAnsi="Poppins"/>
          <w:b/>
          <w:bCs/>
          <w:color w:val="0A6B68"/>
          <w:sz w:val="26"/>
          <w:szCs w:val="26"/>
        </w:rPr>
        <w:t xml:space="preserve">1.1 Trois concepts produits, une articulation à formaliser</w:t>
      </w:r>
    </w:p>
    <w:p>
      <w:pPr>
        <w:spacing w:after="80" w:before="80" w:line="300"/>
        <w:jc w:val="both"/>
      </w:pPr>
      <w:r>
        <w:rPr>
          <w:rFonts w:ascii="Poppins" w:cs="Poppins" w:eastAsia="Poppins" w:hAnsi="Poppins"/>
          <w:color w:val="1F2937"/>
          <w:sz w:val="20"/>
          <w:szCs w:val="20"/>
        </w:rPr>
        <w:t xml:space="preserve">Au cours des phases successives de conception et de livraison de l'application DPI-INTEROP, trois concepts structurants ont émergé. La Vue 360° définit le pipeline de gouvernance des cas d'usage inter-administrations, depuis leur déclaration jusqu'à leur mise en production. Le catalogue des propositions, introduit dans la phase P8, distingue les cas d'usage anticipés en stock des cas d'usage activés dans le pipeline. La typologie métier-technique, introduite dans la phase P9, distingue les parcours fonctionnels orientés bénéficiaire des services techniques d'échange de données réutilisables.</w:t>
      </w:r>
    </w:p>
    <w:p>
      <w:pPr>
        <w:spacing w:after="80" w:before="80" w:line="300"/>
        <w:jc w:val="both"/>
      </w:pPr>
      <w:r>
        <w:rPr>
          <w:rFonts w:ascii="Poppins" w:cs="Poppins" w:eastAsia="Poppins" w:hAnsi="Poppins"/>
          <w:color w:val="1F2937"/>
          <w:sz w:val="20"/>
          <w:szCs w:val="20"/>
        </w:rPr>
        <w:t xml:space="preserve">À ces trois concepts s'ajoute le module historique du questionnaire d'évaluation institutionnelle, hérité du MVP 0, qui permet à chaque administration de décrire son système d'information, sa maturité numérique, et les données qu'elle détient ou produit.</w:t>
      </w:r>
    </w:p>
    <w:p>
      <w:pPr>
        <w:spacing w:after="80" w:before="80" w:line="300"/>
        <w:jc w:val="both"/>
      </w:pPr>
      <w:r>
        <w:rPr>
          <w:rFonts w:ascii="Poppins" w:cs="Poppins" w:eastAsia="Poppins" w:hAnsi="Poppins"/>
          <w:color w:val="1F2937"/>
          <w:sz w:val="20"/>
          <w:szCs w:val="20"/>
        </w:rPr>
        <w:t xml:space="preserve">Ces quatre objets coexistent aujourd'hui dans la plateforme sans articulation explicite. Chacun a sa logique propre, son interface dédiée, ses règles de gouvernance. Pourtant, du point de vue d'une administration qui se connecte pour la première fois à la plateforme, ils forment un tout qui doit avoir un sens. Faute d'articulation, l'administration risque de percevoir la plateforme comme un assemblage de modules sans direction claire.</w:t>
      </w:r>
    </w:p>
    <w:p>
      <w:pPr>
        <w:pStyle w:val="Heading2"/>
        <w:spacing w:after="160" w:before="300"/>
      </w:pPr>
      <w:r>
        <w:rPr>
          <w:rFonts w:ascii="Poppins" w:cs="Poppins" w:eastAsia="Poppins" w:hAnsi="Poppins"/>
          <w:b/>
          <w:bCs/>
          <w:color w:val="0A6B68"/>
          <w:sz w:val="26"/>
          <w:szCs w:val="26"/>
        </w:rPr>
        <w:t xml:space="preserve">1.2 Le mandat de cadrage</w:t>
      </w:r>
    </w:p>
    <w:p>
      <w:pPr>
        <w:spacing w:after="80" w:before="80" w:line="300"/>
        <w:jc w:val="both"/>
      </w:pPr>
      <w:r>
        <w:rPr>
          <w:rFonts w:ascii="Poppins" w:cs="Poppins" w:eastAsia="Poppins" w:hAnsi="Poppins"/>
          <w:color w:val="1F2937"/>
          <w:sz w:val="20"/>
          <w:szCs w:val="20"/>
        </w:rPr>
        <w:t xml:space="preserve">La Direction de la Delivery Unit a confié au Point Focal National d'Interopérabilité un mandat explicite : rendre cohérente la vision d'ensemble de ces concepts avant la diffusion de la plateforme aux administrations pilotes. Cette demande s'inscrit dans une fenêtre temporelle favorable : aucune institution n'est encore connectée, ce qui permet une réflexion architecturale à froid sans pression de continuité opérationnelle.</w:t>
      </w:r>
    </w:p>
    <w:p>
      <w:pPr>
        <w:spacing w:after="80" w:before="80" w:line="300"/>
        <w:jc w:val="both"/>
      </w:pPr>
      <w:r>
        <w:rPr>
          <w:rFonts w:ascii="Poppins" w:cs="Poppins" w:eastAsia="Poppins" w:hAnsi="Poppins"/>
          <w:color w:val="1F2937"/>
          <w:sz w:val="20"/>
          <w:szCs w:val="20"/>
        </w:rPr>
        <w:t xml:space="preserve">La présente note répond à ce mandat. Elle ne propose pas une refonte technique des modules existants. Elle formalise leur articulation logique et propose le parcours-type qu'une administration suivra depuis sa première connexion jusqu'à la mise en production de ses premiers cas d'usage. Elle constitue ainsi le socle conceptuel à partir duquel les évolutions techniques ultérieures pourront être cadrées.</w:t>
      </w:r>
    </w:p>
    <w:p>
      <w:pPr>
        <w:pStyle w:val="Heading2"/>
        <w:spacing w:after="160" w:before="300"/>
      </w:pPr>
      <w:r>
        <w:rPr>
          <w:rFonts w:ascii="Poppins" w:cs="Poppins" w:eastAsia="Poppins" w:hAnsi="Poppins"/>
          <w:b/>
          <w:bCs/>
          <w:color w:val="0A6B68"/>
          <w:sz w:val="26"/>
          <w:szCs w:val="26"/>
        </w:rPr>
        <w:t xml:space="preserve">1.3 Enjeu institutionnel</w:t>
      </w:r>
    </w:p>
    <w:p>
      <w:pPr>
        <w:spacing w:after="80" w:before="80" w:line="300"/>
        <w:jc w:val="both"/>
      </w:pPr>
      <w:r>
        <w:rPr>
          <w:rFonts w:ascii="Poppins" w:cs="Poppins" w:eastAsia="Poppins" w:hAnsi="Poppins"/>
          <w:color w:val="1F2937"/>
          <w:sz w:val="20"/>
          <w:szCs w:val="20"/>
        </w:rPr>
        <w:t xml:space="preserve">Au-delà de la cohérence interne de la plateforme, l'articulation des concepts a un enjeu institutionnel direct. Une plateforme sans vision claire est une plateforme que les administrations utiliseront a minima, comme un outil de reporting de plus. Une plateforme qui propose un parcours guidé, qui accompagne, qui valorise progressivement l'engagement de chaque administration, est une plateforme qui devient un outil de transformation. Le PINS doit être de la seconde catégorie.</w:t>
      </w:r>
    </w:p>
    <w:p>
      <w:pPr>
        <w:spacing w:after="80" w:before="80" w:line="300"/>
        <w:jc w:val="both"/>
      </w:pPr>
      <w:r>
        <w:rPr>
          <w:rFonts w:ascii="Poppins" w:cs="Poppins" w:eastAsia="Poppins" w:hAnsi="Poppins"/>
          <w:color w:val="1F2937"/>
          <w:sz w:val="20"/>
          <w:szCs w:val="20"/>
        </w:rPr>
        <w:t xml:space="preserve">Cette ambition rejoint celle inscrite dans le programme GouvNum et la conditionnalité du quitus numérique : pour qu'une administration soit reconnue comme conforme aux exigences d'interopérabilité, elle doit avoir parcouru un chemin formalisé. La plateforme DPI-INTEROP doit incarner ce chemin.</w:t>
      </w:r>
    </w:p>
    <w:p>
      <w:r>
        <w:br w:type="page"/>
      </w:r>
    </w:p>
    <w:p>
      <w:pPr>
        <w:pStyle w:val="Heading1"/>
        <w:spacing w:after="200" w:before="400"/>
      </w:pPr>
      <w:r>
        <w:rPr>
          <w:rFonts w:ascii="Poppins" w:cs="Poppins" w:eastAsia="Poppins" w:hAnsi="Poppins"/>
          <w:b/>
          <w:bCs/>
          <w:color w:val="0C1F3A"/>
          <w:sz w:val="32"/>
          <w:szCs w:val="32"/>
        </w:rPr>
        <w:t xml:space="preserve">2. Le parcours type d'une administration</w:t>
      </w:r>
    </w:p>
    <w:p>
      <w:pPr>
        <w:pStyle w:val="Heading2"/>
        <w:spacing w:after="160" w:before="300"/>
      </w:pPr>
      <w:r>
        <w:rPr>
          <w:rFonts w:ascii="Poppins" w:cs="Poppins" w:eastAsia="Poppins" w:hAnsi="Poppins"/>
          <w:b/>
          <w:bCs/>
          <w:color w:val="0A6B68"/>
          <w:sz w:val="26"/>
          <w:szCs w:val="26"/>
        </w:rPr>
        <w:t xml:space="preserve">2.1 Vue d'ensemble en trois temps</w:t>
      </w:r>
    </w:p>
    <w:p>
      <w:pPr>
        <w:spacing w:after="80" w:before="80" w:line="300"/>
        <w:jc w:val="both"/>
      </w:pPr>
      <w:r>
        <w:rPr>
          <w:rFonts w:ascii="Poppins" w:cs="Poppins" w:eastAsia="Poppins" w:hAnsi="Poppins"/>
          <w:color w:val="1F2937"/>
          <w:sz w:val="20"/>
          <w:szCs w:val="20"/>
        </w:rPr>
        <w:t xml:space="preserve">Une administration qui adhère à la plateforme PINS suit un parcours qui se déroule logiquement en trois temps. Ces trois temps ne sont pas séquentiels au sens strict — ils peuvent se chevaucher, certaines activités peuvent revenir en boucle — mais ils ordonnent l'expérience institutionnelle de manière cohérente.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Temps</w:t>
            </w:r>
          </w:p>
        </w:tc>
        <w:tc>
          <w:tcPr>
            <w:tcW w:type="dxa" w:w="3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Question structurante</w:t>
            </w:r>
          </w:p>
        </w:tc>
        <w:tc>
          <w:tcPr>
            <w:tcW w:type="dxa" w:w="34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Module support</w:t>
            </w:r>
          </w:p>
        </w:tc>
      </w:tr>
      <w:tr>
        <w:tc>
          <w:tcPr>
            <w:tcW w:type="dxa" w:w="22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Temps 1 — Diagnostic</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Que sais-je faire ? Que possède-je en données et systèmes ?</w:t>
            </w:r>
          </w:p>
        </w:tc>
        <w:tc>
          <w:tcPr>
            <w:tcW w:type="dxa" w:w="3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Questionnaire d'évaluation institutionnelle</w:t>
            </w:r>
          </w:p>
        </w:tc>
      </w:tr>
      <w:tr>
        <w:tc>
          <w:tcPr>
            <w:tcW w:type="dxa" w:w="22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A6B68"/>
                <w:sz w:val="18"/>
                <w:szCs w:val="18"/>
              </w:rPr>
              <w:t xml:space="preserve">Temps 2 — Anticipation</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Quels échanges seraient pertinents pour mon institution ou pour l'État ?</w:t>
            </w:r>
          </w:p>
        </w:tc>
        <w:tc>
          <w:tcPr>
            <w:tcW w:type="dxa" w:w="3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Catalogue des propositions, typologie métier-technique</w:t>
            </w:r>
          </w:p>
        </w:tc>
      </w:tr>
      <w:tr>
        <w:tc>
          <w:tcPr>
            <w:tcW w:type="dxa" w:w="2200"/>
            <w:tcBorders>
              <w:top w:val="single" w:color="E1E4E8" w:sz="4"/>
              <w:left w:val="single" w:color="E1E4E8" w:sz="4"/>
              <w:bottom w:val="single" w:color="E1E4E8" w:sz="4"/>
              <w:right w:val="single" w:color="E1E4E8" w:sz="4"/>
            </w:tcBorders>
            <w:shd w:fill="FADBC8"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Temps 3 — Engagement</w:t>
            </w:r>
          </w:p>
        </w:tc>
        <w:tc>
          <w:tcPr>
            <w:tcW w:type="dxa" w:w="34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Je m'engage formellement sur tel cas d'usage et je le mène à la production</w:t>
            </w:r>
          </w:p>
        </w:tc>
        <w:tc>
          <w:tcPr>
            <w:tcW w:type="dxa" w:w="34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Vue 360° — pipeline complet de gouvernance</w:t>
            </w:r>
          </w:p>
        </w:tc>
      </w:tr>
    </w:tbl>
    <w:p>
      <w:pPr>
        <w:pStyle w:val="Heading2"/>
        <w:spacing w:after="160" w:before="300"/>
      </w:pPr>
      <w:r>
        <w:rPr>
          <w:rFonts w:ascii="Poppins" w:cs="Poppins" w:eastAsia="Poppins" w:hAnsi="Poppins"/>
          <w:b/>
          <w:bCs/>
          <w:color w:val="0A6B68"/>
          <w:sz w:val="26"/>
          <w:szCs w:val="26"/>
        </w:rPr>
        <w:t xml:space="preserve">2.2 Temps 1 — Le diagnostic institutionnel</w:t>
      </w:r>
    </w:p>
    <w:p>
      <w:pPr>
        <w:spacing w:after="80" w:before="80" w:line="300"/>
        <w:jc w:val="both"/>
      </w:pPr>
      <w:r>
        <w:rPr>
          <w:rFonts w:ascii="Poppins" w:cs="Poppins" w:eastAsia="Poppins" w:hAnsi="Poppins"/>
          <w:color w:val="1F2937"/>
          <w:sz w:val="20"/>
          <w:szCs w:val="20"/>
        </w:rPr>
        <w:t xml:space="preserve">Lorsqu'une administration se connecte pour la première fois sur la plateforme, elle est invitée à remplir le questionnaire d'évaluation institutionnelle. Cet acte n'est pas un préalable bloquant qui empêcherait l'accès au reste de la plateforme — il constitue toutefois une étape fortement encouragée, valorisée par un parcours d'onboarding guidé qui présente les bénéfices de la complétion.</w:t>
      </w:r>
    </w:p>
    <w:p>
      <w:pPr>
        <w:spacing w:after="80" w:before="80" w:line="300"/>
        <w:jc w:val="both"/>
      </w:pPr>
      <w:r>
        <w:rPr>
          <w:rFonts w:ascii="Poppins" w:cs="Poppins" w:eastAsia="Poppins" w:hAnsi="Poppins"/>
          <w:color w:val="1F2937"/>
          <w:sz w:val="20"/>
          <w:szCs w:val="20"/>
        </w:rPr>
        <w:t xml:space="preserve">Le questionnaire couvre huit domaines d'évaluation : identification des points focaux et de la chaîne hiérarchique, état actuel des systèmes d'information métier, maturité Cloud et hébergement, profil des données détenues, niveaux d'interopérabilité atteints, conformité aux principes du Cadre Européen d'Interopérabilité, préparation au projet de décret du Référentiel Général d'Interopérabilité, et dictionnaire de données niveau zéro.</w:t>
      </w:r>
    </w:p>
    <w:p>
      <w:pPr>
        <w:spacing w:after="80" w:before="80" w:line="300"/>
        <w:jc w:val="both"/>
      </w:pPr>
      <w:r>
        <w:rPr>
          <w:rFonts w:ascii="Poppins" w:cs="Poppins" w:eastAsia="Poppins" w:hAnsi="Poppins"/>
          <w:color w:val="1F2937"/>
          <w:sz w:val="20"/>
          <w:szCs w:val="20"/>
        </w:rPr>
        <w:t xml:space="preserve">Cette collecte n'est pas un acte ponctuel d'atelier comme dans la version originelle du questionnaire. Elle devient un parcours digital intégré, accessible en mode autonome, complétable par sections au rythme propre de chaque institution. Les sections de stock — systèmes d'information, données détenues, dictionnaire — sont mises à jour en continu, à mesure que l'institution évolue. Les sections d'évaluation — maturité, conformité — font l'objet d'une revue périodique annuelle.</w:t>
      </w:r>
    </w:p>
    <w:p>
      <w:pPr>
        <w:pStyle w:val="Heading2"/>
        <w:spacing w:after="160" w:before="300"/>
      </w:pPr>
      <w:r>
        <w:rPr>
          <w:rFonts w:ascii="Poppins" w:cs="Poppins" w:eastAsia="Poppins" w:hAnsi="Poppins"/>
          <w:b/>
          <w:bCs/>
          <w:color w:val="0A6B68"/>
          <w:sz w:val="26"/>
          <w:szCs w:val="26"/>
        </w:rPr>
        <w:t xml:space="preserve">2.3 Temps 2 — L'anticipation par le catalogue</w:t>
      </w:r>
    </w:p>
    <w:p>
      <w:pPr>
        <w:spacing w:after="80" w:before="80" w:line="300"/>
        <w:jc w:val="both"/>
      </w:pPr>
      <w:r>
        <w:rPr>
          <w:rFonts w:ascii="Poppins" w:cs="Poppins" w:eastAsia="Poppins" w:hAnsi="Poppins"/>
          <w:color w:val="1F2937"/>
          <w:sz w:val="20"/>
          <w:szCs w:val="20"/>
        </w:rPr>
        <w:t xml:space="preserve">À l'issue de la complétion initiale du questionnaire, l'administration accède de plein droit au catalogue des propositions. Cet accès est en soi un premier élément de récompense de l'effort de complétion : sans questionnaire, le catalogue reste consultable mais non exploitable de manière personnalisée.</w:t>
      </w:r>
    </w:p>
    <w:p>
      <w:pPr>
        <w:spacing w:after="80" w:before="80" w:line="300"/>
        <w:jc w:val="both"/>
      </w:pPr>
      <w:r>
        <w:rPr>
          <w:rFonts w:ascii="Poppins" w:cs="Poppins" w:eastAsia="Poppins" w:hAnsi="Poppins"/>
          <w:color w:val="1F2937"/>
          <w:sz w:val="20"/>
          <w:szCs w:val="20"/>
        </w:rPr>
        <w:t xml:space="preserve">Le catalogue présente trois familles d'objets pertinents pour l'administration. D'abord, les propositions de services techniques où elle est pressentie comme institution détentrice de la donnée. Ces propositions, distinguées par la typologie technique introduite en P9, lui suggèrent les échanges qu'elle pourrait offrir au reste de l'écosystème — par exemple, une proposition « Consultation des déclarations douanières » pour la Direction Générale des Douanes. Ensuite, les propositions de parcours métier où elle est pressentie comme institution coordonnatrice ou comme partie prenante — par exemple, le parcours « Création d'entreprise au guichet unique » pour l'Agence pour la Promotion de l'Investissement et des Exportations. Enfin, les propositions de services techniques où elle est pressentie comme institution consommatrice — celles dont elle pourrait avoir besoin pour ses propres processus.</w:t>
      </w:r>
    </w:p>
    <w:p>
      <w:pPr>
        <w:spacing w:after="80" w:before="80" w:line="300"/>
        <w:jc w:val="both"/>
      </w:pPr>
      <w:r>
        <w:rPr>
          <w:rFonts w:ascii="Poppins" w:cs="Poppins" w:eastAsia="Poppins" w:hAnsi="Poppins"/>
          <w:color w:val="1F2937"/>
          <w:sz w:val="20"/>
          <w:szCs w:val="20"/>
        </w:rPr>
        <w:t xml:space="preserve">L'administration peut adopter ce qui la concerne. L'adoption transforme la proposition en cas d'usage actif et fait basculer l'administration vers le troisième temps.</w:t>
      </w:r>
    </w:p>
    <w:p>
      <w:pPr>
        <w:pStyle w:val="Heading2"/>
        <w:spacing w:after="160" w:before="300"/>
      </w:pPr>
      <w:r>
        <w:rPr>
          <w:rFonts w:ascii="Poppins" w:cs="Poppins" w:eastAsia="Poppins" w:hAnsi="Poppins"/>
          <w:b/>
          <w:bCs/>
          <w:color w:val="0A6B68"/>
          <w:sz w:val="26"/>
          <w:szCs w:val="26"/>
        </w:rPr>
        <w:t xml:space="preserve">2.4 Temps 3 — L'engagement opérationnel</w:t>
      </w:r>
    </w:p>
    <w:p>
      <w:pPr>
        <w:spacing w:after="80" w:before="80" w:line="300"/>
        <w:jc w:val="both"/>
      </w:pPr>
      <w:r>
        <w:rPr>
          <w:rFonts w:ascii="Poppins" w:cs="Poppins" w:eastAsia="Poppins" w:hAnsi="Poppins"/>
          <w:color w:val="1F2937"/>
          <w:sz w:val="20"/>
          <w:szCs w:val="20"/>
        </w:rPr>
        <w:t xml:space="preserve">Avec l'adoption d'une proposition ou la déclaration directe d'un nouveau cas d'usage, l'administration entre dans le pipeline complet de la Vue 360°. Elle devient initiatrice formelle, désigne ses parties prenantes, ouvre les consultations, recueille les avis, fait progresser le cas d'usage à travers les statuts successifs : déclaré, en consultation, en validation conjointe, qualifié, priorisé, financement obtenu, conventionné, en production.</w:t>
      </w:r>
    </w:p>
    <w:p>
      <w:pPr>
        <w:spacing w:after="80" w:before="80" w:line="300"/>
        <w:jc w:val="both"/>
      </w:pPr>
      <w:r>
        <w:rPr>
          <w:rFonts w:ascii="Poppins" w:cs="Poppins" w:eastAsia="Poppins" w:hAnsi="Poppins"/>
          <w:color w:val="1F2937"/>
          <w:sz w:val="20"/>
          <w:szCs w:val="20"/>
        </w:rPr>
        <w:t xml:space="preserve">À ce stade, l'administration est pleinement engagée. Sa redevabilité institutionnelle est tracée dans le journal inaltérable. Ses contributions deviennent visibles dans les indicateurs de pilotage de la Delivery Unit. Elle entre dans la communauté active des administrations qui font vivre l'interopérabilité nationale.</w:t>
      </w:r>
    </w:p>
    <w:p>
      <w:r>
        <w:br w:type="page"/>
      </w:r>
    </w:p>
    <w:p>
      <w:pPr>
        <w:pStyle w:val="Heading1"/>
        <w:spacing w:after="200" w:before="400"/>
      </w:pPr>
      <w:r>
        <w:rPr>
          <w:rFonts w:ascii="Poppins" w:cs="Poppins" w:eastAsia="Poppins" w:hAnsi="Poppins"/>
          <w:b/>
          <w:bCs/>
          <w:color w:val="0C1F3A"/>
          <w:sz w:val="32"/>
          <w:szCs w:val="32"/>
        </w:rPr>
        <w:t xml:space="preserve">3. L'articulation technique entre les concepts</w:t>
      </w:r>
    </w:p>
    <w:p>
      <w:pPr>
        <w:pStyle w:val="Heading2"/>
        <w:spacing w:after="160" w:before="300"/>
      </w:pPr>
      <w:r>
        <w:rPr>
          <w:rFonts w:ascii="Poppins" w:cs="Poppins" w:eastAsia="Poppins" w:hAnsi="Poppins"/>
          <w:b/>
          <w:bCs/>
          <w:color w:val="0A6B68"/>
          <w:sz w:val="26"/>
          <w:szCs w:val="26"/>
        </w:rPr>
        <w:t xml:space="preserve">3.1 Le questionnaire alimente le catalogue</w:t>
      </w:r>
    </w:p>
    <w:p>
      <w:pPr>
        <w:spacing w:after="80" w:before="80" w:line="300"/>
        <w:jc w:val="both"/>
      </w:pPr>
      <w:r>
        <w:rPr>
          <w:rFonts w:ascii="Poppins" w:cs="Poppins" w:eastAsia="Poppins" w:hAnsi="Poppins"/>
          <w:color w:val="1F2937"/>
          <w:sz w:val="20"/>
          <w:szCs w:val="20"/>
        </w:rPr>
        <w:t xml:space="preserve">Le premier point d'articulation technique se situe entre le questionnaire et le catalogue. Lorsqu'une administration complète son questionnaire, certaines réponses ouvrent la possibilité d'une génération automatique de propositions de cas d'usage techniques.</w:t>
      </w:r>
    </w:p>
    <w:p>
      <w:pPr>
        <w:spacing w:after="80" w:before="80" w:line="300"/>
        <w:jc w:val="both"/>
      </w:pPr>
      <w:r>
        <w:rPr>
          <w:rFonts w:ascii="Poppins" w:cs="Poppins" w:eastAsia="Poppins" w:hAnsi="Poppins"/>
          <w:color w:val="1F2937"/>
          <w:sz w:val="20"/>
          <w:szCs w:val="20"/>
        </w:rPr>
        <w:t xml:space="preserve">Cette génération est limitée aux cas évidents et incontestables. Elle obéit à des règles métier claires que la Delivery Unit valide avant la publication des propositions au catalogue.</w:t>
      </w:r>
    </w:p>
    <w:p>
      <w:pPr>
        <w:spacing w:after="80" w:before="80" w:line="300"/>
        <w:jc w:val="both"/>
      </w:pPr>
      <w:r>
        <w:rPr>
          <w:rFonts w:ascii="Poppins" w:cs="Poppins" w:eastAsia="Poppins" w:hAnsi="Poppins"/>
          <w:color w:val="1F2937"/>
          <w:sz w:val="20"/>
          <w:szCs w:val="20"/>
        </w:rPr>
        <w:t xml:space="preserve">Trois types de règles structurent la génération automatique :</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Donnée du questionnaire</w:t>
            </w:r>
          </w:p>
        </w:tc>
        <w:tc>
          <w:tcPr>
            <w:tcW w:type="dxa" w:w="62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Proposition générée</w:t>
            </w:r>
          </w:p>
        </w:tc>
      </w:tr>
      <w:tr>
        <w:tc>
          <w:tcPr>
            <w:tcW w:type="dxa" w:w="28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Système d'information métier opérationnel avec API</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Une proposition de service technique « Mise à disposition des données de [SI] via PINS » avec niveau de maturité PRÉ-CADRÉE</w:t>
            </w:r>
          </w:p>
        </w:tc>
      </w:tr>
      <w:tr>
        <w:tc>
          <w:tcPr>
            <w:tcW w:type="dxa" w:w="28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Données détenues identifiées comme partageables</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Une proposition pour chaque ensemble de données partageables, avec institutions consommatrices pressenties identifiées par croisement avec le profil d'autres administrations</w:t>
            </w:r>
          </w:p>
        </w:tc>
      </w:tr>
      <w:tr>
        <w:tc>
          <w:tcPr>
            <w:tcW w:type="dxa" w:w="2800"/>
            <w:tcBorders>
              <w:top w:val="single" w:color="E1E4E8" w:sz="4"/>
              <w:left w:val="single" w:color="E1E4E8" w:sz="4"/>
              <w:bottom w:val="single" w:color="E1E4E8" w:sz="4"/>
              <w:right w:val="single" w:color="E1E4E8" w:sz="4"/>
            </w:tcBorders>
            <w:shd w:fill="D4EBE9" w:val="clear"/>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Conformité avec un principe d'interopérabilité confirmée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Élévation automatique du niveau de maturité des propositions concernées vers PRÊTE À ADOPTER</w:t>
            </w:r>
          </w:p>
        </w:tc>
      </w:tr>
    </w:tbl>
    <w:p>
      <w:pPr>
        <w:spacing w:after="80" w:before="80" w:line="300"/>
        <w:jc w:val="both"/>
      </w:pPr>
      <w:r>
        <w:rPr>
          <w:rFonts w:ascii="Poppins" w:cs="Poppins" w:eastAsia="Poppins" w:hAnsi="Poppins"/>
          <w:color w:val="1F2937"/>
          <w:sz w:val="20"/>
          <w:szCs w:val="20"/>
        </w:rPr>
        <w:t xml:space="preserve">Les propositions générées entrent dans le catalogue avec un marquage d'origine clair — source = ÉTUDE_SENUM avec mention « Générée à partir du questionnaire de [institution] ». Elles sont visibles publiquement et peuvent être adoptées par les institutions pressenties selon les règles standards du catalogue.</w:t>
      </w:r>
    </w:p>
    <w:p>
      <w:pPr>
        <w:pStyle w:val="Heading2"/>
        <w:spacing w:after="160" w:before="300"/>
      </w:pPr>
      <w:r>
        <w:rPr>
          <w:rFonts w:ascii="Poppins" w:cs="Poppins" w:eastAsia="Poppins" w:hAnsi="Poppins"/>
          <w:b/>
          <w:bCs/>
          <w:color w:val="0A6B68"/>
          <w:sz w:val="26"/>
          <w:szCs w:val="26"/>
        </w:rPr>
        <w:t xml:space="preserve">3.2 Le questionnaire alimente le dictionnaire</w:t>
      </w:r>
    </w:p>
    <w:p>
      <w:pPr>
        <w:spacing w:after="80" w:before="80" w:line="300"/>
        <w:jc w:val="both"/>
      </w:pPr>
      <w:r>
        <w:rPr>
          <w:rFonts w:ascii="Poppins" w:cs="Poppins" w:eastAsia="Poppins" w:hAnsi="Poppins"/>
          <w:color w:val="1F2937"/>
          <w:sz w:val="20"/>
          <w:szCs w:val="20"/>
        </w:rPr>
        <w:t xml:space="preserve">Le second point d'articulation se situe entre le questionnaire et le module dictionnaire de données de la plateforme. La section huit du questionnaire collecte un dictionnaire de données niveau zéro pour chaque institution. Cette donnée précieuse n'est pas confinée au questionnaire.</w:t>
      </w:r>
    </w:p>
    <w:p>
      <w:pPr>
        <w:spacing w:after="80" w:before="80" w:line="300"/>
        <w:jc w:val="both"/>
      </w:pPr>
      <w:r>
        <w:rPr>
          <w:rFonts w:ascii="Poppins" w:cs="Poppins" w:eastAsia="Poppins" w:hAnsi="Poppins"/>
          <w:color w:val="1F2937"/>
          <w:sz w:val="20"/>
          <w:szCs w:val="20"/>
        </w:rPr>
        <w:t xml:space="preserve">À la soumission du questionnaire, les entrées du dictionnaire sont automatiquement converties en propositions d'enrichissement du dictionnaire de données institutionnel de la plateforme. Une étape de validation par la Delivery Unit garantit la cohérence et la qualité avant publication. Une fois validées, les entrées du dictionnaire deviennent visibles à toute l'écosystème via le module dédié, alimentent les fiches institution, et sont disponibles comme données référencées lors de la déclaration des cas d'usage techniques.</w:t>
      </w:r>
    </w:p>
    <w:p>
      <w:pPr>
        <w:pStyle w:val="Heading2"/>
        <w:spacing w:after="160" w:before="300"/>
      </w:pPr>
      <w:r>
        <w:rPr>
          <w:rFonts w:ascii="Poppins" w:cs="Poppins" w:eastAsia="Poppins" w:hAnsi="Poppins"/>
          <w:b/>
          <w:bCs/>
          <w:color w:val="0A6B68"/>
          <w:sz w:val="26"/>
          <w:szCs w:val="26"/>
        </w:rPr>
        <w:t xml:space="preserve">3.3 La typologie structure le catalogue et la Vue 360°</w:t>
      </w:r>
    </w:p>
    <w:p>
      <w:pPr>
        <w:spacing w:after="80" w:before="80" w:line="300"/>
        <w:jc w:val="both"/>
      </w:pPr>
      <w:r>
        <w:rPr>
          <w:rFonts w:ascii="Poppins" w:cs="Poppins" w:eastAsia="Poppins" w:hAnsi="Poppins"/>
          <w:color w:val="1F2937"/>
          <w:sz w:val="20"/>
          <w:szCs w:val="20"/>
        </w:rPr>
        <w:t xml:space="preserve">Le troisième point d'articulation est plus structurel. La typologie métier-technique, introduite en P9, traverse aussi bien le catalogue des propositions que le pipeline Vue 360°. Une proposition est, dès sa création, qualifiée comme parcours métier ou comme service technique. Cette qualification persiste à l'adoption et structure l'expérience utilisateur dans les deux modules.</w:t>
      </w:r>
    </w:p>
    <w:p>
      <w:pPr>
        <w:spacing w:after="80" w:before="80" w:line="300"/>
        <w:jc w:val="both"/>
      </w:pPr>
      <w:r>
        <w:rPr>
          <w:rFonts w:ascii="Poppins" w:cs="Poppins" w:eastAsia="Poppins" w:hAnsi="Poppins"/>
          <w:color w:val="1F2937"/>
          <w:sz w:val="20"/>
          <w:szCs w:val="20"/>
        </w:rPr>
        <w:t xml:space="preserve">Dans le catalogue, la typologie permet une navigation différenciée — onglets parcours métier et services techniques, indicateurs spécifiques, suggestions adaptées. Dans la Vue 360°, la typologie structure les fiches détaillées : un parcours métier expose le bloc des services techniques mobilisés, un service technique expose le bloc des parcours métier servis. Cette double lecture donne aux administrations et à la Delivery Unit une vision complète de la fabrique d'interopérabilité nationale.</w:t>
      </w:r>
    </w:p>
    <w:p>
      <w:pPr>
        <w:pStyle w:val="Heading2"/>
        <w:spacing w:after="160" w:before="300"/>
      </w:pPr>
      <w:r>
        <w:rPr>
          <w:rFonts w:ascii="Poppins" w:cs="Poppins" w:eastAsia="Poppins" w:hAnsi="Poppins"/>
          <w:b/>
          <w:bCs/>
          <w:color w:val="0A6B68"/>
          <w:sz w:val="26"/>
          <w:szCs w:val="26"/>
        </w:rPr>
        <w:t xml:space="preserve">3.4 La Vue 360° produit des indicateurs qui rétroagissent</w:t>
      </w:r>
    </w:p>
    <w:p>
      <w:pPr>
        <w:spacing w:after="80" w:before="80" w:line="300"/>
        <w:jc w:val="both"/>
      </w:pPr>
      <w:r>
        <w:rPr>
          <w:rFonts w:ascii="Poppins" w:cs="Poppins" w:eastAsia="Poppins" w:hAnsi="Poppins"/>
          <w:color w:val="1F2937"/>
          <w:sz w:val="20"/>
          <w:szCs w:val="20"/>
        </w:rPr>
        <w:t xml:space="preserve">Le quatrième point d'articulation ferme la boucle. Les cas d'usage qui progressent dans le pipeline Vue 360° produisent des indicateurs : nombre d'avis émis, taux de validation, délais moyens, mises en production effectives. Ces indicateurs alimentent la fiche institution et participent au calcul du score de maturité.</w:t>
      </w:r>
    </w:p>
    <w:p>
      <w:pPr>
        <w:spacing w:after="80" w:before="80" w:line="300"/>
        <w:jc w:val="both"/>
      </w:pPr>
      <w:r>
        <w:rPr>
          <w:rFonts w:ascii="Poppins" w:cs="Poppins" w:eastAsia="Poppins" w:hAnsi="Poppins"/>
          <w:color w:val="1F2937"/>
          <w:sz w:val="20"/>
          <w:szCs w:val="20"/>
        </w:rPr>
        <w:t xml:space="preserve">Une administration active dans le pipeline voit ainsi son score progresser, ce qui valorise objectivement son engagement. À l'inverse, une administration qui adopte mais ne fait pas progresser ses cas d'usage voit son score reculer dans le temps, signal qui peut déclencher un accompagnement spécifique de la Delivery Unit.</w:t>
      </w:r>
    </w:p>
    <w:p>
      <w:r>
        <w:br w:type="page"/>
      </w:r>
    </w:p>
    <w:p>
      <w:pPr>
        <w:pStyle w:val="Heading1"/>
        <w:spacing w:after="200" w:before="400"/>
      </w:pPr>
      <w:r>
        <w:rPr>
          <w:rFonts w:ascii="Poppins" w:cs="Poppins" w:eastAsia="Poppins" w:hAnsi="Poppins"/>
          <w:b/>
          <w:bCs/>
          <w:color w:val="0C1F3A"/>
          <w:sz w:val="32"/>
          <w:szCs w:val="32"/>
        </w:rPr>
        <w:t xml:space="preserve">4. Réponses aux neuf questions structurantes</w:t>
      </w:r>
    </w:p>
    <w:p>
      <w:pPr>
        <w:spacing w:after="80" w:before="80" w:line="300"/>
        <w:jc w:val="both"/>
      </w:pPr>
      <w:r>
        <w:rPr>
          <w:rFonts w:ascii="Poppins" w:cs="Poppins" w:eastAsia="Poppins" w:hAnsi="Poppins"/>
          <w:color w:val="1F2937"/>
          <w:sz w:val="20"/>
          <w:szCs w:val="20"/>
        </w:rPr>
        <w:t xml:space="preserve">Les choix d'architecture suivants ont été tranchés en cadrage initial. Ils orientent l'ensemble des évolutions à venir et fixent le contrat fonctionnel auquel les phases ultérieures devront se conformer.</w:t>
      </w:r>
    </w:p>
    <w:p>
      <w:pPr>
        <w:pStyle w:val="Heading2"/>
        <w:spacing w:after="160" w:before="300"/>
      </w:pPr>
      <w:r>
        <w:rPr>
          <w:rFonts w:ascii="Poppins" w:cs="Poppins" w:eastAsia="Poppins" w:hAnsi="Poppins"/>
          <w:b/>
          <w:bCs/>
          <w:color w:val="0A6B68"/>
          <w:sz w:val="26"/>
          <w:szCs w:val="26"/>
        </w:rPr>
        <w:t xml:space="preserve">4.1 Rôle du questionnaire dans le cycle institutionnel</w:t>
      </w:r>
    </w:p>
    <w:p>
      <w:pPr>
        <w:pStyle w:val="Heading3"/>
        <w:spacing w:after="120" w:before="240"/>
      </w:pPr>
      <w:r>
        <w:rPr>
          <w:rFonts w:ascii="Poppins" w:cs="Poppins" w:eastAsia="Poppins" w:hAnsi="Poppins"/>
          <w:b/>
          <w:bCs/>
          <w:color w:val="0C1F3A"/>
          <w:sz w:val="22"/>
          <w:szCs w:val="22"/>
        </w:rPr>
        <w:t xml:space="preserve">4.1.1 Le questionnaire est-il un prérequis bloquant</w:t>
      </w:r>
    </w:p>
    <w:p>
      <w:pPr>
        <w:spacing w:after="80" w:before="80" w:line="300"/>
        <w:jc w:val="both"/>
      </w:pPr>
      <w:r>
        <w:rPr>
          <w:rFonts w:ascii="Poppins" w:cs="Poppins" w:eastAsia="Poppins" w:hAnsi="Poppins"/>
          <w:color w:val="1F2937"/>
          <w:sz w:val="20"/>
          <w:szCs w:val="20"/>
        </w:rPr>
        <w:t xml:space="preserve">Réponse retenue : le questionnaire est fortement encouragé sans être un prérequis bloquant strict. Une administration qui se connecte pour la première fois est accueillie par un parcours d'onboarding qui valorise la complétion progressive du questionnaire. Tant que le questionnaire reste en statut DRAFT, certaines fonctionnalités restent inaccessibles ou présentent des limitations pédagogiques explicitées : par exemple, l'adoption directe de propositions techniques générées automatiquement nécessite un questionnaire validé, car ces propositions sont elles-mêmes générées à partir du questionnaire.</w:t>
      </w:r>
    </w:p>
    <w:p>
      <w:pPr>
        <w:spacing w:after="80" w:before="80" w:line="300"/>
        <w:jc w:val="both"/>
      </w:pPr>
      <w:r>
        <w:rPr>
          <w:rFonts w:ascii="Poppins" w:cs="Poppins" w:eastAsia="Poppins" w:hAnsi="Poppins"/>
          <w:color w:val="1F2937"/>
          <w:sz w:val="20"/>
          <w:szCs w:val="20"/>
        </w:rPr>
        <w:t xml:space="preserve">Cette posture combine encouragement institutionnel et respect de l'autonomie des administrations. Elle évite le piège du blocage frontal qui pourrait braquer certains acteurs, tout en créant une dynamique d'engagement par la valorisation visible des bénéfices de la complétion.</w:t>
      </w:r>
    </w:p>
    <w:p>
      <w:pPr>
        <w:pStyle w:val="Heading3"/>
        <w:spacing w:after="120" w:before="240"/>
      </w:pPr>
      <w:r>
        <w:rPr>
          <w:rFonts w:ascii="Poppins" w:cs="Poppins" w:eastAsia="Poppins" w:hAnsi="Poppins"/>
          <w:b/>
          <w:bCs/>
          <w:color w:val="0C1F3A"/>
          <w:sz w:val="22"/>
          <w:szCs w:val="22"/>
        </w:rPr>
        <w:t xml:space="preserve">4.1.2 Périodicité du questionnaire</w:t>
      </w:r>
    </w:p>
    <w:p>
      <w:pPr>
        <w:spacing w:after="80" w:before="80" w:line="300"/>
        <w:jc w:val="both"/>
      </w:pPr>
      <w:r>
        <w:rPr>
          <w:rFonts w:ascii="Poppins" w:cs="Poppins" w:eastAsia="Poppins" w:hAnsi="Poppins"/>
          <w:color w:val="1F2937"/>
          <w:sz w:val="20"/>
          <w:szCs w:val="20"/>
        </w:rPr>
        <w:t xml:space="preserve">Réponse retenue : le questionnaire suit deux logiques temporelles distinctes selon la nature des sections concernées. Les sections de stock — systèmes d'information métier, données détenues, dictionnaire de données — sont mises à jour en continu et incrémental. À chaque évolution réelle dans l'administration, le Point Focal ajuste les sections concernées. Aucune date d'expiration n'est appliquée à ces sections : elles restent valides tant qu'elles correspondent à la réalité.</w:t>
      </w:r>
    </w:p>
    <w:p>
      <w:pPr>
        <w:spacing w:after="80" w:before="80" w:line="300"/>
        <w:jc w:val="both"/>
      </w:pPr>
      <w:r>
        <w:rPr>
          <w:rFonts w:ascii="Poppins" w:cs="Poppins" w:eastAsia="Poppins" w:hAnsi="Poppins"/>
          <w:color w:val="1F2937"/>
          <w:sz w:val="20"/>
          <w:szCs w:val="20"/>
        </w:rPr>
        <w:t xml:space="preserve">Les sections d'évaluation — maturité Cloud, conformité aux principes EIF, préparation décret RGI — font l'objet d'une revue périodique annuelle. À la date anniversaire de la première soumission, l'administration reçoit un rappel automatique qui invite à confirmer ou réviser les évaluations. Cette périodicité annuelle permet de capter l'évolution réelle de la maturité numérique sans imposer une charge excessive de réponse.</w:t>
      </w:r>
    </w:p>
    <w:p>
      <w:pPr>
        <w:pStyle w:val="Heading2"/>
        <w:spacing w:after="160" w:before="300"/>
      </w:pPr>
      <w:r>
        <w:rPr>
          <w:rFonts w:ascii="Poppins" w:cs="Poppins" w:eastAsia="Poppins" w:hAnsi="Poppins"/>
          <w:b/>
          <w:bCs/>
          <w:color w:val="0A6B68"/>
          <w:sz w:val="26"/>
          <w:szCs w:val="26"/>
        </w:rPr>
        <w:t xml:space="preserve">4.2 Transformation des données du questionnaire</w:t>
      </w:r>
    </w:p>
    <w:p>
      <w:pPr>
        <w:pStyle w:val="Heading3"/>
        <w:spacing w:after="120" w:before="240"/>
      </w:pPr>
      <w:r>
        <w:rPr>
          <w:rFonts w:ascii="Poppins" w:cs="Poppins" w:eastAsia="Poppins" w:hAnsi="Poppins"/>
          <w:b/>
          <w:bCs/>
          <w:color w:val="0C1F3A"/>
          <w:sz w:val="22"/>
          <w:szCs w:val="22"/>
        </w:rPr>
        <w:t xml:space="preserve">4.2.1 Génération automatique de propositions</w:t>
      </w:r>
    </w:p>
    <w:p>
      <w:pPr>
        <w:spacing w:after="80" w:before="80" w:line="300"/>
        <w:jc w:val="both"/>
      </w:pPr>
      <w:r>
        <w:rPr>
          <w:rFonts w:ascii="Poppins" w:cs="Poppins" w:eastAsia="Poppins" w:hAnsi="Poppins"/>
          <w:color w:val="1F2937"/>
          <w:sz w:val="20"/>
          <w:szCs w:val="20"/>
        </w:rPr>
        <w:t xml:space="preserve">Réponse retenue : génération automatique limitée aux cas évidents. Comme détaillé en section 3.1, trois règles métier structurent la génération automatique de propositions à partir du questionnaire. Chaque proposition générée est marquée comme issue du questionnaire et passe par une validation systématique de la Delivery Unit avant publication. Aucune génération exhaustive ou spéculative n'est mise en œuvre — la pertinence prime sur le volume.</w:t>
      </w:r>
    </w:p>
    <w:p>
      <w:pPr>
        <w:pStyle w:val="Heading3"/>
        <w:spacing w:after="120" w:before="240"/>
      </w:pPr>
      <w:r>
        <w:rPr>
          <w:rFonts w:ascii="Poppins" w:cs="Poppins" w:eastAsia="Poppins" w:hAnsi="Poppins"/>
          <w:b/>
          <w:bCs/>
          <w:color w:val="0C1F3A"/>
          <w:sz w:val="22"/>
          <w:szCs w:val="22"/>
        </w:rPr>
        <w:t xml:space="preserve">4.2.2 Alimentation du dictionnaire de données</w:t>
      </w:r>
    </w:p>
    <w:p>
      <w:pPr>
        <w:spacing w:after="80" w:before="80" w:line="300"/>
        <w:jc w:val="both"/>
      </w:pPr>
      <w:r>
        <w:rPr>
          <w:rFonts w:ascii="Poppins" w:cs="Poppins" w:eastAsia="Poppins" w:hAnsi="Poppins"/>
          <w:color w:val="1F2937"/>
          <w:sz w:val="20"/>
          <w:szCs w:val="20"/>
        </w:rPr>
        <w:t xml:space="preserve">Réponse retenue : alimentation systématique avec validation de la Delivery Unit avant publication. Le dictionnaire collecté dans le questionnaire ne reste pas confiné. Il est automatiquement préparé pour publication dans le module dictionnaire de la plateforme, avec une étape de revue qualité par la Delivery Unit pour garantir la cohérence des intitulés, l'absence de doublons, l'usage correct des termes métier. Cette intermédiation protège la qualité du référentiel partagé sans ralentir l'enrichissement institutionnel.</w:t>
      </w:r>
    </w:p>
    <w:p>
      <w:pPr>
        <w:pStyle w:val="Heading2"/>
        <w:spacing w:after="160" w:before="300"/>
      </w:pPr>
      <w:r>
        <w:rPr>
          <w:rFonts w:ascii="Poppins" w:cs="Poppins" w:eastAsia="Poppins" w:hAnsi="Poppins"/>
          <w:b/>
          <w:bCs/>
          <w:color w:val="0A6B68"/>
          <w:sz w:val="26"/>
          <w:szCs w:val="26"/>
        </w:rPr>
        <w:t xml:space="preserve">4.3 Expérience utilisateur du questionnaire</w:t>
      </w:r>
    </w:p>
    <w:p>
      <w:pPr>
        <w:pStyle w:val="Heading3"/>
        <w:spacing w:after="120" w:before="240"/>
      </w:pPr>
      <w:r>
        <w:rPr>
          <w:rFonts w:ascii="Poppins" w:cs="Poppins" w:eastAsia="Poppins" w:hAnsi="Poppins"/>
          <w:b/>
          <w:bCs/>
          <w:color w:val="0C1F3A"/>
          <w:sz w:val="22"/>
          <w:szCs w:val="22"/>
        </w:rPr>
        <w:t xml:space="preserve">4.3.1 Format de remplissage</w:t>
      </w:r>
    </w:p>
    <w:p>
      <w:pPr>
        <w:spacing w:after="80" w:before="80" w:line="300"/>
        <w:jc w:val="both"/>
      </w:pPr>
      <w:r>
        <w:rPr>
          <w:rFonts w:ascii="Poppins" w:cs="Poppins" w:eastAsia="Poppins" w:hAnsi="Poppins"/>
          <w:color w:val="1F2937"/>
          <w:sz w:val="20"/>
          <w:szCs w:val="20"/>
        </w:rPr>
        <w:t xml:space="preserve">Réponse retenue : tableau de bord modulaire combiné à un wizard par section. À l'arrivée sur le module questionnaire, l'administration voit une vue tableau de bord présentant les huit sections sous forme de cartes, chacune indiquant son état d'avancement, son score interne le cas échéant, et la date de dernière modification. L'administration peut commencer par n'importe quelle section et avancer à son rythme.</w:t>
      </w:r>
    </w:p>
    <w:p>
      <w:pPr>
        <w:spacing w:after="80" w:before="80" w:line="300"/>
        <w:jc w:val="both"/>
      </w:pPr>
      <w:r>
        <w:rPr>
          <w:rFonts w:ascii="Poppins" w:cs="Poppins" w:eastAsia="Poppins" w:hAnsi="Poppins"/>
          <w:color w:val="1F2937"/>
          <w:sz w:val="20"/>
          <w:szCs w:val="20"/>
        </w:rPr>
        <w:t xml:space="preserve">Lorsque l'administration entre dans une section, l'interface bascule en mode wizard. Elle est guidée pas à pas dans les sous-questions, avec validation progressive et possibilité de sauvegarder à tout moment. À la sortie d'une section, le retour au tableau de bord met à jour l'indicateur d'avancement et affiche les sections recommandées suivantes.</w:t>
      </w:r>
    </w:p>
    <w:p>
      <w:pPr>
        <w:spacing w:after="80" w:before="80" w:line="300"/>
        <w:jc w:val="both"/>
      </w:pPr>
      <w:r>
        <w:rPr>
          <w:rFonts w:ascii="Poppins" w:cs="Poppins" w:eastAsia="Poppins" w:hAnsi="Poppins"/>
          <w:color w:val="1F2937"/>
          <w:sz w:val="20"/>
          <w:szCs w:val="20"/>
        </w:rPr>
        <w:t xml:space="preserve">Cette double approche concilie liberté de parcours — le tableau de bord donne le sentiment de maîtrise — et accompagnement structuré — le wizard évite l'abandon en milieu de section longue.</w:t>
      </w:r>
    </w:p>
    <w:p>
      <w:pPr>
        <w:pStyle w:val="Heading3"/>
        <w:spacing w:after="120" w:before="240"/>
      </w:pPr>
      <w:r>
        <w:rPr>
          <w:rFonts w:ascii="Poppins" w:cs="Poppins" w:eastAsia="Poppins" w:hAnsi="Poppins"/>
          <w:b/>
          <w:bCs/>
          <w:color w:val="0C1F3A"/>
          <w:sz w:val="22"/>
          <w:szCs w:val="22"/>
        </w:rPr>
        <w:t xml:space="preserve">4.3.2 Qui peut répondre</w:t>
      </w:r>
    </w:p>
    <w:p>
      <w:pPr>
        <w:spacing w:after="80" w:before="80" w:line="300"/>
        <w:jc w:val="both"/>
      </w:pPr>
      <w:r>
        <w:rPr>
          <w:rFonts w:ascii="Poppins" w:cs="Poppins" w:eastAsia="Poppins" w:hAnsi="Poppins"/>
          <w:color w:val="1F2937"/>
          <w:sz w:val="20"/>
          <w:szCs w:val="20"/>
        </w:rPr>
        <w:t xml:space="preserve">Réponse retenue : co-rédaction par le Point Focal et des contributeurs qu'il désigne. Le Point Focal nommé pour le PINS reste l'autorité institutionnelle qui valide le questionnaire dans son ensemble. Mais il peut désigner des contributeurs internes à son institution pour les sections techniques qui dépassent son champ direct : Direction des Systèmes d'Information ou Direction des Systèmes d'Information Numérique pour les sections deux à cinq, Responsable de la Sécurité des Systèmes d'Information pour les aspects de cybersécurité, juriste ou conseiller technique pour les sections relatives à la conformité réglementaire.</w:t>
      </w:r>
    </w:p>
    <w:p>
      <w:pPr>
        <w:spacing w:after="80" w:before="80" w:line="300"/>
        <w:jc w:val="both"/>
      </w:pPr>
      <w:r>
        <w:rPr>
          <w:rFonts w:ascii="Poppins" w:cs="Poppins" w:eastAsia="Poppins" w:hAnsi="Poppins"/>
          <w:color w:val="1F2937"/>
          <w:sz w:val="20"/>
          <w:szCs w:val="20"/>
        </w:rPr>
        <w:t xml:space="preserve">Chaque contributeur dispose d'un accès limité à la ou aux sections qui lui sont confiées. Le Point Focal voit toutes les sections, contrôle la cohérence d'ensemble, et porte la soumission finale. Cette répartition reflète la réalité des organisations administratives où plusieurs profils contribuent à une cartographie institutionnelle.</w:t>
      </w:r>
    </w:p>
    <w:p>
      <w:pPr>
        <w:pStyle w:val="Heading2"/>
        <w:spacing w:after="160" w:before="300"/>
      </w:pPr>
      <w:r>
        <w:rPr>
          <w:rFonts w:ascii="Poppins" w:cs="Poppins" w:eastAsia="Poppins" w:hAnsi="Poppins"/>
          <w:b/>
          <w:bCs/>
          <w:color w:val="0A6B68"/>
          <w:sz w:val="26"/>
          <w:szCs w:val="26"/>
        </w:rPr>
        <w:t xml:space="preserve">4.4 Score de maturité</w:t>
      </w:r>
    </w:p>
    <w:p>
      <w:pPr>
        <w:pStyle w:val="Heading3"/>
        <w:spacing w:after="120" w:before="240"/>
      </w:pPr>
      <w:r>
        <w:rPr>
          <w:rFonts w:ascii="Poppins" w:cs="Poppins" w:eastAsia="Poppins" w:hAnsi="Poppins"/>
          <w:b/>
          <w:bCs/>
          <w:color w:val="0C1F3A"/>
          <w:sz w:val="22"/>
          <w:szCs w:val="22"/>
        </w:rPr>
        <w:t xml:space="preserve">4.4.1 Mode de calcul</w:t>
      </w:r>
    </w:p>
    <w:p>
      <w:pPr>
        <w:spacing w:after="80" w:before="80" w:line="300"/>
        <w:jc w:val="both"/>
      </w:pPr>
      <w:r>
        <w:rPr>
          <w:rFonts w:ascii="Poppins" w:cs="Poppins" w:eastAsia="Poppins" w:hAnsi="Poppins"/>
          <w:color w:val="1F2937"/>
          <w:sz w:val="20"/>
          <w:szCs w:val="20"/>
        </w:rPr>
        <w:t xml:space="preserve">Réponse retenue : calcul automatique ajustable par la Delivery Unit avec justification tracée. Le score de maturité est, dans un premier temps, calculé automatiquement à partir des réponses du questionnaire, selon une formule transparente publiée dans la documentation. Ce calcul fournit un point de départ objectif et reproductible.</w:t>
      </w:r>
    </w:p>
    <w:p>
      <w:pPr>
        <w:spacing w:after="80" w:before="80" w:line="300"/>
        <w:jc w:val="both"/>
      </w:pPr>
      <w:r>
        <w:rPr>
          <w:rFonts w:ascii="Poppins" w:cs="Poppins" w:eastAsia="Poppins" w:hAnsi="Poppins"/>
          <w:color w:val="1F2937"/>
          <w:sz w:val="20"/>
          <w:szCs w:val="20"/>
        </w:rPr>
        <w:t xml:space="preserve">La Delivery Unit dispose toutefois de la prérogative d'ajuster manuellement le score, à la hausse ou à la baisse, sur la base d'éléments contextuels que le calcul automatique ne saurait capter — par exemple, une institution qui démontre par ses livrables une maturité supérieure au score calculé, ou à l'inverse, une institution dont les déclarations apparaissent surévaluées au regard de la réalité observée. Tout ajustement est tracé dans le journal inaltérable avec auteur, date et motivation.</w:t>
      </w:r>
    </w:p>
    <w:p>
      <w:pPr>
        <w:pStyle w:val="Heading3"/>
        <w:spacing w:after="120" w:before="240"/>
      </w:pPr>
      <w:r>
        <w:rPr>
          <w:rFonts w:ascii="Poppins" w:cs="Poppins" w:eastAsia="Poppins" w:hAnsi="Poppins"/>
          <w:b/>
          <w:bCs/>
          <w:color w:val="0C1F3A"/>
          <w:sz w:val="22"/>
          <w:szCs w:val="22"/>
        </w:rPr>
        <w:t xml:space="preserve">4.4.2 Confidentialité des scores</w:t>
      </w:r>
    </w:p>
    <w:p>
      <w:pPr>
        <w:spacing w:after="80" w:before="80" w:line="300"/>
        <w:jc w:val="both"/>
      </w:pPr>
      <w:r>
        <w:rPr>
          <w:rFonts w:ascii="Poppins" w:cs="Poppins" w:eastAsia="Poppins" w:hAnsi="Poppins"/>
          <w:color w:val="1F2937"/>
          <w:sz w:val="20"/>
          <w:szCs w:val="20"/>
        </w:rPr>
        <w:t xml:space="preserve">Réponse retenue : score confidentiel. Seule l'institution concernée et la Delivery Unit voient le score d'une institution. Les autres administrations ne peuvent pas comparer les scores entre eux. Cette confidentialité protège la sincérité du questionnaire — les administrations sont incitées à répondre honnêtement, sans crainte d'un classement public défavorable.</w:t>
      </w:r>
    </w:p>
    <w:p>
      <w:pPr>
        <w:spacing w:after="80" w:before="80" w:line="300"/>
        <w:jc w:val="both"/>
      </w:pPr>
      <w:r>
        <w:rPr>
          <w:rFonts w:ascii="Poppins" w:cs="Poppins" w:eastAsia="Poppins" w:hAnsi="Poppins"/>
          <w:color w:val="1F2937"/>
          <w:sz w:val="20"/>
          <w:szCs w:val="20"/>
        </w:rPr>
        <w:t xml:space="preserve">La Delivery Unit conserve une vue exhaustive des scores agrégés et peut produire des indicateurs publics anonymisés — distribution globale, évolution moyenne — pour rendre compte de la trajectoire de l'écosystème national sans exposer les institutions individuellement.</w:t>
      </w:r>
    </w:p>
    <w:p>
      <w:pPr>
        <w:pStyle w:val="Heading2"/>
        <w:spacing w:after="160" w:before="300"/>
      </w:pPr>
      <w:r>
        <w:rPr>
          <w:rFonts w:ascii="Poppins" w:cs="Poppins" w:eastAsia="Poppins" w:hAnsi="Poppins"/>
          <w:b/>
          <w:bCs/>
          <w:color w:val="0A6B68"/>
          <w:sz w:val="26"/>
          <w:szCs w:val="26"/>
        </w:rPr>
        <w:t xml:space="preserve">4.5 Lecture typologique du questionnaire</w:t>
      </w:r>
    </w:p>
    <w:p>
      <w:pPr>
        <w:spacing w:after="80" w:before="80" w:line="300"/>
        <w:jc w:val="both"/>
      </w:pPr>
      <w:r>
        <w:rPr>
          <w:rFonts w:ascii="Poppins" w:cs="Poppins" w:eastAsia="Poppins" w:hAnsi="Poppins"/>
          <w:color w:val="1F2937"/>
          <w:sz w:val="20"/>
          <w:szCs w:val="20"/>
        </w:rPr>
        <w:t xml:space="preserve">Réponse retenue : lecture typologique documentée comme vision de long terme, sans refonte structurelle imminente. Le questionnaire d'évaluation institutionnelle peut conceptuellement être relu comme un parcours métier de typologie METIER, intitulé « Évaluation de maturité d'interopérabilité institutionnelle », composé de plusieurs cas d'usage techniques sous-jacents — collecte des systèmes d'information, évaluation Cloud, évaluation EIF, collecte du dictionnaire.</w:t>
      </w:r>
    </w:p>
    <w:p>
      <w:pPr>
        <w:spacing w:after="80" w:before="80" w:line="300"/>
        <w:jc w:val="both"/>
      </w:pPr>
      <w:r>
        <w:rPr>
          <w:rFonts w:ascii="Poppins" w:cs="Poppins" w:eastAsia="Poppins" w:hAnsi="Poppins"/>
          <w:color w:val="1F2937"/>
          <w:sz w:val="20"/>
          <w:szCs w:val="20"/>
        </w:rPr>
        <w:t xml:space="preserve">Cette lecture est consignée dans la présente note comme orientation de cohérence architecturale. Elle ne déclenche pas de refonte technique du module questionnaire dans l'horizon proche. Elle pourra être pleinement matérialisée dans une phase ultérieure — au-delà de la phase douze — lorsque la maturité de la plateforme et la stabilité des usages le justifieront.</w:t>
      </w:r>
    </w:p>
    <w:p>
      <w:r>
        <w:br w:type="page"/>
      </w:r>
    </w:p>
    <w:p>
      <w:pPr>
        <w:pStyle w:val="Heading1"/>
        <w:spacing w:after="200" w:before="400"/>
      </w:pPr>
      <w:r>
        <w:rPr>
          <w:rFonts w:ascii="Poppins" w:cs="Poppins" w:eastAsia="Poppins" w:hAnsi="Poppins"/>
          <w:b/>
          <w:bCs/>
          <w:color w:val="0C1F3A"/>
          <w:sz w:val="32"/>
          <w:szCs w:val="32"/>
        </w:rPr>
        <w:t xml:space="preserve">5. Implications sur l'existant</w:t>
      </w:r>
    </w:p>
    <w:p>
      <w:pPr>
        <w:pStyle w:val="Heading2"/>
        <w:spacing w:after="160" w:before="300"/>
      </w:pPr>
      <w:r>
        <w:rPr>
          <w:rFonts w:ascii="Poppins" w:cs="Poppins" w:eastAsia="Poppins" w:hAnsi="Poppins"/>
          <w:b/>
          <w:bCs/>
          <w:color w:val="0A6B68"/>
          <w:sz w:val="26"/>
          <w:szCs w:val="26"/>
        </w:rPr>
        <w:t xml:space="preserve">5.1 Refonte ergonomique du questionnaire</w:t>
      </w:r>
    </w:p>
    <w:p>
      <w:pPr>
        <w:spacing w:after="80" w:before="80" w:line="300"/>
        <w:jc w:val="both"/>
      </w:pPr>
      <w:r>
        <w:rPr>
          <w:rFonts w:ascii="Poppins" w:cs="Poppins" w:eastAsia="Poppins" w:hAnsi="Poppins"/>
          <w:color w:val="1F2937"/>
          <w:sz w:val="20"/>
          <w:szCs w:val="20"/>
        </w:rPr>
        <w:t xml:space="preserve">Le contenu du questionnaire actuel — les huit sections riches héritées du MVP zéro — est validé et conservé. Aucune section n'est supprimée. Aucune question n'est retirée. La valeur informationnelle du questionnaire reste intacte.</w:t>
      </w:r>
    </w:p>
    <w:p>
      <w:pPr>
        <w:spacing w:after="80" w:before="80" w:line="300"/>
        <w:jc w:val="both"/>
      </w:pPr>
      <w:r>
        <w:rPr>
          <w:rFonts w:ascii="Poppins" w:cs="Poppins" w:eastAsia="Poppins" w:hAnsi="Poppins"/>
          <w:color w:val="1F2937"/>
          <w:sz w:val="20"/>
          <w:szCs w:val="20"/>
        </w:rPr>
        <w:t xml:space="preserve">Ce qui doit être refondu, c'est l'expérience utilisateur. Le questionnaire actuel a été conçu comme un outil d'atelier ponctuel, distribué en format Word, complété en réunion physique avec accompagnement de la Delivery Unit. Il devient désormais un parcours digital intégré, complétable en mode autonome, accessible à tout moment, avec sauvegarde progressive et co-rédaction multi-contributeurs.</w:t>
      </w:r>
    </w:p>
    <w:p>
      <w:pPr>
        <w:spacing w:after="80" w:before="80" w:line="300"/>
        <w:jc w:val="both"/>
      </w:pPr>
      <w:r>
        <w:rPr>
          <w:rFonts w:ascii="Poppins" w:cs="Poppins" w:eastAsia="Poppins" w:hAnsi="Poppins"/>
          <w:color w:val="1F2937"/>
          <w:sz w:val="20"/>
          <w:szCs w:val="20"/>
        </w:rPr>
        <w:t xml:space="preserve">Cette refonte ergonomique implique le développement d'un nouveau module front-end pour le questionnaire, avec tableau de bord modulaire et wizard par section. Le back-end existant pour la persistance des soumissions reste largement réutilisable, moyennant l'enrichissement du modèle de données pour gérer la co-rédaction et le découpage par section.</w:t>
      </w:r>
    </w:p>
    <w:p>
      <w:pPr>
        <w:pStyle w:val="Heading2"/>
        <w:spacing w:after="160" w:before="300"/>
      </w:pPr>
      <w:r>
        <w:rPr>
          <w:rFonts w:ascii="Poppins" w:cs="Poppins" w:eastAsia="Poppins" w:hAnsi="Poppins"/>
          <w:b/>
          <w:bCs/>
          <w:color w:val="0A6B68"/>
          <w:sz w:val="26"/>
          <w:szCs w:val="26"/>
        </w:rPr>
        <w:t xml:space="preserve">5.2 Génération automatique de propositions</w:t>
      </w:r>
    </w:p>
    <w:p>
      <w:pPr>
        <w:spacing w:after="80" w:before="80" w:line="300"/>
        <w:jc w:val="both"/>
      </w:pPr>
      <w:r>
        <w:rPr>
          <w:rFonts w:ascii="Poppins" w:cs="Poppins" w:eastAsia="Poppins" w:hAnsi="Poppins"/>
          <w:color w:val="1F2937"/>
          <w:sz w:val="20"/>
          <w:szCs w:val="20"/>
        </w:rPr>
        <w:t xml:space="preserve">La génération automatique de propositions techniques à partir du questionnaire constitue une fonctionnalité nouvelle qui s'articule avec la phase P8 — catalogue des propositions. Sa mise en œuvre implique l'écriture d'un service de génération côté back-end, qui parse les réponses du questionnaire à sa soumission, applique les règles métier décrites en section 3.1, et crée les entrées correspondantes dans la table des propositions du catalogue avec marquage d'origine.</w:t>
      </w:r>
    </w:p>
    <w:p>
      <w:pPr>
        <w:spacing w:after="80" w:before="80" w:line="300"/>
        <w:jc w:val="both"/>
      </w:pPr>
      <w:r>
        <w:rPr>
          <w:rFonts w:ascii="Poppins" w:cs="Poppins" w:eastAsia="Poppins" w:hAnsi="Poppins"/>
          <w:color w:val="1F2937"/>
          <w:sz w:val="20"/>
          <w:szCs w:val="20"/>
        </w:rPr>
        <w:t xml:space="preserve">Côté Delivery Unit, une interface de revue est nécessaire pour valider, ajuster ou rejeter les propositions générées avant leur publication. Cette interface s'intègre dans le module Pilotage existant.</w:t>
      </w:r>
    </w:p>
    <w:p>
      <w:pPr>
        <w:pStyle w:val="Heading2"/>
        <w:spacing w:after="160" w:before="300"/>
      </w:pPr>
      <w:r>
        <w:rPr>
          <w:rFonts w:ascii="Poppins" w:cs="Poppins" w:eastAsia="Poppins" w:hAnsi="Poppins"/>
          <w:b/>
          <w:bCs/>
          <w:color w:val="0A6B68"/>
          <w:sz w:val="26"/>
          <w:szCs w:val="26"/>
        </w:rPr>
        <w:t xml:space="preserve">5.3 Alimentation du dictionnaire de données</w:t>
      </w:r>
    </w:p>
    <w:p>
      <w:pPr>
        <w:spacing w:after="80" w:before="80" w:line="300"/>
        <w:jc w:val="both"/>
      </w:pPr>
      <w:r>
        <w:rPr>
          <w:rFonts w:ascii="Poppins" w:cs="Poppins" w:eastAsia="Poppins" w:hAnsi="Poppins"/>
          <w:color w:val="1F2937"/>
          <w:sz w:val="20"/>
          <w:szCs w:val="20"/>
        </w:rPr>
        <w:t xml:space="preserve">De manière analogue, l'alimentation du dictionnaire de données institutionnel à partir de la section huit du questionnaire constitue une seconde fonctionnalité de transformation. Le service back-end correspondant convertit les entrées du dictionnaire questionnaire en propositions d'enrichissement du dictionnaire de la plateforme. Une interface de revue Delivery Unit valide ces propositions avant publication.</w:t>
      </w:r>
    </w:p>
    <w:p>
      <w:pPr>
        <w:spacing w:after="80" w:before="80" w:line="300"/>
        <w:jc w:val="both"/>
      </w:pPr>
      <w:r>
        <w:rPr>
          <w:rFonts w:ascii="Poppins" w:cs="Poppins" w:eastAsia="Poppins" w:hAnsi="Poppins"/>
          <w:color w:val="1F2937"/>
          <w:sz w:val="20"/>
          <w:szCs w:val="20"/>
        </w:rPr>
        <w:t xml:space="preserve">L'articulation avec le dictionnaire existant — module dictionnaire-de-donnees déjà présent dans la plateforme — doit être soigneusement conçue pour éviter la duplication d'entrées, garantir la cohérence des intitulés, et permettre la traçabilité de l'origine de chaque entrée.</w:t>
      </w:r>
    </w:p>
    <w:p>
      <w:pPr>
        <w:pStyle w:val="Heading2"/>
        <w:spacing w:after="160" w:before="300"/>
      </w:pPr>
      <w:r>
        <w:rPr>
          <w:rFonts w:ascii="Poppins" w:cs="Poppins" w:eastAsia="Poppins" w:hAnsi="Poppins"/>
          <w:b/>
          <w:bCs/>
          <w:color w:val="0A6B68"/>
          <w:sz w:val="26"/>
          <w:szCs w:val="26"/>
        </w:rPr>
        <w:t xml:space="preserve">5.4 Calcul du score de maturité</w:t>
      </w:r>
    </w:p>
    <w:p>
      <w:pPr>
        <w:spacing w:after="80" w:before="80" w:line="300"/>
        <w:jc w:val="both"/>
      </w:pPr>
      <w:r>
        <w:rPr>
          <w:rFonts w:ascii="Poppins" w:cs="Poppins" w:eastAsia="Poppins" w:hAnsi="Poppins"/>
          <w:color w:val="1F2937"/>
          <w:sz w:val="20"/>
          <w:szCs w:val="20"/>
        </w:rPr>
        <w:t xml:space="preserve">Le score de maturité, actuellement déclaratif sur la fiche institution, devient calculé automatiquement à partir des réponses du questionnaire. La formule de calcul est définie dans une note méthodologique distincte de la présente note d'architecture, et publiée pour transparence.</w:t>
      </w:r>
    </w:p>
    <w:p>
      <w:pPr>
        <w:spacing w:after="80" w:before="80" w:line="300"/>
        <w:jc w:val="both"/>
      </w:pPr>
      <w:r>
        <w:rPr>
          <w:rFonts w:ascii="Poppins" w:cs="Poppins" w:eastAsia="Poppins" w:hAnsi="Poppins"/>
          <w:color w:val="1F2937"/>
          <w:sz w:val="20"/>
          <w:szCs w:val="20"/>
        </w:rPr>
        <w:t xml:space="preserve">La fonctionnalité d'ajustement manuel par la Delivery Unit est ajoutée à l'interface de gestion des institutions. Tout ajustement déclenche une transition tracée dans le journal inaltérable de la fiche institution.</w:t>
      </w:r>
    </w:p>
    <w:p>
      <w:pPr>
        <w:pStyle w:val="Heading2"/>
        <w:spacing w:after="160" w:before="300"/>
      </w:pPr>
      <w:r>
        <w:rPr>
          <w:rFonts w:ascii="Poppins" w:cs="Poppins" w:eastAsia="Poppins" w:hAnsi="Poppins"/>
          <w:b/>
          <w:bCs/>
          <w:color w:val="0A6B68"/>
          <w:sz w:val="26"/>
          <w:szCs w:val="26"/>
        </w:rPr>
        <w:t xml:space="preserve">5.5 Tableau de bord institutionnel enrichi</w:t>
      </w:r>
    </w:p>
    <w:p>
      <w:pPr>
        <w:spacing w:after="80" w:before="80" w:line="300"/>
        <w:jc w:val="both"/>
      </w:pPr>
      <w:r>
        <w:rPr>
          <w:rFonts w:ascii="Poppins" w:cs="Poppins" w:eastAsia="Poppins" w:hAnsi="Poppins"/>
          <w:color w:val="1F2937"/>
          <w:sz w:val="20"/>
          <w:szCs w:val="20"/>
        </w:rPr>
        <w:t xml:space="preserve">Le tableau de bord d'une administration s'enrichit pour refléter sa progression dans les trois temps. La section diagnostic affiche l'état de complétion du questionnaire avec lien vers le tableau de bord modulaire. La section anticipation présente les propositions du catalogue pertinentes pour l'institution — pressenties ou candidates à génération. La section engagement reprend les blocs Vue 360° existants — sollicitations, cas d'usage initiés, radar sectoriel, cas d'usage qui me concernent.</w:t>
      </w:r>
    </w:p>
    <w:p>
      <w:pPr>
        <w:spacing w:after="80" w:before="80" w:line="300"/>
        <w:jc w:val="both"/>
      </w:pPr>
      <w:r>
        <w:rPr>
          <w:rFonts w:ascii="Poppins" w:cs="Poppins" w:eastAsia="Poppins" w:hAnsi="Poppins"/>
          <w:color w:val="1F2937"/>
          <w:sz w:val="20"/>
          <w:szCs w:val="20"/>
        </w:rPr>
        <w:t xml:space="preserve">Les indicateurs de tête s'adaptent : score de maturité, taux de complétion du questionnaire, nombre de propositions adoptées, nombre de cas d'usage en production. Ces indicateurs forment ensemble la photographie institutionnelle au sens du PINS.</w:t>
      </w:r>
    </w:p>
    <w:p>
      <w:r>
        <w:br w:type="page"/>
      </w:r>
    </w:p>
    <w:p>
      <w:pPr>
        <w:pStyle w:val="Heading1"/>
        <w:spacing w:after="200" w:before="400"/>
      </w:pPr>
      <w:r>
        <w:rPr>
          <w:rFonts w:ascii="Poppins" w:cs="Poppins" w:eastAsia="Poppins" w:hAnsi="Poppins"/>
          <w:b/>
          <w:bCs/>
          <w:color w:val="0C1F3A"/>
          <w:sz w:val="32"/>
          <w:szCs w:val="32"/>
        </w:rPr>
        <w:t xml:space="preserve">6. Plan d'évolutions techniques associées</w:t>
      </w:r>
    </w:p>
    <w:p>
      <w:pPr>
        <w:spacing w:after="80" w:before="80" w:line="300"/>
        <w:jc w:val="both"/>
      </w:pPr>
      <w:r>
        <w:rPr>
          <w:rFonts w:ascii="Poppins" w:cs="Poppins" w:eastAsia="Poppins" w:hAnsi="Poppins"/>
          <w:color w:val="1F2937"/>
          <w:sz w:val="20"/>
          <w:szCs w:val="20"/>
        </w:rPr>
        <w:t xml:space="preserve">La mise en œuvre des principes formalisés dans la présente note se décompose en quatre phases techniques successives, qui suivent les phases déjà identifiées P8 — catalogue des propositions — et P9 — typologie métier-technique. Ces phases constituent une roadmap indicative, dont le calendrier précis sera arbitré par la Delivery Unit en fonction des priorités opérationnelles.</w:t>
      </w:r>
    </w:p>
    <w:p>
      <w:pPr>
        <w:pStyle w:val="Heading2"/>
        <w:spacing w:after="160" w:before="300"/>
      </w:pPr>
      <w:r>
        <w:rPr>
          <w:rFonts w:ascii="Poppins" w:cs="Poppins" w:eastAsia="Poppins" w:hAnsi="Poppins"/>
          <w:b/>
          <w:bCs/>
          <w:color w:val="0A6B68"/>
          <w:sz w:val="26"/>
          <w:szCs w:val="26"/>
        </w:rPr>
        <w:t xml:space="preserve">6.1 Phase P11 — Onboarding guidé et refonte ergonomique du questionnaire</w:t>
      </w:r>
    </w:p>
    <w:p>
      <w:pPr>
        <w:spacing w:after="80" w:before="80" w:line="300"/>
        <w:jc w:val="both"/>
      </w:pPr>
      <w:r>
        <w:rPr>
          <w:rFonts w:ascii="Poppins" w:cs="Poppins" w:eastAsia="Poppins" w:hAnsi="Poppins"/>
          <w:color w:val="1F2937"/>
          <w:sz w:val="20"/>
          <w:szCs w:val="20"/>
        </w:rPr>
        <w:t xml:space="preserve">Cette phase livre le wizard d'onboarding institutionnel qui accueille toute administration à sa première connexion, et la refonte complète de l'ergonomie du questionnaire en tableau de bord modulaire avec wizard par section. Elle inclut également la fonctionnalité de co-rédaction multi-contributeurs avec gestion fine des accès par section.</w:t>
      </w:r>
    </w:p>
    <w:p>
      <w:pPr>
        <w:spacing w:after="80" w:before="80" w:line="300"/>
        <w:jc w:val="both"/>
      </w:pPr>
      <w:r>
        <w:rPr>
          <w:rFonts w:ascii="Poppins" w:cs="Poppins" w:eastAsia="Poppins" w:hAnsi="Poppins"/>
          <w:color w:val="1F2937"/>
          <w:sz w:val="20"/>
          <w:szCs w:val="20"/>
        </w:rPr>
        <w:t xml:space="preserve">Effort estimé : huit à dix jours de développement. Livrables : module questionnaire-v2 entièrement réécrit côté front-end, enrichissement du modèle de données back-end pour la co-rédaction, parcours d'onboarding intégré au point d'entrée de l'application.</w:t>
      </w:r>
    </w:p>
    <w:p>
      <w:pPr>
        <w:pStyle w:val="Heading2"/>
        <w:spacing w:after="160" w:before="300"/>
      </w:pPr>
      <w:r>
        <w:rPr>
          <w:rFonts w:ascii="Poppins" w:cs="Poppins" w:eastAsia="Poppins" w:hAnsi="Poppins"/>
          <w:b/>
          <w:bCs/>
          <w:color w:val="0A6B68"/>
          <w:sz w:val="26"/>
          <w:szCs w:val="26"/>
        </w:rPr>
        <w:t xml:space="preserve">6.2 Phase P12 — Génération automatique de propositions et alimentation du dictionnaire</w:t>
      </w:r>
    </w:p>
    <w:p>
      <w:pPr>
        <w:spacing w:after="80" w:before="80" w:line="300"/>
        <w:jc w:val="both"/>
      </w:pPr>
      <w:r>
        <w:rPr>
          <w:rFonts w:ascii="Poppins" w:cs="Poppins" w:eastAsia="Poppins" w:hAnsi="Poppins"/>
          <w:color w:val="1F2937"/>
          <w:sz w:val="20"/>
          <w:szCs w:val="20"/>
        </w:rPr>
        <w:t xml:space="preserve">Cette phase livre les deux services de transformation décrits en sections 5.2 et 5.3. Elle inclut les interfaces de revue Delivery Unit pour valider les éléments générés avant publication. Elle articule formellement le module questionnaire avec le catalogue des propositions et avec le module dictionnaire de données.</w:t>
      </w:r>
    </w:p>
    <w:p>
      <w:pPr>
        <w:spacing w:after="80" w:before="80" w:line="300"/>
        <w:jc w:val="both"/>
      </w:pPr>
      <w:r>
        <w:rPr>
          <w:rFonts w:ascii="Poppins" w:cs="Poppins" w:eastAsia="Poppins" w:hAnsi="Poppins"/>
          <w:color w:val="1F2937"/>
          <w:sz w:val="20"/>
          <w:szCs w:val="20"/>
        </w:rPr>
        <w:t xml:space="preserve">Effort estimé : six à huit jours de développement. Prérequis : phase P8 — catalogue des propositions — pleinement livrée et stabilisée. Livrables : services de génération back-end, interfaces de revue dans le module Pilotage, mise à jour de la documentation utilisateur.</w:t>
      </w:r>
    </w:p>
    <w:p>
      <w:pPr>
        <w:pStyle w:val="Heading2"/>
        <w:spacing w:after="160" w:before="300"/>
      </w:pPr>
      <w:r>
        <w:rPr>
          <w:rFonts w:ascii="Poppins" w:cs="Poppins" w:eastAsia="Poppins" w:hAnsi="Poppins"/>
          <w:b/>
          <w:bCs/>
          <w:color w:val="0A6B68"/>
          <w:sz w:val="26"/>
          <w:szCs w:val="26"/>
        </w:rPr>
        <w:t xml:space="preserve">6.3 Phase P13 — Score de maturité calculé et tableau de bord institutionnel enrichi</w:t>
      </w:r>
    </w:p>
    <w:p>
      <w:pPr>
        <w:spacing w:after="80" w:before="80" w:line="300"/>
        <w:jc w:val="both"/>
      </w:pPr>
      <w:r>
        <w:rPr>
          <w:rFonts w:ascii="Poppins" w:cs="Poppins" w:eastAsia="Poppins" w:hAnsi="Poppins"/>
          <w:color w:val="1F2937"/>
          <w:sz w:val="20"/>
          <w:szCs w:val="20"/>
        </w:rPr>
        <w:t xml:space="preserve">Cette phase livre le calcul automatique du score de maturité avec sa formule transparente publiée, la fonctionnalité d'ajustement manuel par la Delivery Unit avec traçabilité, et la refonte du tableau de bord institutionnel selon la structure trois temps décrite en section 5.5.</w:t>
      </w:r>
    </w:p>
    <w:p>
      <w:pPr>
        <w:spacing w:after="80" w:before="80" w:line="300"/>
        <w:jc w:val="both"/>
      </w:pPr>
      <w:r>
        <w:rPr>
          <w:rFonts w:ascii="Poppins" w:cs="Poppins" w:eastAsia="Poppins" w:hAnsi="Poppins"/>
          <w:color w:val="1F2937"/>
          <w:sz w:val="20"/>
          <w:szCs w:val="20"/>
        </w:rPr>
        <w:t xml:space="preserve">Effort estimé : cinq à sept jours de développement. Prérequis : phases P11 et P12 livrées. Livrables : moteur de calcul de score, interface d'ajustement Delivery Unit, refonte du composant DashboardPage.</w:t>
      </w:r>
    </w:p>
    <w:p>
      <w:pPr>
        <w:pStyle w:val="Heading2"/>
        <w:spacing w:after="160" w:before="300"/>
      </w:pPr>
      <w:r>
        <w:rPr>
          <w:rFonts w:ascii="Poppins" w:cs="Poppins" w:eastAsia="Poppins" w:hAnsi="Poppins"/>
          <w:b/>
          <w:bCs/>
          <w:color w:val="0A6B68"/>
          <w:sz w:val="26"/>
          <w:szCs w:val="26"/>
        </w:rPr>
        <w:t xml:space="preserve">6.4 Phase P14 — Templates de parcours métier et accompagnement guidé</w:t>
      </w:r>
    </w:p>
    <w:p>
      <w:pPr>
        <w:spacing w:after="80" w:before="80" w:line="300"/>
        <w:jc w:val="both"/>
      </w:pPr>
      <w:r>
        <w:rPr>
          <w:rFonts w:ascii="Poppins" w:cs="Poppins" w:eastAsia="Poppins" w:hAnsi="Poppins"/>
          <w:color w:val="1F2937"/>
          <w:sz w:val="20"/>
          <w:szCs w:val="20"/>
        </w:rPr>
        <w:t xml:space="preserve">Cette phase, plus prospective, livre des templates de parcours métier pré-cadrés pour les cas d'usage les plus courants — création d'entreprise, paiement d'impôt, demande de passeport. Elle inclut un accompagnement guidé de l'administration coordonnatrice qui adopte un template, avec suggestion automatique des services techniques à mobiliser.</w:t>
      </w:r>
    </w:p>
    <w:p>
      <w:pPr>
        <w:spacing w:after="80" w:before="80" w:line="300"/>
        <w:jc w:val="both"/>
      </w:pPr>
      <w:r>
        <w:rPr>
          <w:rFonts w:ascii="Poppins" w:cs="Poppins" w:eastAsia="Poppins" w:hAnsi="Poppins"/>
          <w:color w:val="1F2937"/>
          <w:sz w:val="20"/>
          <w:szCs w:val="20"/>
        </w:rPr>
        <w:t xml:space="preserve">Effort estimé : six à huit jours de développement. Prérequis : phases P9, P11, P12, P13 livrées. Livrables : bibliothèque de templates initiale de cinq à dix parcours, parcours d'adoption enrichi, suggestion croisée avec catalogue des services techniques.</w:t>
      </w:r>
    </w:p>
    <w:p>
      <w:r>
        <w:br w:type="page"/>
      </w:r>
    </w:p>
    <w:p>
      <w:pPr>
        <w:pStyle w:val="Heading1"/>
        <w:spacing w:after="200" w:before="400"/>
      </w:pPr>
      <w:r>
        <w:rPr>
          <w:rFonts w:ascii="Poppins" w:cs="Poppins" w:eastAsia="Poppins" w:hAnsi="Poppins"/>
          <w:b/>
          <w:bCs/>
          <w:color w:val="0C1F3A"/>
          <w:sz w:val="32"/>
          <w:szCs w:val="32"/>
        </w:rPr>
        <w:t xml:space="preserve">7. Indicateurs de succès de l'onboarding</w:t>
      </w:r>
    </w:p>
    <w:p>
      <w:pPr>
        <w:spacing w:after="80" w:before="80" w:line="300"/>
        <w:jc w:val="both"/>
      </w:pPr>
      <w:r>
        <w:rPr>
          <w:rFonts w:ascii="Poppins" w:cs="Poppins" w:eastAsia="Poppins" w:hAnsi="Poppins"/>
          <w:color w:val="1F2937"/>
          <w:sz w:val="20"/>
          <w:szCs w:val="20"/>
        </w:rPr>
        <w:t xml:space="preserve">Pour mesurer si la plateforme remplit effectivement sa fonction de transformation institutionnelle, six indicateurs principaux sont définis. Ces indicateurs nourrissent les rapports périodiques de la Delivery Unit et permettent d'ajuster les actions d'accompagnement le cas échéant.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tblHeader/>
        </w:trPr>
        <w:tc>
          <w:tcPr>
            <w:tcW w:type="dxa" w:w="30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Indicateur</w:t>
            </w:r>
          </w:p>
        </w:tc>
        <w:tc>
          <w:tcPr>
            <w:tcW w:type="dxa" w:w="27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Cible année 1</w:t>
            </w:r>
          </w:p>
        </w:tc>
        <w:tc>
          <w:tcPr>
            <w:tcW w:type="dxa" w:w="33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Lecture</w:t>
            </w:r>
          </w:p>
        </w:tc>
      </w:tr>
      <w:tr>
        <w:tc>
          <w:tcPr>
            <w:tcW w:type="dxa" w:w="30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Taux de complétion du questionnaire à 30 jours</w:t>
            </w:r>
          </w:p>
        </w:tc>
        <w:tc>
          <w:tcPr>
            <w:tcW w:type="dxa" w:w="2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47857"/>
                <w:sz w:val="18"/>
                <w:szCs w:val="18"/>
              </w:rPr>
              <w:t xml:space="preserve">80%</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Mesure l'efficacité de l'onboarding initial</w:t>
            </w:r>
          </w:p>
        </w:tc>
      </w:tr>
      <w:tr>
        <w:tc>
          <w:tcPr>
            <w:tcW w:type="dxa" w:w="30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Taux de soumission complète à 90 jours</w:t>
            </w:r>
          </w:p>
        </w:tc>
        <w:tc>
          <w:tcPr>
            <w:tcW w:type="dxa" w:w="2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47857"/>
                <w:sz w:val="18"/>
                <w:szCs w:val="18"/>
              </w:rPr>
              <w:t xml:space="preserve">60%</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Mesure l'engagement institutionnel sur la durée</w:t>
            </w:r>
          </w:p>
        </w:tc>
      </w:tr>
      <w:tr>
        <w:tc>
          <w:tcPr>
            <w:tcW w:type="dxa" w:w="30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Taux d'adoption d'au moins une proposition à 60 jours post-questionnaire</w:t>
            </w:r>
          </w:p>
        </w:tc>
        <w:tc>
          <w:tcPr>
            <w:tcW w:type="dxa" w:w="2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40%</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Mesure le passage du diagnostic à l'anticipation</w:t>
            </w:r>
          </w:p>
        </w:tc>
      </w:tr>
      <w:tr>
        <w:tc>
          <w:tcPr>
            <w:tcW w:type="dxa" w:w="30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Taux de progression d'au moins un cas d'usage au statut EN_CONSULTATION à 90 jours post-adoption</w:t>
            </w:r>
          </w:p>
        </w:tc>
        <w:tc>
          <w:tcPr>
            <w:tcW w:type="dxa" w:w="2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50%</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Mesure le passage de l'anticipation à l'engagement</w:t>
            </w:r>
          </w:p>
        </w:tc>
      </w:tr>
      <w:tr>
        <w:tc>
          <w:tcPr>
            <w:tcW w:type="dxa" w:w="30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Score de maturité moyen de l'écosystème</w:t>
            </w:r>
          </w:p>
        </w:tc>
        <w:tc>
          <w:tcPr>
            <w:tcW w:type="dxa" w:w="2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2.8 / 5</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Photographie globale de la maturité nationale</w:t>
            </w:r>
          </w:p>
        </w:tc>
      </w:tr>
      <w:tr>
        <w:tc>
          <w:tcPr>
            <w:tcW w:type="dxa" w:w="30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Nombre de cas d'usage en production à 12 mois</w:t>
            </w:r>
          </w:p>
        </w:tc>
        <w:tc>
          <w:tcPr>
            <w:tcW w:type="dxa" w:w="27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047857"/>
                <w:sz w:val="18"/>
                <w:szCs w:val="18"/>
              </w:rPr>
              <w:t xml:space="preserve">15</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Mesure ultime de la valeur créée par la plateforme</w:t>
            </w:r>
          </w:p>
        </w:tc>
      </w:tr>
    </w:tbl>
    <w:p>
      <w:pPr>
        <w:spacing w:after="80" w:before="80" w:line="300"/>
        <w:jc w:val="both"/>
      </w:pPr>
      <w:r>
        <w:rPr>
          <w:rFonts w:ascii="Poppins" w:cs="Poppins" w:eastAsia="Poppins" w:hAnsi="Poppins"/>
          <w:color w:val="1F2937"/>
          <w:sz w:val="20"/>
          <w:szCs w:val="20"/>
        </w:rPr>
        <w:t xml:space="preserve">Ces cibles sont indicatives et seront ajustées sur la base des premiers retours d'usage des administrations pilotes. Elles seront affinées dans une note méthodologique de pilotage spécifique, distincte de la présente note d'architecture.</w:t>
      </w:r>
    </w:p>
    <w:p>
      <w:r>
        <w:br w:type="page"/>
      </w:r>
    </w:p>
    <w:p>
      <w:pPr>
        <w:pStyle w:val="Heading1"/>
        <w:spacing w:after="200" w:before="400"/>
      </w:pPr>
      <w:r>
        <w:rPr>
          <w:rFonts w:ascii="Poppins" w:cs="Poppins" w:eastAsia="Poppins" w:hAnsi="Poppins"/>
          <w:b/>
          <w:bCs/>
          <w:color w:val="0C1F3A"/>
          <w:sz w:val="32"/>
          <w:szCs w:val="32"/>
        </w:rPr>
        <w:t xml:space="preserve">8. Articulations avec l'écosystème institutionnel</w:t>
      </w:r>
    </w:p>
    <w:p>
      <w:pPr>
        <w:pStyle w:val="Heading2"/>
        <w:spacing w:after="160" w:before="300"/>
      </w:pPr>
      <w:r>
        <w:rPr>
          <w:rFonts w:ascii="Poppins" w:cs="Poppins" w:eastAsia="Poppins" w:hAnsi="Poppins"/>
          <w:b/>
          <w:bCs/>
          <w:color w:val="0A6B68"/>
          <w:sz w:val="26"/>
          <w:szCs w:val="26"/>
        </w:rPr>
        <w:t xml:space="preserve">8.1 Programme GouvNum et quitus numérique</w:t>
      </w:r>
    </w:p>
    <w:p>
      <w:pPr>
        <w:spacing w:after="80" w:before="80" w:line="300"/>
        <w:jc w:val="both"/>
      </w:pPr>
      <w:r>
        <w:rPr>
          <w:rFonts w:ascii="Poppins" w:cs="Poppins" w:eastAsia="Poppins" w:hAnsi="Poppins"/>
          <w:color w:val="1F2937"/>
          <w:sz w:val="20"/>
          <w:szCs w:val="20"/>
        </w:rPr>
        <w:t xml:space="preserve">La structuration en trois temps proposée dans la présente note offre un appui direct au programme GouvNum et à la conditionnalité du quitus numérique. Une administration qui sollicite un quitus numérique pour un nouveau service ou parcours peut justifier sa demande sur la base de son parcours sur la plateforme : questionnaire complété et validé, propositions adoptées, cas d'usage progressant dans le pipeline, mises en production effectives.</w:t>
      </w:r>
    </w:p>
    <w:p>
      <w:pPr>
        <w:spacing w:after="80" w:before="80" w:line="300"/>
        <w:jc w:val="both"/>
      </w:pPr>
      <w:r>
        <w:rPr>
          <w:rFonts w:ascii="Poppins" w:cs="Poppins" w:eastAsia="Poppins" w:hAnsi="Poppins"/>
          <w:color w:val="1F2937"/>
          <w:sz w:val="20"/>
          <w:szCs w:val="20"/>
        </w:rPr>
        <w:t xml:space="preserve">Le score de maturité institutionnel devient un indicateur tangible et défendable. Plutôt qu'une évaluation déclarative ou une expertise externe ad hoc, l'évaluation s'appuie sur la trajectoire effective de l'institution sur la plateforme. Le quitus numérique gagne en objectivité et en automatisation.</w:t>
      </w:r>
    </w:p>
    <w:p>
      <w:pPr>
        <w:pStyle w:val="Heading2"/>
        <w:spacing w:after="160" w:before="300"/>
      </w:pPr>
      <w:r>
        <w:rPr>
          <w:rFonts w:ascii="Poppins" w:cs="Poppins" w:eastAsia="Poppins" w:hAnsi="Poppins"/>
          <w:b/>
          <w:bCs/>
          <w:color w:val="0A6B68"/>
          <w:sz w:val="26"/>
          <w:szCs w:val="26"/>
        </w:rPr>
        <w:t xml:space="preserve">8.2 Programme d'architecture d'entreprise gouvernementale</w:t>
      </w:r>
    </w:p>
    <w:p>
      <w:pPr>
        <w:spacing w:after="80" w:before="80" w:line="300"/>
        <w:jc w:val="both"/>
      </w:pPr>
      <w:r>
        <w:rPr>
          <w:rFonts w:ascii="Poppins" w:cs="Poppins" w:eastAsia="Poppins" w:hAnsi="Poppins"/>
          <w:color w:val="1F2937"/>
          <w:sz w:val="20"/>
          <w:szCs w:val="20"/>
        </w:rPr>
        <w:t xml:space="preserve">Les travaux conduits avec EY et Grant Thornton sur l'architecture d'entreprise gouvernementale trouvent dans la présente note un point d'articulation précis. Le référentiel des services publics numériques, en cours de production par ces partenaires, peut être importé dans le catalogue des propositions sous forme de propositions de parcours métier de typologie METIER. La Delivery Unit, avec le Point Focal National d'Interopérabilité, valide ce référentiel et le publie.</w:t>
      </w:r>
    </w:p>
    <w:p>
      <w:pPr>
        <w:spacing w:after="80" w:before="80" w:line="300"/>
        <w:jc w:val="both"/>
      </w:pPr>
      <w:r>
        <w:rPr>
          <w:rFonts w:ascii="Poppins" w:cs="Poppins" w:eastAsia="Poppins" w:hAnsi="Poppins"/>
          <w:color w:val="1F2937"/>
          <w:sz w:val="20"/>
          <w:szCs w:val="20"/>
        </w:rPr>
        <w:t xml:space="preserve">Inversement, la cartographie des services techniques émergeant du questionnaire et de l'usage de la plateforme nourrit les travaux d'architecture d'entreprise en fournissant une vision opérationnelle de la mutualisation effective. La plateforme DPI-INTEROP devient ainsi un capteur structurant pour le programme d'architecture d'entreprise.</w:t>
      </w:r>
    </w:p>
    <w:p>
      <w:pPr>
        <w:pStyle w:val="Heading2"/>
        <w:spacing w:after="160" w:before="300"/>
      </w:pPr>
      <w:r>
        <w:rPr>
          <w:rFonts w:ascii="Poppins" w:cs="Poppins" w:eastAsia="Poppins" w:hAnsi="Poppins"/>
          <w:b/>
          <w:bCs/>
          <w:color w:val="0A6B68"/>
          <w:sz w:val="26"/>
          <w:szCs w:val="26"/>
        </w:rPr>
        <w:t xml:space="preserve">8.3 Programme EPDPI et formation</w:t>
      </w:r>
    </w:p>
    <w:p>
      <w:pPr>
        <w:spacing w:after="80" w:before="80" w:line="300"/>
        <w:jc w:val="both"/>
      </w:pPr>
      <w:r>
        <w:rPr>
          <w:rFonts w:ascii="Poppins" w:cs="Poppins" w:eastAsia="Poppins" w:hAnsi="Poppins"/>
          <w:color w:val="1F2937"/>
          <w:sz w:val="20"/>
          <w:szCs w:val="20"/>
        </w:rPr>
        <w:t xml:space="preserve">Le contenu structurant produit par les phases successives — notes d'architecture, formalisation des concepts, indicateurs de pilotage — alimente directement les contenus pédagogiques du programme Empowered Practitioners in Digital Public Infrastructure. La présente note constitue elle-même un cas d'étude utilisable dans une formation sur la conception de plateformes nationales d'interopérabilité.</w:t>
      </w:r>
    </w:p>
    <w:p>
      <w:r>
        <w:br w:type="page"/>
      </w:r>
    </w:p>
    <w:p>
      <w:pPr>
        <w:pStyle w:val="Heading1"/>
        <w:spacing w:after="200" w:before="400"/>
      </w:pPr>
      <w:r>
        <w:rPr>
          <w:rFonts w:ascii="Poppins" w:cs="Poppins" w:eastAsia="Poppins" w:hAnsi="Poppins"/>
          <w:b/>
          <w:bCs/>
          <w:color w:val="0C1F3A"/>
          <w:sz w:val="32"/>
          <w:szCs w:val="32"/>
        </w:rPr>
        <w:t xml:space="preserve">9. Questions ouvertes</w:t>
      </w:r>
    </w:p>
    <w:p>
      <w:pPr>
        <w:spacing w:after="80" w:before="80" w:line="300"/>
        <w:jc w:val="both"/>
      </w:pPr>
      <w:r>
        <w:rPr>
          <w:rFonts w:ascii="Poppins" w:cs="Poppins" w:eastAsia="Poppins" w:hAnsi="Poppins"/>
          <w:color w:val="1F2937"/>
          <w:sz w:val="20"/>
          <w:szCs w:val="20"/>
        </w:rPr>
        <w:t xml:space="preserve">La présente note tranche les neuf questions structurantes identifiées en cadrage initial. Plusieurs questions secondaires demeurent ouvertes et seront traitées dans des notes méthodologiques complémentaires ou en cadrage opérationnel ultérieur.</w:t>
      </w:r>
    </w:p>
    <w:p>
      <w:pPr>
        <w:pStyle w:val="Heading2"/>
        <w:spacing w:after="160" w:before="300"/>
      </w:pPr>
      <w:r>
        <w:rPr>
          <w:rFonts w:ascii="Poppins" w:cs="Poppins" w:eastAsia="Poppins" w:hAnsi="Poppins"/>
          <w:b/>
          <w:bCs/>
          <w:color w:val="0A6B68"/>
          <w:sz w:val="26"/>
          <w:szCs w:val="26"/>
        </w:rPr>
        <w:t xml:space="preserve">9.1 Formule précise de calcul du score de maturité</w:t>
      </w:r>
    </w:p>
    <w:p>
      <w:pPr>
        <w:spacing w:after="80" w:before="80" w:line="300"/>
        <w:jc w:val="both"/>
      </w:pPr>
      <w:r>
        <w:rPr>
          <w:rFonts w:ascii="Poppins" w:cs="Poppins" w:eastAsia="Poppins" w:hAnsi="Poppins"/>
          <w:color w:val="1F2937"/>
          <w:sz w:val="20"/>
          <w:szCs w:val="20"/>
        </w:rPr>
        <w:t xml:space="preserve">La formule de calcul du score de maturité à partir des réponses du questionnaire est référencée dans la présente note mais non détaillée. Elle fera l'objet d'une note méthodologique distincte qui précisera la pondération relative des huit sections, les seuils de bascule entre niveaux, et les éventuelles modulations selon le type d'institution. Cette note méthodologique sera produite avant la phase P13.</w:t>
      </w:r>
    </w:p>
    <w:p>
      <w:pPr>
        <w:pStyle w:val="Heading2"/>
        <w:spacing w:after="160" w:before="300"/>
      </w:pPr>
      <w:r>
        <w:rPr>
          <w:rFonts w:ascii="Poppins" w:cs="Poppins" w:eastAsia="Poppins" w:hAnsi="Poppins"/>
          <w:b/>
          <w:bCs/>
          <w:color w:val="0A6B68"/>
          <w:sz w:val="26"/>
          <w:szCs w:val="26"/>
        </w:rPr>
        <w:t xml:space="preserve">9.2 Articulation avec les conventions existantes</w:t>
      </w:r>
    </w:p>
    <w:p>
      <w:pPr>
        <w:spacing w:after="80" w:before="80" w:line="300"/>
        <w:jc w:val="both"/>
      </w:pPr>
      <w:r>
        <w:rPr>
          <w:rFonts w:ascii="Poppins" w:cs="Poppins" w:eastAsia="Poppins" w:hAnsi="Poppins"/>
          <w:color w:val="1F2937"/>
          <w:sz w:val="20"/>
          <w:szCs w:val="20"/>
        </w:rPr>
        <w:t xml:space="preserve">Les conventions bilatérales déjà signées entre administrations correspondent conceptuellement à des cas d'usage techniques. Le module Conventions de la plateforme existe indépendamment du pipeline Vue 360°. La phase P9 a introduit un champ optionnel de liaison conventionLiee sur les cas d'usage techniques. Cette articulation reste à approfondir : les conventions existantes peuvent-elles être automatiquement qualifiées comme cas d'usage techniques en statut EN_PRODUCTION, avec rétro-création des stakeholders correspondants ? Cette question sera traitée dans une note ultérieure consacrée à la stratégie de migration des conventions historiques.</w:t>
      </w:r>
    </w:p>
    <w:p>
      <w:pPr>
        <w:pStyle w:val="Heading2"/>
        <w:spacing w:after="160" w:before="300"/>
      </w:pPr>
      <w:r>
        <w:rPr>
          <w:rFonts w:ascii="Poppins" w:cs="Poppins" w:eastAsia="Poppins" w:hAnsi="Poppins"/>
          <w:b/>
          <w:bCs/>
          <w:color w:val="0A6B68"/>
          <w:sz w:val="26"/>
          <w:szCs w:val="26"/>
        </w:rPr>
        <w:t xml:space="preserve">9.3 Templates de parcours métier</w:t>
      </w:r>
    </w:p>
    <w:p>
      <w:pPr>
        <w:spacing w:after="80" w:before="80" w:line="300"/>
        <w:jc w:val="both"/>
      </w:pPr>
      <w:r>
        <w:rPr>
          <w:rFonts w:ascii="Poppins" w:cs="Poppins" w:eastAsia="Poppins" w:hAnsi="Poppins"/>
          <w:color w:val="1F2937"/>
          <w:sz w:val="20"/>
          <w:szCs w:val="20"/>
        </w:rPr>
        <w:t xml:space="preserve">La phase P14 prévoit la production de templates pré-cadrés pour les parcours métier les plus courants. La liste précise de ces templates, leur niveau de détail, et le processus de validation institutionnelle préalable à leur publication restent à définir. Une note méthodologique dédiée sera produite avant le lancement de la phase P14.</w:t>
      </w:r>
    </w:p>
    <w:p>
      <w:pPr>
        <w:pStyle w:val="Heading2"/>
        <w:spacing w:after="160" w:before="300"/>
      </w:pPr>
      <w:r>
        <w:rPr>
          <w:rFonts w:ascii="Poppins" w:cs="Poppins" w:eastAsia="Poppins" w:hAnsi="Poppins"/>
          <w:b/>
          <w:bCs/>
          <w:color w:val="0A6B68"/>
          <w:sz w:val="26"/>
          <w:szCs w:val="26"/>
        </w:rPr>
        <w:t xml:space="preserve">9.4 Internationalisation</w:t>
      </w:r>
    </w:p>
    <w:p>
      <w:pPr>
        <w:spacing w:after="80" w:before="80" w:line="300"/>
        <w:jc w:val="both"/>
      </w:pPr>
      <w:r>
        <w:rPr>
          <w:rFonts w:ascii="Poppins" w:cs="Poppins" w:eastAsia="Poppins" w:hAnsi="Poppins"/>
          <w:color w:val="1F2937"/>
          <w:sz w:val="20"/>
          <w:szCs w:val="20"/>
        </w:rPr>
        <w:t xml:space="preserve">La présente note décrit une plateforme sénégalaise. La structuration en trois temps et l'articulation des concepts ont une portée potentiellement plus large. La question de l'internationalisation de la plateforme — réutilisation par d'autres États, adaptation aux contextes nationaux — n'est pas traitée ici. Elle pourra l'être dans le cadre des travaux du programme EPDPI ou d'éventuelles coopérations bilatérales.</w:t>
      </w:r>
    </w:p>
    <w:p>
      <w:r>
        <w:br w:type="page"/>
      </w:r>
    </w:p>
    <w:p>
      <w:pPr>
        <w:pStyle w:val="Heading1"/>
        <w:spacing w:after="200" w:before="400"/>
      </w:pPr>
      <w:r>
        <w:rPr>
          <w:rFonts w:ascii="Poppins" w:cs="Poppins" w:eastAsia="Poppins" w:hAnsi="Poppins"/>
          <w:b/>
          <w:bCs/>
          <w:color w:val="0C1F3A"/>
          <w:sz w:val="32"/>
          <w:szCs w:val="32"/>
        </w:rPr>
        <w:t xml:space="preserve">10. Validation</w:t>
      </w:r>
    </w:p>
    <w:p>
      <w:pPr>
        <w:spacing w:after="80" w:before="80" w:line="300"/>
        <w:jc w:val="both"/>
      </w:pPr>
      <w:r>
        <w:rPr>
          <w:rFonts w:ascii="Poppins" w:cs="Poppins" w:eastAsia="Poppins" w:hAnsi="Poppins"/>
          <w:color w:val="1F2937"/>
          <w:sz w:val="20"/>
          <w:szCs w:val="20"/>
        </w:rPr>
        <w:t xml:space="preserve">La présente note est soumise au Directeur de la Delivery Unit pour cadrage architectural de la trajectoire de la plateforme DPI-INTEROP. Sa validation autorise le lancement progressif des phases P11 à P14 selon le calendrier que la Delivery Unit jugera opportun.</w:t>
      </w:r>
    </w:p>
    <w:p>
      <w:pPr>
        <w:spacing w:after="80" w:before="80" w:line="300"/>
        <w:jc w:val="both"/>
      </w:pPr>
      <w:r>
        <w:rPr>
          <w:rFonts w:ascii="Poppins" w:cs="Poppins" w:eastAsia="Poppins" w:hAnsi="Poppins"/>
          <w:color w:val="1F2937"/>
          <w:sz w:val="20"/>
          <w:szCs w:val="20"/>
        </w:rPr>
        <w:t xml:space="preserve">Elle constitue le document de référence pour l'articulation des concepts produits dans les phases antérieures. Elle ne se substitue à aucune des notes existantes — Vue 360°, catalogue des propositions, typologie métier-technique — mais leur donne un cadre commun et une trajectoire d'évolution cohérente. Toute évolution future de la plateforme devra se positionner explicitement par rapport au cadre formalisé ici.</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Auteur — Point focal</w:t>
            </w:r>
          </w:p>
        </w:tc>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Validation — Delivery Unit</w:t>
            </w:r>
          </w:p>
        </w:tc>
      </w:tr>
      <w:tr>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Birama DIOP</w:t>
            </w:r>
          </w:p>
          <w:p>
            <w:pPr>
              <w:spacing w:after="40" w:before="0"/>
            </w:pPr>
            <w:r>
              <w:rPr>
                <w:rFonts w:ascii="Poppins" w:cs="Poppins" w:eastAsia="Poppins" w:hAnsi="Poppins"/>
                <w:i/>
                <w:iCs/>
                <w:color w:val="374151"/>
                <w:sz w:val="18"/>
                <w:szCs w:val="18"/>
              </w:rPr>
              <w:t xml:space="preserve">Point Focal National d'Interopérabilité</w:t>
            </w:r>
          </w:p>
          <w:p>
            <w:pPr>
              <w:spacing w:after="40" w:before="0"/>
            </w:pPr>
            <w:r>
              <w:rPr>
                <w:rFonts w:ascii="Poppins" w:cs="Poppins" w:eastAsia="Poppins" w:hAnsi="Poppins"/>
                <w:i/>
                <w:iCs/>
                <w:color w:val="374151"/>
                <w:sz w:val="18"/>
                <w:szCs w:val="18"/>
              </w:rPr>
              <w:t xml:space="preserve">Architecte DPI — MCTN / SENUM SA</w:t>
            </w:r>
          </w:p>
          <w:p>
            <w:pPr>
              <w:spacing w:after="40" w:before="200"/>
            </w:pPr>
            <w:r>
              <w:rPr>
                <w:rFonts w:ascii="Poppins" w:cs="Poppins" w:eastAsia="Poppins" w:hAnsi="Poppins"/>
                <w:color w:val="1F2937"/>
                <w:sz w:val="18"/>
                <w:szCs w:val="18"/>
              </w:rPr>
              <w:t xml:space="preserve">Date : 24 avril 2026</w:t>
            </w:r>
          </w:p>
          <w:p>
            <w:pPr>
              <w:spacing w:after="40" w:before="800"/>
            </w:pPr>
            <w:r>
              <w:rPr>
                <w:rFonts w:ascii="Poppins" w:cs="Poppins" w:eastAsia="Poppins" w:hAnsi="Poppins"/>
                <w:color w:val="1F2937"/>
                <w:sz w:val="18"/>
                <w:szCs w:val="18"/>
              </w:rPr>
              <w:t xml:space="preserve">Signature :</w:t>
            </w:r>
          </w:p>
        </w:tc>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Mohamed DIABY</w:t>
            </w:r>
          </w:p>
          <w:p>
            <w:pPr>
              <w:spacing w:after="40" w:before="0"/>
            </w:pPr>
            <w:r>
              <w:rPr>
                <w:rFonts w:ascii="Poppins" w:cs="Poppins" w:eastAsia="Poppins" w:hAnsi="Poppins"/>
                <w:i/>
                <w:iCs/>
                <w:color w:val="374151"/>
                <w:sz w:val="18"/>
                <w:szCs w:val="18"/>
              </w:rPr>
              <w:t xml:space="preserve">Directeur Delivery Unit</w:t>
            </w:r>
          </w:p>
          <w:p>
            <w:pPr>
              <w:spacing w:after="40" w:before="0"/>
            </w:pPr>
            <w:r>
              <w:rPr>
                <w:rFonts w:ascii="Poppins" w:cs="Poppins" w:eastAsia="Poppins" w:hAnsi="Poppins"/>
                <w:i/>
                <w:iCs/>
                <w:color w:val="374151"/>
                <w:sz w:val="18"/>
                <w:szCs w:val="18"/>
              </w:rPr>
              <w:t xml:space="preserve">MCTN</w:t>
            </w:r>
          </w:p>
          <w:p>
            <w:pPr>
              <w:spacing w:after="40" w:before="200"/>
            </w:pPr>
            <w:r>
              <w:rPr>
                <w:rFonts w:ascii="Poppins" w:cs="Poppins" w:eastAsia="Poppins" w:hAnsi="Poppins"/>
                <w:color w:val="1F2937"/>
                <w:sz w:val="18"/>
                <w:szCs w:val="18"/>
              </w:rPr>
              <w:t xml:space="preserve">Date :</w:t>
            </w:r>
          </w:p>
          <w:p>
            <w:pPr>
              <w:spacing w:after="40" w:before="800"/>
            </w:pPr>
            <w:r>
              <w:rPr>
                <w:rFonts w:ascii="Poppins" w:cs="Poppins" w:eastAsia="Poppins" w:hAnsi="Poppins"/>
                <w:color w:val="1F2937"/>
                <w:sz w:val="18"/>
                <w:szCs w:val="18"/>
              </w:rPr>
              <w:t xml:space="preserve">Signature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6" w:space="4"/>
      </w:pBdr>
      <w:tabs>
        <w:tab w:val="right" w:pos="9026"/>
      </w:tabs>
    </w:pPr>
    <w:r>
      <w:rPr>
        <w:rFonts w:ascii="Poppins" w:cs="Poppins" w:eastAsia="Poppins" w:hAnsi="Poppins"/>
        <w:i/>
        <w:iCs/>
        <w:color w:val="9CA3AF"/>
        <w:sz w:val="14"/>
        <w:szCs w:val="14"/>
      </w:rPr>
      <w:t xml:space="preserve">Document d'architecture — cadrage stratégique interne</w:t>
    </w:r>
    <w:r>
      <w:rPr>
        <w:rFonts w:ascii="Poppins" w:cs="Poppins" w:eastAsia="Poppins" w:hAnsi="Poppins"/>
        <w:sz w:val="14"/>
        <w:szCs w:val="14"/>
      </w:rPr>
      <w:t xml:space="preserve">	</w:t>
    </w:r>
    <w:r>
      <w:rPr>
        <w:rFonts w:ascii="Poppins" w:cs="Poppins" w:eastAsia="Poppins" w:hAnsi="Poppins"/>
        <w:color w:val="374151"/>
        <w:sz w:val="14"/>
        <w:szCs w:val="14"/>
      </w:rPr>
      <w:t xml:space="preserve">Page </w:t>
    </w:r>
    <w:r>
      <w:rPr>
        <w:rFonts w:ascii="Poppins" w:cs="Poppins" w:eastAsia="Poppins" w:hAnsi="Poppins"/>
        <w:b/>
        <w:bCs/>
        <w:color w:val="374151"/>
        <w:sz w:val="14"/>
        <w:szCs w:val="14"/>
      </w:rPr>
      <w:fldChar w:fldCharType="begin"/>
      <w:instrText xml:space="preserve">PAGE</w:instrText>
      <w:fldChar w:fldCharType="separate"/>
      <w:fldChar w:fldCharType="end"/>
    </w:r>
    <w:r>
      <w:rPr>
        <w:rFonts w:ascii="Poppins" w:cs="Poppins" w:eastAsia="Poppins" w:hAnsi="Poppins"/>
        <w:color w:val="374151"/>
        <w:sz w:val="14"/>
        <w:szCs w:val="14"/>
      </w:rPr>
      <w:t xml:space="preserve"> / </w:t>
    </w:r>
    <w:r>
      <w:rPr>
        <w:rFonts w:ascii="Poppins" w:cs="Poppins" w:eastAsia="Poppins" w:hAnsi="Poppins"/>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B68" w:sz="6" w:space="4"/>
      </w:pBdr>
      <w:tabs>
        <w:tab w:val="right" w:pos="9026"/>
      </w:tabs>
    </w:pPr>
    <w:r>
      <w:rPr>
        <w:rFonts w:ascii="Poppins" w:cs="Poppins" w:eastAsia="Poppins" w:hAnsi="Poppins"/>
        <w:b/>
        <w:bCs/>
        <w:color w:val="0C1F3A"/>
        <w:sz w:val="16"/>
        <w:szCs w:val="16"/>
      </w:rPr>
      <w:t xml:space="preserve">MCTN / DU — Application DPI-INTEROP</w:t>
    </w:r>
    <w:r>
      <w:rPr>
        <w:rFonts w:ascii="Poppins" w:cs="Poppins" w:eastAsia="Poppins" w:hAnsi="Poppins"/>
        <w:sz w:val="16"/>
        <w:szCs w:val="16"/>
      </w:rPr>
      <w:t xml:space="preserve">	</w:t>
    </w:r>
    <w:r>
      <w:rPr>
        <w:rFonts w:ascii="Poppins" w:cs="Poppins" w:eastAsia="Poppins" w:hAnsi="Poppins"/>
        <w:i/>
        <w:iCs/>
        <w:color w:val="374151"/>
        <w:sz w:val="16"/>
        <w:szCs w:val="16"/>
      </w:rPr>
      <w:t xml:space="preserve">Note d'architecture P10 v0.1 — Articulation des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C1F3A"/>
      <w:sz w:val="32"/>
      <w:szCs w:val="32"/>
    </w:rPr>
  </w:style>
  <w:style w:type="paragraph" w:styleId="Heading2">
    <w:name w:val="Heading 2"/>
    <w:basedOn w:val="Normal"/>
    <w:next w:val="Normal"/>
    <w:qFormat/>
    <w:pPr>
      <w:spacing w:after="160" w:before="300"/>
      <w:outlineLvl w:val="1"/>
    </w:pPr>
    <w:rPr>
      <w:rFonts w:ascii="Poppins" w:cs="Poppins" w:eastAsia="Poppins" w:hAnsi="Poppins"/>
      <w:b/>
      <w:bCs/>
      <w:color w:val="0A6B68"/>
      <w:sz w:val="26"/>
      <w:szCs w:val="26"/>
    </w:rPr>
  </w:style>
  <w:style w:type="paragraph" w:styleId="Heading3">
    <w:name w:val="Heading 3"/>
    <w:basedOn w:val="Normal"/>
    <w:next w:val="Normal"/>
    <w:qFormat/>
    <w:pPr>
      <w:spacing w:after="120" w:before="240"/>
      <w:outlineLvl w:val="2"/>
    </w:pPr>
    <w:rPr>
      <w:rFonts w:ascii="Poppins" w:cs="Poppins" w:eastAsia="Poppins" w:hAnsi="Poppins"/>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2026-04-27T15:12:59.792Z</dcterms:created>
  <dcterms:modified xsi:type="dcterms:W3CDTF">2026-04-27T15:12:59.794Z</dcterms:modified>
</cp:coreProperties>
</file>

<file path=docProps/custom.xml><?xml version="1.0" encoding="utf-8"?>
<Properties xmlns="http://schemas.openxmlformats.org/officeDocument/2006/custom-properties" xmlns:vt="http://schemas.openxmlformats.org/officeDocument/2006/docPropsVTypes"/>
</file>