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Poppins" w:cs="Poppins" w:eastAsia="Poppins" w:hAnsi="Poppins"/>
          <w:b/>
          <w:bCs/>
          <w:color w:val="0C1F3A"/>
          <w:sz w:val="16"/>
          <w:szCs w:val="16"/>
        </w:rPr>
        <w:t xml:space="preserve">RÉPUBLIQUE DU SÉNÉGAL</w:t>
      </w:r>
      <w:r>
        <w:rPr>
          <w:rFonts w:ascii="Poppins" w:cs="Poppins" w:eastAsia="Poppins" w:hAnsi="Poppins"/>
          <w:color w:val="9CA3AF"/>
          <w:sz w:val="16"/>
          <w:szCs w:val="16"/>
        </w:rPr>
        <w:t xml:space="preserve">  |  </w:t>
      </w:r>
      <w:r>
        <w:rPr>
          <w:rFonts w:ascii="Poppins" w:cs="Poppins" w:eastAsia="Poppins" w:hAnsi="Poppins"/>
          <w:i/>
          <w:iCs/>
          <w:color w:val="374151"/>
          <w:sz w:val="16"/>
          <w:szCs w:val="16"/>
        </w:rPr>
        <w:t xml:space="preserve">Un Peuple – Un But – Une Foi</w:t>
      </w:r>
    </w:p>
    <w:p>
      <w:pPr>
        <w:spacing w:after="120" w:before="0"/>
      </w:pPr>
      <w:r>
        <w:rPr>
          <w:rFonts w:ascii="Poppins" w:cs="Poppins" w:eastAsia="Poppins" w:hAnsi="Poppins"/>
          <w:b/>
          <w:bCs/>
          <w:color w:val="0C1F3A"/>
          <w:sz w:val="18"/>
          <w:szCs w:val="18"/>
        </w:rPr>
        <w:t xml:space="preserve">MINISTÈRE DE LA COMMUNICATION, DES TÉLÉCOMMUNICATIONS ET DU NUMÉRIQUE</w:t>
      </w:r>
    </w:p>
    <w:p>
      <w:pPr>
        <w:spacing w:after="600" w:before="0"/>
      </w:pPr>
      <w:r>
        <w:rPr>
          <w:rFonts w:ascii="Poppins" w:cs="Poppins" w:eastAsia="Poppins" w:hAnsi="Poppins"/>
          <w:b/>
          <w:bCs/>
          <w:color w:val="0A6B68"/>
          <w:sz w:val="16"/>
          <w:szCs w:val="16"/>
        </w:rPr>
        <w:t xml:space="preserve">DELIVERY UNIT — SENUM 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6B68" w:val="clear"/>
            <w:tcMar>
              <w:top w:type="dxa" w:w="120"/>
              <w:left w:type="dxa" w:w="200"/>
              <w:bottom w:type="dxa" w:w="120"/>
              <w:right w:type="dxa" w:w="200"/>
            </w:tcMar>
          </w:tcPr>
          <w:p>
            <w:pPr>
              <w:jc w:val="left"/>
            </w:pPr>
            <w:r>
              <w:rPr>
                <w:rFonts w:ascii="Poppins" w:cs="Poppins" w:eastAsia="Poppins" w:hAnsi="Poppins"/>
                <w:b/>
                <w:bCs/>
                <w:color w:val="FFFFFF"/>
                <w:spacing w:val="40"/>
                <w:sz w:val="18"/>
                <w:szCs w:val="18"/>
              </w:rPr>
              <w:t xml:space="preserve">NOTE DE CONCEPTION — PHASE P9</w:t>
            </w:r>
          </w:p>
        </w:tc>
      </w:tr>
    </w:tbl>
    <w:p>
      <w:pPr>
        <w:spacing w:after="60" w:before="60"/>
      </w:pPr>
    </w:p>
    <w:p>
      <w:pPr>
        <w:spacing w:after="120" w:before="200"/>
      </w:pPr>
      <w:r>
        <w:rPr>
          <w:rFonts w:ascii="Poppins" w:cs="Poppins" w:eastAsia="Poppins" w:hAnsi="Poppins"/>
          <w:b/>
          <w:bCs/>
          <w:color w:val="0C1F3A"/>
          <w:sz w:val="34"/>
          <w:szCs w:val="34"/>
        </w:rPr>
        <w:t xml:space="preserve">Typologie des cas d'usage</w:t>
      </w:r>
    </w:p>
    <w:p>
      <w:pPr>
        <w:spacing w:after="120" w:before="0"/>
      </w:pPr>
      <w:r>
        <w:rPr>
          <w:rFonts w:ascii="Poppins" w:cs="Poppins" w:eastAsia="Poppins" w:hAnsi="Poppins"/>
          <w:b/>
          <w:bCs/>
          <w:color w:val="0A6B68"/>
          <w:sz w:val="26"/>
          <w:szCs w:val="26"/>
        </w:rPr>
        <w:t xml:space="preserve">Distinction métier-technique et relations de service</w:t>
      </w:r>
    </w:p>
    <w:p>
      <w:pPr>
        <w:spacing w:after="600" w:before="0"/>
      </w:pPr>
      <w:r>
        <w:rPr>
          <w:rFonts w:ascii="Poppins" w:cs="Poppins" w:eastAsia="Poppins" w:hAnsi="Poppins"/>
          <w:i/>
          <w:iCs/>
          <w:color w:val="374151"/>
          <w:sz w:val="20"/>
          <w:szCs w:val="20"/>
        </w:rPr>
        <w:t xml:space="preserve">Évolution structurante de la Vue 360° — note v0.1 pour cadrage 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55A18" w:val="clear"/>
            <w:tcMar>
              <w:top w:type="dxa" w:w="120"/>
              <w:left w:type="dxa" w:w="200"/>
              <w:bottom w:type="dxa" w:w="120"/>
              <w:right w:type="dxa" w:w="200"/>
            </w:tcMar>
          </w:tcPr>
          <w:p>
            <w:pPr>
              <w:jc w:val="left"/>
            </w:pPr>
            <w:r>
              <w:rPr>
                <w:rFonts w:ascii="Poppins" w:cs="Poppins" w:eastAsia="Poppins" w:hAnsi="Poppins"/>
                <w:b/>
                <w:bCs/>
                <w:color w:val="FFFFFF"/>
                <w:spacing w:val="40"/>
                <w:sz w:val="14"/>
                <w:szCs w:val="14"/>
              </w:rPr>
              <w:t xml:space="preserve">DOCUMENT DE TRAVAIL — USAGE INTERNE MCTN / SENUM SA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Référence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MCTN/DU/APP-DPI-INTEROP/CONC-2026-04</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Version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0.1 — note de cadrage</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Date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24 avril 2026</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Auteur</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Point Focal National d'Interopérabilité — Architecte DPI</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Validation attendue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Directeur Delivery Unit</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Phase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P9 — Typologie métier/technique (succède à P8 Catalogue des propositions)</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Documents liés</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CONC-2026-02 (conception Vue 360° v1.0), CONC-2026-02-A1 (addendum référentiels), CONC-2026-03 (catalogue des propositions), RECETTE-2026-01</w:t>
            </w:r>
          </w:p>
        </w:tc>
      </w:tr>
    </w:tbl>
    <w:p>
      <w:r>
        <w:br w:type="page"/>
      </w:r>
    </w:p>
    <w:p>
      <w:pPr>
        <w:pStyle w:val="Heading1"/>
        <w:spacing w:after="200" w:before="400"/>
      </w:pPr>
      <w:r>
        <w:rPr>
          <w:rFonts w:ascii="Poppins" w:cs="Poppins" w:eastAsia="Poppins" w:hAnsi="Poppins"/>
          <w:b/>
          <w:bCs/>
          <w:color w:val="0C1F3A"/>
          <w:sz w:val="32"/>
          <w:szCs w:val="32"/>
        </w:rPr>
        <w:t xml:space="preserve">1. Problématique</w:t>
      </w:r>
    </w:p>
    <w:p>
      <w:pPr>
        <w:pStyle w:val="Heading2"/>
        <w:spacing w:after="160" w:before="300"/>
      </w:pPr>
      <w:r>
        <w:rPr>
          <w:rFonts w:ascii="Poppins" w:cs="Poppins" w:eastAsia="Poppins" w:hAnsi="Poppins"/>
          <w:b/>
          <w:bCs/>
          <w:color w:val="0A6B68"/>
          <w:sz w:val="26"/>
          <w:szCs w:val="26"/>
        </w:rPr>
        <w:t xml:space="preserve">1.1 Constat à l'usage</w:t>
      </w:r>
    </w:p>
    <w:p>
      <w:pPr>
        <w:spacing w:after="80" w:before="80" w:line="300"/>
        <w:jc w:val="both"/>
      </w:pPr>
      <w:r>
        <w:rPr>
          <w:rFonts w:ascii="Poppins" w:cs="Poppins" w:eastAsia="Poppins" w:hAnsi="Poppins"/>
          <w:color w:val="1F2937"/>
          <w:sz w:val="20"/>
          <w:szCs w:val="20"/>
        </w:rPr>
        <w:t xml:space="preserve">Le modèle de données de la Vue 360° traite aujourd'hui tous les cas d'usage de manière uniforme. Qu'il s'agisse d'un échange bilatéral technique entre deux systèmes d'information ou d'un parcours métier multi-administrations impliquant une dizaine d'acteurs, la même structure de données, le même workflow de qualification, le même ensemble de règles de visibilité sont appliqués. Cette uniformité, qui a le mérite de la simplicité initiale, rencontre ses limites dès que l'on examine la nature réelle des cas d'usage à qualifier.</w:t>
      </w:r>
    </w:p>
    <w:p>
      <w:pPr>
        <w:spacing w:after="80" w:before="80" w:line="300"/>
        <w:jc w:val="both"/>
      </w:pPr>
      <w:r>
        <w:rPr>
          <w:rFonts w:ascii="Poppins" w:cs="Poppins" w:eastAsia="Poppins" w:hAnsi="Poppins"/>
          <w:color w:val="1F2937"/>
          <w:sz w:val="20"/>
          <w:szCs w:val="20"/>
        </w:rPr>
        <w:t xml:space="preserve">Un exemple rend cette limite tangible. Lorsqu'une administration souhaite formaliser la création d'entreprise dans un guichet unique, faut-il considérer ce processus comme un cas d'usage unique — avec une dizaine de parties prenantes consultées simultanément — ou comme un ensemble de cas d'usage distincts, chacun portant un échange de données précis — vérification NINEA, immatriculation RCCM, affiliation CNSS, vérification du casier judiciaire des dirigeants — orchestrés par un parcours coordonnateur ? Les deux lectures sont défendables et aucune ne peut prétendre seule rendre compte de la réalité institutionnelle.</w:t>
      </w:r>
    </w:p>
    <w:p>
      <w:pPr>
        <w:pStyle w:val="Heading2"/>
        <w:spacing w:after="160" w:before="300"/>
      </w:pPr>
      <w:r>
        <w:rPr>
          <w:rFonts w:ascii="Poppins" w:cs="Poppins" w:eastAsia="Poppins" w:hAnsi="Poppins"/>
          <w:b/>
          <w:bCs/>
          <w:color w:val="0A6B68"/>
          <w:sz w:val="26"/>
          <w:szCs w:val="26"/>
        </w:rPr>
        <w:t xml:space="preserve">1.2 Deux objets distincts, deux gouvernances</w:t>
      </w:r>
    </w:p>
    <w:p>
      <w:pPr>
        <w:spacing w:after="80" w:before="80" w:line="300"/>
        <w:jc w:val="both"/>
      </w:pPr>
      <w:r>
        <w:rPr>
          <w:rFonts w:ascii="Poppins" w:cs="Poppins" w:eastAsia="Poppins" w:hAnsi="Poppins"/>
          <w:color w:val="1F2937"/>
          <w:sz w:val="20"/>
          <w:szCs w:val="20"/>
        </w:rPr>
        <w:t xml:space="preserve">Ce que l'analyse fait apparaître, c'est que ces deux lectures ne sont pas en concurrence : elles correspondent à deux objets fondamentalement différents qui coexistent dans la réalité des échanges inter-administrations. D'un côté, un parcours fonctionnel orienté bénéficiaire final, orchestré par une institution coordonnatrice, mobilisant plusieurs administrations selon une logique de service rendu. De l'autre, un service d'échange de données bilatéral, opéré par une institution détentrice, réutilisable par plusieurs parcours.</w:t>
      </w:r>
    </w:p>
    <w:p>
      <w:pPr>
        <w:spacing w:after="80" w:before="80" w:line="300"/>
        <w:jc w:val="both"/>
      </w:pPr>
      <w:r>
        <w:rPr>
          <w:rFonts w:ascii="Poppins" w:cs="Poppins" w:eastAsia="Poppins" w:hAnsi="Poppins"/>
          <w:color w:val="1F2937"/>
          <w:sz w:val="20"/>
          <w:szCs w:val="20"/>
        </w:rPr>
        <w:t xml:space="preserve">Ces deux objets n'ont ni la même gouvernance, ni la même unité de décision, ni la même base légale, ni les mêmes indicateurs de performance. Les confondre revient à ne pas voir ce qui se passe réellement dans l'État numérique sénégalais.</w:t>
      </w:r>
    </w:p>
    <w:p>
      <w:pPr>
        <w:pStyle w:val="Heading2"/>
        <w:spacing w:after="160" w:before="300"/>
      </w:pPr>
      <w:r>
        <w:rPr>
          <w:rFonts w:ascii="Poppins" w:cs="Poppins" w:eastAsia="Poppins" w:hAnsi="Poppins"/>
          <w:b/>
          <w:bCs/>
          <w:color w:val="0A6B68"/>
          <w:sz w:val="26"/>
          <w:szCs w:val="26"/>
        </w:rPr>
        <w:t xml:space="preserve">1.3 Enjeu stratégique</w:t>
      </w:r>
    </w:p>
    <w:p>
      <w:pPr>
        <w:spacing w:after="80" w:before="80" w:line="300"/>
        <w:jc w:val="both"/>
      </w:pPr>
      <w:r>
        <w:rPr>
          <w:rFonts w:ascii="Poppins" w:cs="Poppins" w:eastAsia="Poppins" w:hAnsi="Poppins"/>
          <w:color w:val="1F2937"/>
          <w:sz w:val="20"/>
          <w:szCs w:val="20"/>
        </w:rPr>
        <w:t xml:space="preserve">Introduire une typologie explicite des cas d'usage dans la Vue 360° n'est pas une raffinement d'architecte. C'est la condition pour que la plateforme reflète correctement la nature des échanges inter-administrations, pour que la Delivery Unit puisse piloter différemment ce qui relève du parcours et ce qui relève du service technique, et pour que la réutilisation — qui est le propre du PINS — soit reconnue et encouragée explicitement.</w:t>
      </w:r>
    </w:p>
    <w:p>
      <w:pPr>
        <w:spacing w:after="80" w:before="80" w:line="300"/>
        <w:jc w:val="both"/>
      </w:pPr>
      <w:r>
        <w:rPr>
          <w:rFonts w:ascii="Poppins" w:cs="Poppins" w:eastAsia="Poppins" w:hAnsi="Poppins"/>
          <w:color w:val="1F2937"/>
          <w:sz w:val="20"/>
          <w:szCs w:val="20"/>
        </w:rPr>
        <w:t xml:space="preserve">Cette évolution inscrit également la plateforme dans la continuité des travaux d'architecture d'entreprise gouvernementale menés par ailleurs, qui distinguent depuis longtemps entre services métier et services techniques. Elle prépare l'articulation avec les futurs livrables du programme AEG en matière de référentiel des services publics numériques.</w:t>
      </w:r>
    </w:p>
    <w:p>
      <w:r>
        <w:br w:type="page"/>
      </w:r>
    </w:p>
    <w:p>
      <w:pPr>
        <w:pStyle w:val="Heading1"/>
        <w:spacing w:after="200" w:before="400"/>
      </w:pPr>
      <w:r>
        <w:rPr>
          <w:rFonts w:ascii="Poppins" w:cs="Poppins" w:eastAsia="Poppins" w:hAnsi="Poppins"/>
          <w:b/>
          <w:bCs/>
          <w:color w:val="0C1F3A"/>
          <w:sz w:val="32"/>
          <w:szCs w:val="32"/>
        </w:rPr>
        <w:t xml:space="preserve">2. Analyse — la distinction métier / technique</w:t>
      </w:r>
    </w:p>
    <w:p>
      <w:pPr>
        <w:pStyle w:val="Heading2"/>
        <w:spacing w:after="160" w:before="300"/>
      </w:pPr>
      <w:r>
        <w:rPr>
          <w:rFonts w:ascii="Poppins" w:cs="Poppins" w:eastAsia="Poppins" w:hAnsi="Poppins"/>
          <w:b/>
          <w:bCs/>
          <w:color w:val="0A6B68"/>
          <w:sz w:val="26"/>
          <w:szCs w:val="26"/>
        </w:rPr>
        <w:t xml:space="preserve">2.1 Le cas d'usage métier</w:t>
      </w:r>
    </w:p>
    <w:p>
      <w:pPr>
        <w:spacing w:after="80" w:before="80" w:line="300"/>
        <w:jc w:val="both"/>
      </w:pPr>
      <w:r>
        <w:rPr>
          <w:rFonts w:ascii="Poppins" w:cs="Poppins" w:eastAsia="Poppins" w:hAnsi="Poppins"/>
          <w:color w:val="1F2937"/>
          <w:sz w:val="20"/>
          <w:szCs w:val="20"/>
        </w:rPr>
        <w:t xml:space="preserve">Un cas d'usage métier est un parcours fonctionnel à résoudre de bout en bout, du point de vue du bénéficiaire final — citoyen, entreprise, agent public, administration elle-même. Il est orienté service rendu, décrit en termes accessibles et non techniques, et a une valeur immédiatement lisible pour un décideur politique comme pour un usager.</w:t>
      </w:r>
    </w:p>
    <w:p>
      <w:pPr>
        <w:spacing w:after="80" w:before="80" w:line="300"/>
        <w:jc w:val="both"/>
      </w:pPr>
      <w:r>
        <w:rPr>
          <w:rFonts w:ascii="Poppins" w:cs="Poppins" w:eastAsia="Poppins" w:hAnsi="Poppins"/>
          <w:color w:val="1F2937"/>
          <w:sz w:val="20"/>
          <w:szCs w:val="20"/>
        </w:rPr>
        <w:t xml:space="preserve">Il implique typiquement plusieurs administrations, chacune contribuant une partie du service final. Son unité de référence est le service public tel que perçu par le bénéficiaire : création d'entreprise, paiement d'un impôt, délivrance d'un passeport, inscription scolaire, attribution d'une bourse, demande d'acte de naissance.</w:t>
      </w:r>
    </w:p>
    <w:p>
      <w:pPr>
        <w:spacing w:after="80" w:before="80" w:line="300"/>
        <w:jc w:val="both"/>
      </w:pPr>
      <w:r>
        <w:rPr>
          <w:rFonts w:ascii="Poppins" w:cs="Poppins" w:eastAsia="Poppins" w:hAnsi="Poppins"/>
          <w:color w:val="1F2937"/>
          <w:sz w:val="20"/>
          <w:szCs w:val="20"/>
        </w:rPr>
        <w:t xml:space="preserve">Un cas d'usage métier est porté par une institution coordonnatrice, souvent un guichet unique, une administration d'orientation, ou un ministère sectoriel. Cette institution n'est généralement pas détentrice des données mobilisées — elle en est l'orchestratrice. Elle garantit le bout-en-bout du parcours, le respect des délais globaux, et la cohérence du service rendu.</w:t>
      </w:r>
    </w:p>
    <w:p>
      <w:pPr>
        <w:pStyle w:val="Heading2"/>
        <w:spacing w:after="160" w:before="300"/>
      </w:pPr>
      <w:r>
        <w:rPr>
          <w:rFonts w:ascii="Poppins" w:cs="Poppins" w:eastAsia="Poppins" w:hAnsi="Poppins"/>
          <w:b/>
          <w:bCs/>
          <w:color w:val="0A6B68"/>
          <w:sz w:val="26"/>
          <w:szCs w:val="26"/>
        </w:rPr>
        <w:t xml:space="preserve">2.2 Le cas d'usage technique</w:t>
      </w:r>
    </w:p>
    <w:p>
      <w:pPr>
        <w:spacing w:after="80" w:before="80" w:line="300"/>
        <w:jc w:val="both"/>
      </w:pPr>
      <w:r>
        <w:rPr>
          <w:rFonts w:ascii="Poppins" w:cs="Poppins" w:eastAsia="Poppins" w:hAnsi="Poppins"/>
          <w:color w:val="1F2937"/>
          <w:sz w:val="20"/>
          <w:szCs w:val="20"/>
        </w:rPr>
        <w:t xml:space="preserve">Un cas d'usage technique est un échange de données unitaire entre deux systèmes d'information. Il sert un ou plusieurs cas d'usage métier, selon une logique de mutualisation. Son unité de référence est la transaction : fournir une information détenue par une administration à une autre administration qui en a besoin.</w:t>
      </w:r>
    </w:p>
    <w:p>
      <w:pPr>
        <w:spacing w:after="80" w:before="80" w:line="300"/>
        <w:jc w:val="both"/>
      </w:pPr>
      <w:r>
        <w:rPr>
          <w:rFonts w:ascii="Poppins" w:cs="Poppins" w:eastAsia="Poppins" w:hAnsi="Poppins"/>
          <w:color w:val="1F2937"/>
          <w:sz w:val="20"/>
          <w:szCs w:val="20"/>
        </w:rPr>
        <w:t xml:space="preserve">Il est opéré par l'institution détentrice de la donnée — DGID pour le NINEA, Greffe pour le RCCM, Ministère de la Justice pour le casier judiciaire, ANSD pour les données statistiques — et consommé par une ou plusieurs autres administrations. Sa base légale est généralement unique et précise : un article de loi, un décret, une convention bilatérale ratifiée.</w:t>
      </w:r>
    </w:p>
    <w:p>
      <w:pPr>
        <w:spacing w:after="80" w:before="80" w:line="300"/>
        <w:jc w:val="both"/>
      </w:pPr>
      <w:r>
        <w:rPr>
          <w:rFonts w:ascii="Poppins" w:cs="Poppins" w:eastAsia="Poppins" w:hAnsi="Poppins"/>
          <w:color w:val="1F2937"/>
          <w:sz w:val="20"/>
          <w:szCs w:val="20"/>
        </w:rPr>
        <w:t xml:space="preserve">Le propre d'un cas d'usage technique bien conçu est la réutilisation. Un service d'échange NINEA industrialisé sur le PINS sert la création d'entreprise, le contrôle fiscal, l'attribution de marchés publics, l'instruction d'agréments sectoriels, l'affectation de subventions. C'est cette réutilisation qui fait la valeur économique et fonctionnelle de la plateforme nationale d'interopérabilité.</w:t>
      </w:r>
    </w:p>
    <w:p>
      <w:pPr>
        <w:pStyle w:val="Heading2"/>
        <w:spacing w:after="160" w:before="300"/>
      </w:pPr>
      <w:r>
        <w:rPr>
          <w:rFonts w:ascii="Poppins" w:cs="Poppins" w:eastAsia="Poppins" w:hAnsi="Poppins"/>
          <w:b/>
          <w:bCs/>
          <w:color w:val="0A6B68"/>
          <w:sz w:val="26"/>
          <w:szCs w:val="26"/>
        </w:rPr>
        <w:t xml:space="preserve">2.3 Tableau comparatif</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Dimension</w:t>
            </w:r>
          </w:p>
        </w:tc>
        <w:tc>
          <w:tcPr>
            <w:tcW w:type="dxa" w:w="33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Cas d'usage métier</w:t>
            </w:r>
          </w:p>
        </w:tc>
        <w:tc>
          <w:tcPr>
            <w:tcW w:type="dxa" w:w="33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Cas d'usage technique</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Nature</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Parcours fonctionnel bout-en-bout</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Échange de données bilatéral</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Orientation</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Bénéficiaire final (citoyen, entreprise)</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Système d'information</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Porteur</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Institution coordonnatrice (guichet unique, ministère)</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Institution détentrice de la donnée</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Parties prenantes</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3 à 10 institutions typiquement</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 institutions — un fournisseur, un consommateur</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Base légale</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Composite — plusieurs textes articulés</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Unique — un article de loi ou un décret</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Logique de vie</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Unique — un parcours, une instance</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Réutilisable — un service, N usages</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Unité de décision</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Coordination multi-administrations</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Accord bilatéral formalisé</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Indicateurs</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Taux et délai de bout-en-bout, satisfaction usager</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Volumétrie, disponibilité, temps de réponse</w:t>
            </w:r>
          </w:p>
        </w:tc>
      </w:tr>
    </w:tbl>
    <w:p>
      <w:r>
        <w:br w:type="page"/>
      </w:r>
    </w:p>
    <w:p>
      <w:pPr>
        <w:pStyle w:val="Heading1"/>
        <w:spacing w:after="200" w:before="400"/>
      </w:pPr>
      <w:r>
        <w:rPr>
          <w:rFonts w:ascii="Poppins" w:cs="Poppins" w:eastAsia="Poppins" w:hAnsi="Poppins"/>
          <w:b/>
          <w:bCs/>
          <w:color w:val="0C1F3A"/>
          <w:sz w:val="32"/>
          <w:szCs w:val="32"/>
        </w:rPr>
        <w:t xml:space="preserve">3. La relation de service</w:t>
      </w:r>
    </w:p>
    <w:p>
      <w:pPr>
        <w:pStyle w:val="Heading2"/>
        <w:spacing w:after="160" w:before="300"/>
      </w:pPr>
      <w:r>
        <w:rPr>
          <w:rFonts w:ascii="Poppins" w:cs="Poppins" w:eastAsia="Poppins" w:hAnsi="Poppins"/>
          <w:b/>
          <w:bCs/>
          <w:color w:val="0A6B68"/>
          <w:sz w:val="26"/>
          <w:szCs w:val="26"/>
        </w:rPr>
        <w:t xml:space="preserve">3.1 Principe</w:t>
      </w:r>
    </w:p>
    <w:p>
      <w:pPr>
        <w:spacing w:after="80" w:before="80" w:line="300"/>
        <w:jc w:val="both"/>
      </w:pPr>
      <w:r>
        <w:rPr>
          <w:rFonts w:ascii="Poppins" w:cs="Poppins" w:eastAsia="Poppins" w:hAnsi="Poppins"/>
          <w:color w:val="1F2937"/>
          <w:sz w:val="20"/>
          <w:szCs w:val="20"/>
        </w:rPr>
        <w:t xml:space="preserve">Un cas d'usage métier consomme un ou plusieurs cas d'usage techniques. Inversement, un cas d'usage technique sert un ou plusieurs cas d'usage métier. Cette relation est plusieurs à plusieurs, asymétrique dans son sens mais symétrique dans sa nature : elle articule deux niveaux de gouvernance qui s'appuient l'un sur l'autre.</w:t>
      </w:r>
    </w:p>
    <w:p>
      <w:pPr>
        <w:spacing w:after="80" w:before="80" w:line="300"/>
        <w:jc w:val="both"/>
      </w:pPr>
      <w:r>
        <w:rPr>
          <w:rFonts w:ascii="Poppins" w:cs="Poppins" w:eastAsia="Poppins" w:hAnsi="Poppins"/>
          <w:color w:val="1F2937"/>
          <w:sz w:val="20"/>
          <w:szCs w:val="20"/>
        </w:rPr>
        <w:t xml:space="preserve">Dans le modèle de données, cette relation est matérialisée par une table associative qui lie un cas d'usage métier à un cas d'usage technique, avec deux qualificatifs complémentaires : l'ordre dans le parcours lorsqu'il est pertinent, et le caractère obligatoire ou optionnel de l'étape dans le parcours métier.</w:t>
      </w:r>
    </w:p>
    <w:p>
      <w:pPr>
        <w:pStyle w:val="Heading2"/>
        <w:spacing w:after="160" w:before="300"/>
      </w:pPr>
      <w:r>
        <w:rPr>
          <w:rFonts w:ascii="Poppins" w:cs="Poppins" w:eastAsia="Poppins" w:hAnsi="Poppins"/>
          <w:b/>
          <w:bCs/>
          <w:color w:val="0A6B68"/>
          <w:sz w:val="26"/>
          <w:szCs w:val="26"/>
        </w:rPr>
        <w:t xml:space="preserve">3.2 Illustration par la création d'entreprise</w:t>
      </w:r>
    </w:p>
    <w:p>
      <w:pPr>
        <w:spacing w:after="80" w:before="80" w:line="300"/>
        <w:jc w:val="both"/>
      </w:pPr>
      <w:r>
        <w:rPr>
          <w:rFonts w:ascii="Poppins" w:cs="Poppins" w:eastAsia="Poppins" w:hAnsi="Poppins"/>
          <w:color w:val="1F2937"/>
          <w:sz w:val="20"/>
          <w:szCs w:val="20"/>
        </w:rPr>
        <w:t xml:space="preserve">Le cas d'usage métier « Création d'entreprise au guichet unique » est porté par l'Agence pour la Promotion de l'Investissement et des Exportations. Il s'appuie sur cinq cas d'usage techniques qui mobilisent chacun une institution détentrice distincte.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800"/>
        <w:gridCol w:w="2526"/>
      </w:tblGrid>
      <w:tr>
        <w:trPr>
          <w:tblHeader/>
        </w:trPr>
        <w:tc>
          <w:tcPr>
            <w:tcW w:type="dxa" w:w="12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center"/>
            </w:pPr>
            <w:r>
              <w:rPr>
                <w:rFonts w:ascii="Poppins" w:cs="Poppins" w:eastAsia="Poppins" w:hAnsi="Poppins"/>
                <w:b/>
                <w:bCs/>
                <w:color w:val="FFFFFF"/>
                <w:sz w:val="18"/>
                <w:szCs w:val="18"/>
              </w:rPr>
              <w:t xml:space="preserve">Ordre</w:t>
            </w:r>
          </w:p>
        </w:tc>
        <w:tc>
          <w:tcPr>
            <w:tcW w:type="dxa" w:w="35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Cas d'usage technique</w:t>
            </w:r>
          </w:p>
        </w:tc>
        <w:tc>
          <w:tcPr>
            <w:tcW w:type="dxa" w:w="18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Institution</w:t>
            </w:r>
          </w:p>
        </w:tc>
        <w:tc>
          <w:tcPr>
            <w:tcW w:type="dxa" w:w="25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Étape</w:t>
            </w:r>
          </w:p>
        </w:tc>
      </w:tr>
      <w:tr>
        <w:tc>
          <w:tcPr>
            <w:tcW w:type="dxa" w:w="1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1F2937"/>
                <w:sz w:val="18"/>
                <w:szCs w:val="18"/>
              </w:rPr>
              <w:t xml:space="preserve">1</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Vérification NINEA des dirigeants</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DGID</w:t>
            </w:r>
          </w:p>
        </w:tc>
        <w:tc>
          <w:tcPr>
            <w:tcW w:type="dxa" w:w="2526"/>
            <w:tcBorders>
              <w:top w:val="single" w:color="E1E4E8" w:sz="4"/>
              <w:left w:val="single" w:color="E1E4E8" w:sz="4"/>
              <w:bottom w:val="single" w:color="E1E4E8" w:sz="4"/>
              <w:right w:val="single" w:color="E1E4E8" w:sz="4"/>
            </w:tcBorders>
            <w:shd w:fill="D1FAE5"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47857"/>
                <w:sz w:val="18"/>
                <w:szCs w:val="18"/>
              </w:rPr>
              <w:t xml:space="preserve">Obligatoire</w:t>
            </w:r>
          </w:p>
        </w:tc>
      </w:tr>
      <w:tr>
        <w:tc>
          <w:tcPr>
            <w:tcW w:type="dxa" w:w="1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1F2937"/>
                <w:sz w:val="18"/>
                <w:szCs w:val="18"/>
              </w:rPr>
              <w:t xml:space="preserve">2</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Vérification du casier judiciaire des dirigeants</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MJ</w:t>
            </w:r>
          </w:p>
        </w:tc>
        <w:tc>
          <w:tcPr>
            <w:tcW w:type="dxa" w:w="2526"/>
            <w:tcBorders>
              <w:top w:val="single" w:color="E1E4E8" w:sz="4"/>
              <w:left w:val="single" w:color="E1E4E8" w:sz="4"/>
              <w:bottom w:val="single" w:color="E1E4E8" w:sz="4"/>
              <w:right w:val="single" w:color="E1E4E8" w:sz="4"/>
            </w:tcBorders>
            <w:shd w:fill="D1FAE5"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47857"/>
                <w:sz w:val="18"/>
                <w:szCs w:val="18"/>
              </w:rPr>
              <w:t xml:space="preserve">Obligatoire</w:t>
            </w:r>
          </w:p>
        </w:tc>
      </w:tr>
      <w:tr>
        <w:tc>
          <w:tcPr>
            <w:tcW w:type="dxa" w:w="1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1F2937"/>
                <w:sz w:val="18"/>
                <w:szCs w:val="18"/>
              </w:rPr>
              <w:t xml:space="preserve">3</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Immatriculation au Registre du Commerce</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Greffe</w:t>
            </w:r>
          </w:p>
        </w:tc>
        <w:tc>
          <w:tcPr>
            <w:tcW w:type="dxa" w:w="2526"/>
            <w:tcBorders>
              <w:top w:val="single" w:color="E1E4E8" w:sz="4"/>
              <w:left w:val="single" w:color="E1E4E8" w:sz="4"/>
              <w:bottom w:val="single" w:color="E1E4E8" w:sz="4"/>
              <w:right w:val="single" w:color="E1E4E8" w:sz="4"/>
            </w:tcBorders>
            <w:shd w:fill="D1FAE5"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47857"/>
                <w:sz w:val="18"/>
                <w:szCs w:val="18"/>
              </w:rPr>
              <w:t xml:space="preserve">Obligatoire</w:t>
            </w:r>
          </w:p>
        </w:tc>
      </w:tr>
      <w:tr>
        <w:tc>
          <w:tcPr>
            <w:tcW w:type="dxa" w:w="1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1F2937"/>
                <w:sz w:val="18"/>
                <w:szCs w:val="18"/>
              </w:rPr>
              <w:t xml:space="preserve">4</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Affiliation à la Caisse de Sécurité Sociale</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CSS</w:t>
            </w:r>
          </w:p>
        </w:tc>
        <w:tc>
          <w:tcPr>
            <w:tcW w:type="dxa" w:w="2526"/>
            <w:tcBorders>
              <w:top w:val="single" w:color="E1E4E8" w:sz="4"/>
              <w:left w:val="single" w:color="E1E4E8" w:sz="4"/>
              <w:bottom w:val="single" w:color="E1E4E8" w:sz="4"/>
              <w:right w:val="single" w:color="E1E4E8" w:sz="4"/>
            </w:tcBorders>
            <w:shd w:fill="FADBC8"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Conditionnelle</w:t>
            </w:r>
          </w:p>
        </w:tc>
      </w:tr>
      <w:tr>
        <w:tc>
          <w:tcPr>
            <w:tcW w:type="dxa" w:w="12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center"/>
            </w:pPr>
            <w:r>
              <w:rPr>
                <w:rFonts w:ascii="Poppins" w:cs="Poppins" w:eastAsia="Poppins" w:hAnsi="Poppins"/>
                <w:b/>
                <w:bCs/>
                <w:color w:val="1F2937"/>
                <w:sz w:val="18"/>
                <w:szCs w:val="18"/>
              </w:rPr>
              <w:t xml:space="preserve">5</w:t>
            </w:r>
          </w:p>
        </w:tc>
        <w:tc>
          <w:tcPr>
            <w:tcW w:type="dxa" w:w="35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Affiliation à l'IPRES</w:t>
            </w:r>
          </w:p>
        </w:tc>
        <w:tc>
          <w:tcPr>
            <w:tcW w:type="dxa" w:w="18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IPRES</w:t>
            </w:r>
          </w:p>
        </w:tc>
        <w:tc>
          <w:tcPr>
            <w:tcW w:type="dxa" w:w="2526"/>
            <w:tcBorders>
              <w:top w:val="single" w:color="E1E4E8" w:sz="4"/>
              <w:left w:val="single" w:color="E1E4E8" w:sz="4"/>
              <w:bottom w:val="single" w:color="E1E4E8" w:sz="4"/>
              <w:right w:val="single" w:color="E1E4E8" w:sz="4"/>
            </w:tcBorders>
            <w:shd w:fill="FADBC8"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C55A18"/>
                <w:sz w:val="18"/>
                <w:szCs w:val="18"/>
              </w:rPr>
              <w:t xml:space="preserve">Conditionnelle</w:t>
            </w:r>
          </w:p>
        </w:tc>
      </w:tr>
    </w:tbl>
    <w:p>
      <w:pPr>
        <w:pStyle w:val="Heading2"/>
        <w:spacing w:after="160" w:before="300"/>
      </w:pPr>
      <w:r>
        <w:rPr>
          <w:rFonts w:ascii="Poppins" w:cs="Poppins" w:eastAsia="Poppins" w:hAnsi="Poppins"/>
          <w:b/>
          <w:bCs/>
          <w:color w:val="0A6B68"/>
          <w:sz w:val="26"/>
          <w:szCs w:val="26"/>
        </w:rPr>
        <w:t xml:space="preserve">3.3 La lecture inverse — un service technique servant plusieurs parcours</w:t>
      </w:r>
    </w:p>
    <w:p>
      <w:pPr>
        <w:spacing w:after="80" w:before="80" w:line="300"/>
        <w:jc w:val="both"/>
      </w:pPr>
      <w:r>
        <w:rPr>
          <w:rFonts w:ascii="Poppins" w:cs="Poppins" w:eastAsia="Poppins" w:hAnsi="Poppins"/>
          <w:color w:val="1F2937"/>
          <w:sz w:val="20"/>
          <w:szCs w:val="20"/>
        </w:rPr>
        <w:t xml:space="preserve">La même relation lue dans l'autre sens fait apparaître la valeur structurelle d'un service technique bien conçu. Le service technique de vérification NINEA opéré par la DGID ne sert pas seulement la création d'entreprise. Il sert également les contrôles fiscaux, l'attribution des marchés publics, l'instruction des agréments sectoriels, l'affectation des subventions publiques, le paiement des mandats, la délivrance de quitus fiscaux, le contrôle des obligations déclaratives des associations. Le même service, dix parcours au moins. Cette multiplication des usages est le cœur de la valeur économique et fonctionnelle du PINS.</w:t>
      </w:r>
    </w:p>
    <w:p>
      <w:pPr>
        <w:spacing w:after="80" w:before="80" w:line="300"/>
        <w:jc w:val="both"/>
      </w:pPr>
      <w:r>
        <w:rPr>
          <w:rFonts w:ascii="Poppins" w:cs="Poppins" w:eastAsia="Poppins" w:hAnsi="Poppins"/>
          <w:color w:val="1F2937"/>
          <w:sz w:val="20"/>
          <w:szCs w:val="20"/>
        </w:rPr>
        <w:t xml:space="preserve">La vue de couverture par référentiel, livrée dans l'addendum v1.1, prend tout son sens lorsqu'elle s'enrichit de cette dimension : un référentiel comme le NINEA n'est pas seulement consommé par X cas d'usage techniques, il sert indirectement Y cas d'usage métier. Ce double compteur fait passer l'évaluation de criticité du référentiel d'un niveau à l'autre.</w:t>
      </w:r>
    </w:p>
    <w:p>
      <w:r>
        <w:br w:type="page"/>
      </w:r>
    </w:p>
    <w:p>
      <w:pPr>
        <w:pStyle w:val="Heading1"/>
        <w:spacing w:after="200" w:before="400"/>
      </w:pPr>
      <w:r>
        <w:rPr>
          <w:rFonts w:ascii="Poppins" w:cs="Poppins" w:eastAsia="Poppins" w:hAnsi="Poppins"/>
          <w:b/>
          <w:bCs/>
          <w:color w:val="0C1F3A"/>
          <w:sz w:val="32"/>
          <w:szCs w:val="32"/>
        </w:rPr>
        <w:t xml:space="preserve">4. Gouvernance différenciée</w:t>
      </w:r>
    </w:p>
    <w:p>
      <w:pPr>
        <w:pStyle w:val="Heading2"/>
        <w:spacing w:after="160" w:before="300"/>
      </w:pPr>
      <w:r>
        <w:rPr>
          <w:rFonts w:ascii="Poppins" w:cs="Poppins" w:eastAsia="Poppins" w:hAnsi="Poppins"/>
          <w:b/>
          <w:bCs/>
          <w:color w:val="0A6B68"/>
          <w:sz w:val="26"/>
          <w:szCs w:val="26"/>
        </w:rPr>
        <w:t xml:space="preserve">4.1 Une redevabilité distincte pour chaque niveau</w:t>
      </w:r>
    </w:p>
    <w:p>
      <w:pPr>
        <w:spacing w:after="80" w:before="80" w:line="300"/>
        <w:jc w:val="both"/>
      </w:pPr>
      <w:r>
        <w:rPr>
          <w:rFonts w:ascii="Poppins" w:cs="Poppins" w:eastAsia="Poppins" w:hAnsi="Poppins"/>
          <w:color w:val="1F2937"/>
          <w:sz w:val="20"/>
          <w:szCs w:val="20"/>
        </w:rPr>
        <w:t xml:space="preserve">La distinction typologique n'est pas seulement une question de modèle de données. Elle implique une gouvernance différenciée dans la qualification, la consultation, la validation et le suivi des cas d'usage. Chaque niveau a son unité de décision propre, ses acteurs légitimes, ses indicateurs de performance.</w:t>
      </w:r>
    </w:p>
    <w:p>
      <w:pPr>
        <w:pStyle w:val="Heading2"/>
        <w:spacing w:after="160" w:before="300"/>
      </w:pPr>
      <w:r>
        <w:rPr>
          <w:rFonts w:ascii="Poppins" w:cs="Poppins" w:eastAsia="Poppins" w:hAnsi="Poppins"/>
          <w:b/>
          <w:bCs/>
          <w:color w:val="0A6B68"/>
          <w:sz w:val="26"/>
          <w:szCs w:val="26"/>
        </w:rPr>
        <w:t xml:space="preserve">4.2 Qualification d'un cas d'usage métier</w:t>
      </w:r>
    </w:p>
    <w:p>
      <w:pPr>
        <w:spacing w:after="80" w:before="80" w:line="300"/>
        <w:jc w:val="both"/>
      </w:pPr>
      <w:r>
        <w:rPr>
          <w:rFonts w:ascii="Poppins" w:cs="Poppins" w:eastAsia="Poppins" w:hAnsi="Poppins"/>
          <w:color w:val="1F2937"/>
          <w:sz w:val="20"/>
          <w:szCs w:val="20"/>
        </w:rPr>
        <w:t xml:space="preserve">Lorsqu'un cas d'usage métier est déclaré, son institution coordonnatrice porte la responsabilité du bout-en-bout. Elle identifie les cas d'usage techniques requis, qu'ils soient déjà opérationnels ou à créer. Elle orchestre la consultation des institutions détentrices concernées, non pas sur le parcours métier dans son ensemble — qui ne les regarde pas en tant que tel — mais sur chacun des cas d'usage techniques qu'elles porteraient.</w:t>
      </w:r>
    </w:p>
    <w:p>
      <w:pPr>
        <w:spacing w:after="80" w:before="80" w:line="300"/>
        <w:jc w:val="both"/>
      </w:pPr>
      <w:r>
        <w:rPr>
          <w:rFonts w:ascii="Poppins" w:cs="Poppins" w:eastAsia="Poppins" w:hAnsi="Poppins"/>
          <w:color w:val="1F2937"/>
          <w:sz w:val="20"/>
          <w:szCs w:val="20"/>
        </w:rPr>
        <w:t xml:space="preserve">La Delivery Unit valide le cas d'usage métier selon des critères propres à cet objet : cohérence du parcours, complétude des étapes, réalisme des délais annoncés, clarté de la responsabilité du coordonnateur, robustesse de la base légale composite. La validation technique de chaque échange relève des cas d'usage techniques associés, pris individuellement.</w:t>
      </w:r>
    </w:p>
    <w:p>
      <w:pPr>
        <w:pStyle w:val="Heading2"/>
        <w:spacing w:after="160" w:before="300"/>
      </w:pPr>
      <w:r>
        <w:rPr>
          <w:rFonts w:ascii="Poppins" w:cs="Poppins" w:eastAsia="Poppins" w:hAnsi="Poppins"/>
          <w:b/>
          <w:bCs/>
          <w:color w:val="0A6B68"/>
          <w:sz w:val="26"/>
          <w:szCs w:val="26"/>
        </w:rPr>
        <w:t xml:space="preserve">4.3 Qualification d'un cas d'usage technique</w:t>
      </w:r>
    </w:p>
    <w:p>
      <w:pPr>
        <w:spacing w:after="80" w:before="80" w:line="300"/>
        <w:jc w:val="both"/>
      </w:pPr>
      <w:r>
        <w:rPr>
          <w:rFonts w:ascii="Poppins" w:cs="Poppins" w:eastAsia="Poppins" w:hAnsi="Poppins"/>
          <w:color w:val="1F2937"/>
          <w:sz w:val="20"/>
          <w:szCs w:val="20"/>
        </w:rPr>
        <w:t xml:space="preserve">Lorsqu'un cas d'usage technique est déclaré, son institution détentrice engage sa redevabilité sur la mise à disposition d'une donnée précise, selon des modalités techniques précises, pour un usage précis. La consultation concerne les consommateurs identifiés et les autorités transversales compétentes — typiquement la Commission de Protection des Données pour les données personnelles, la Direction de la Cybersécurité pour les enjeux techniques critiques.</w:t>
      </w:r>
    </w:p>
    <w:p>
      <w:pPr>
        <w:spacing w:after="80" w:before="80" w:line="300"/>
        <w:jc w:val="both"/>
      </w:pPr>
      <w:r>
        <w:rPr>
          <w:rFonts w:ascii="Poppins" w:cs="Poppins" w:eastAsia="Poppins" w:hAnsi="Poppins"/>
          <w:color w:val="1F2937"/>
          <w:sz w:val="20"/>
          <w:szCs w:val="20"/>
        </w:rPr>
        <w:t xml:space="preserve">La Delivery Unit valide le cas d'usage technique selon des critères propres : adéquation de la base légale à l'échange, compatibilité avec les principes d'interopérabilité et de minimisation des données, viabilité technique, articulation avec les référentiels nationaux.</w:t>
      </w:r>
    </w:p>
    <w:p>
      <w:pPr>
        <w:pStyle w:val="Heading2"/>
        <w:spacing w:after="160" w:before="300"/>
      </w:pPr>
      <w:r>
        <w:rPr>
          <w:rFonts w:ascii="Poppins" w:cs="Poppins" w:eastAsia="Poppins" w:hAnsi="Poppins"/>
          <w:b/>
          <w:bCs/>
          <w:color w:val="0A6B68"/>
          <w:sz w:val="26"/>
          <w:szCs w:val="26"/>
        </w:rPr>
        <w:t xml:space="preserve">4.4 Articulation opérationnelle</w:t>
      </w:r>
    </w:p>
    <w:p>
      <w:pPr>
        <w:spacing w:after="80" w:before="80" w:line="300"/>
        <w:jc w:val="both"/>
      </w:pPr>
      <w:r>
        <w:rPr>
          <w:rFonts w:ascii="Poppins" w:cs="Poppins" w:eastAsia="Poppins" w:hAnsi="Poppins"/>
          <w:color w:val="1F2937"/>
          <w:sz w:val="20"/>
          <w:szCs w:val="20"/>
        </w:rPr>
        <w:t xml:space="preserve">Un cas d'usage métier ne peut pas progresser au-delà du statut d'identification tant que les cas d'usage techniques sur lesquels il s'appuie ne sont pas en production ou au minimum en voie de qualification. Cette articulation est matérialisée dans l'interface par un indicateur de disponibilité des services techniques requis, visible sur la fiche du cas d'usage métier.</w:t>
      </w:r>
    </w:p>
    <w:p>
      <w:pPr>
        <w:spacing w:after="80" w:before="80" w:line="300"/>
        <w:jc w:val="both"/>
      </w:pPr>
      <w:r>
        <w:rPr>
          <w:rFonts w:ascii="Poppins" w:cs="Poppins" w:eastAsia="Poppins" w:hAnsi="Poppins"/>
          <w:color w:val="1F2937"/>
          <w:sz w:val="20"/>
          <w:szCs w:val="20"/>
        </w:rPr>
        <w:t xml:space="preserve">Inversement, un cas d'usage technique peut progresser indépendamment des cas d'usage métier qui le consomment. Un service NINEA peut être mis en production pour un seul consommateur au départ, puis être consommé par de nouveaux parcours métier sans requalification du service technique lui-même.</w:t>
      </w:r>
    </w:p>
    <w:p>
      <w:r>
        <w:br w:type="page"/>
      </w:r>
    </w:p>
    <w:p>
      <w:pPr>
        <w:pStyle w:val="Heading1"/>
        <w:spacing w:after="200" w:before="400"/>
      </w:pPr>
      <w:r>
        <w:rPr>
          <w:rFonts w:ascii="Poppins" w:cs="Poppins" w:eastAsia="Poppins" w:hAnsi="Poppins"/>
          <w:b/>
          <w:bCs/>
          <w:color w:val="0C1F3A"/>
          <w:sz w:val="32"/>
          <w:szCs w:val="32"/>
        </w:rPr>
        <w:t xml:space="preserve">5. Impacts sur l'existant</w:t>
      </w:r>
    </w:p>
    <w:p>
      <w:pPr>
        <w:pStyle w:val="Heading2"/>
        <w:spacing w:after="160" w:before="300"/>
      </w:pPr>
      <w:r>
        <w:rPr>
          <w:rFonts w:ascii="Poppins" w:cs="Poppins" w:eastAsia="Poppins" w:hAnsi="Poppins"/>
          <w:b/>
          <w:bCs/>
          <w:color w:val="0A6B68"/>
          <w:sz w:val="26"/>
          <w:szCs w:val="26"/>
        </w:rPr>
        <w:t xml:space="preserve">5.1 Modèle de données</w:t>
      </w:r>
    </w:p>
    <w:p>
      <w:pPr>
        <w:spacing w:after="80" w:before="80" w:line="300"/>
        <w:jc w:val="both"/>
      </w:pPr>
      <w:r>
        <w:rPr>
          <w:rFonts w:ascii="Poppins" w:cs="Poppins" w:eastAsia="Poppins" w:hAnsi="Poppins"/>
          <w:color w:val="1F2937"/>
          <w:sz w:val="20"/>
          <w:szCs w:val="20"/>
        </w:rPr>
        <w:t xml:space="preserve">Une énumération Typologie est ajoutée au schéma, avec deux valeurs initiales — METIER et TECHNIQUE — susceptible d'être étendue ultérieurement à d'autres typologies si le besoin apparaît. Le modèle des cas d'usage est enrichi d'un champ obligatoire typologie, dont la valeur par défaut pour les cas d'usage existants sera à déterminer lors de la migration.</w:t>
      </w:r>
    </w:p>
    <w:p>
      <w:pPr>
        <w:spacing w:after="80" w:before="80" w:line="300"/>
        <w:jc w:val="both"/>
      </w:pPr>
      <w:r>
        <w:rPr>
          <w:rFonts w:ascii="Poppins" w:cs="Poppins" w:eastAsia="Poppins" w:hAnsi="Poppins"/>
          <w:color w:val="1F2937"/>
          <w:sz w:val="20"/>
          <w:szCs w:val="20"/>
        </w:rPr>
        <w:t xml:space="preserve">Une table associative RelationCasUsage est créée pour matérialiser la relation de service. Elle porte les identifiants des deux cas d'usage liés — le métier et le technique —, un champ d'ordre optionnel pour les parcours séquencés, un champ booléen indiquant si l'étape est obligatoire ou conditionnelle dans le parcours métier, et les métadonnées usuelles de création.</w:t>
      </w:r>
    </w:p>
    <w:p>
      <w:pPr>
        <w:spacing w:after="80" w:before="80" w:line="300"/>
        <w:jc w:val="both"/>
      </w:pPr>
      <w:r>
        <w:rPr>
          <w:rFonts w:ascii="Poppins" w:cs="Poppins" w:eastAsia="Poppins" w:hAnsi="Poppins"/>
          <w:color w:val="1F2937"/>
          <w:sz w:val="20"/>
          <w:szCs w:val="20"/>
        </w:rPr>
        <w:t xml:space="preserve">La migration des cas d'usage existants est une opération délicate qui demande un arbitrage institutionnel. Trois grandes options de classement sont envisageables. Soit considérer par défaut tous les cas d'usage existants comme techniques — option robuste car la plupart des cas actuellement en base sont effectivement des échanges bilatéraux —, puis laisser la Delivery Unit reclasser manuellement les quelques cas qui relèvent en réalité du métier. Soit au contraire suspendre la migration jusqu'à ce que chaque cas d'usage soit explicitement qualifié, ce qui retarde le lancement opérationnel. Soit une approche hybride avec classement automatique par heuristique et validation humaine.</w:t>
      </w:r>
    </w:p>
    <w:p>
      <w:pPr>
        <w:pStyle w:val="Heading2"/>
        <w:spacing w:after="160" w:before="300"/>
      </w:pPr>
      <w:r>
        <w:rPr>
          <w:rFonts w:ascii="Poppins" w:cs="Poppins" w:eastAsia="Poppins" w:hAnsi="Poppins"/>
          <w:b/>
          <w:bCs/>
          <w:color w:val="0A6B68"/>
          <w:sz w:val="26"/>
          <w:szCs w:val="26"/>
        </w:rPr>
        <w:t xml:space="preserve">5.2 Interface utilisateur</w:t>
      </w:r>
    </w:p>
    <w:p>
      <w:pPr>
        <w:spacing w:after="80" w:before="80" w:line="300"/>
        <w:jc w:val="both"/>
      </w:pPr>
      <w:r>
        <w:rPr>
          <w:rFonts w:ascii="Poppins" w:cs="Poppins" w:eastAsia="Poppins" w:hAnsi="Poppins"/>
          <w:color w:val="1F2937"/>
          <w:sz w:val="20"/>
          <w:szCs w:val="20"/>
        </w:rPr>
        <w:t xml:space="preserve">L'interface de déclaration d'un nouveau cas d'usage intègre dès le premier écran un choix explicite de typologie, présenté non pas comme une case à cocher technique mais comme une qualification structurante introduite par une question orientante : s'agit-il d'un parcours métier qui mobilise plusieurs administrations, ou d'un service d'échange de données entre deux systèmes ? Une explication pédagogique contextuelle accompagne ce choix.</w:t>
      </w:r>
    </w:p>
    <w:p>
      <w:pPr>
        <w:spacing w:after="80" w:before="80" w:line="300"/>
        <w:jc w:val="both"/>
      </w:pPr>
      <w:r>
        <w:rPr>
          <w:rFonts w:ascii="Poppins" w:cs="Poppins" w:eastAsia="Poppins" w:hAnsi="Poppins"/>
          <w:color w:val="1F2937"/>
          <w:sz w:val="20"/>
          <w:szCs w:val="20"/>
        </w:rPr>
        <w:t xml:space="preserve">Selon la typologie retenue, le formulaire s'adapte. Pour un cas d'usage métier, les champs mis en avant sont l'institution coordonnatrice, le bénéficiaire final, les cas d'usage techniques requis. Pour un cas d'usage technique, les champs mis en avant sont l'institution détentrice, l'institution consommatrice, la donnée échangée, la base légale.</w:t>
      </w:r>
    </w:p>
    <w:p>
      <w:pPr>
        <w:spacing w:after="80" w:before="80" w:line="300"/>
        <w:jc w:val="both"/>
      </w:pPr>
      <w:r>
        <w:rPr>
          <w:rFonts w:ascii="Poppins" w:cs="Poppins" w:eastAsia="Poppins" w:hAnsi="Poppins"/>
          <w:color w:val="1F2937"/>
          <w:sz w:val="20"/>
          <w:szCs w:val="20"/>
        </w:rPr>
        <w:t xml:space="preserve">Les fiches détaillées s'enrichissent d'un bloc dédié à la relation. Sur la fiche d'un cas d'usage métier, un bloc « Services techniques mobilisés » liste les cas d'usage techniques consommés avec leur statut de disponibilité. Sur la fiche d'un cas d'usage technique, un bloc « Cas d'usage métier servis » liste les parcours qui s'appuient sur ce service, avec un indicateur visuel de criticité fondé sur le nombre de consommateurs.</w:t>
      </w:r>
    </w:p>
    <w:p>
      <w:pPr>
        <w:pStyle w:val="Heading2"/>
        <w:spacing w:after="160" w:before="300"/>
      </w:pPr>
      <w:r>
        <w:rPr>
          <w:rFonts w:ascii="Poppins" w:cs="Poppins" w:eastAsia="Poppins" w:hAnsi="Poppins"/>
          <w:b/>
          <w:bCs/>
          <w:color w:val="0A6B68"/>
          <w:sz w:val="26"/>
          <w:szCs w:val="26"/>
        </w:rPr>
        <w:t xml:space="preserve">5.3 Indicateurs et tableau de bord</w:t>
      </w:r>
    </w:p>
    <w:p>
      <w:pPr>
        <w:spacing w:after="80" w:before="80" w:line="300"/>
        <w:jc w:val="both"/>
      </w:pPr>
      <w:r>
        <w:rPr>
          <w:rFonts w:ascii="Poppins" w:cs="Poppins" w:eastAsia="Poppins" w:hAnsi="Poppins"/>
          <w:color w:val="1F2937"/>
          <w:sz w:val="20"/>
          <w:szCs w:val="20"/>
        </w:rPr>
        <w:t xml:space="preserve">La vue d'arbitrage de la Delivery Unit se dote d'une lecture typologique. Les indicateurs de pilotage sont ventilés selon la nature des cas d'usage : combien de parcours métier en déclaration, en consultation, en production ; combien de services techniques aux mêmes étapes. Cette ventilation permet à la Delivery Unit de répartir son effort entre l'accompagnement stratégique des parcours et le suivi opérationnel des services.</w:t>
      </w:r>
    </w:p>
    <w:p>
      <w:pPr>
        <w:spacing w:after="80" w:before="80" w:line="300"/>
        <w:jc w:val="both"/>
      </w:pPr>
      <w:r>
        <w:rPr>
          <w:rFonts w:ascii="Poppins" w:cs="Poppins" w:eastAsia="Poppins" w:hAnsi="Poppins"/>
          <w:color w:val="1F2937"/>
          <w:sz w:val="20"/>
          <w:szCs w:val="20"/>
        </w:rPr>
        <w:t xml:space="preserve">Un nouvel indicateur apparaît, propre à la typologie : le taux de mutualisation des services techniques, calculé comme le ratio entre le nombre de consommations métier des services techniques et le nombre de services techniques actifs. Un taux de mutualisation élevé traduit l'efficacité de l'approche PINS — un même service industrialisé sert plusieurs parcours. Un taux faible signale soit une jeunesse du catalogue, soit un échec de mutualisation qui mérite enquête.</w:t>
      </w:r>
    </w:p>
    <w:p>
      <w:pPr>
        <w:pStyle w:val="Heading2"/>
        <w:spacing w:after="160" w:before="300"/>
      </w:pPr>
      <w:r>
        <w:rPr>
          <w:rFonts w:ascii="Poppins" w:cs="Poppins" w:eastAsia="Poppins" w:hAnsi="Poppins"/>
          <w:b/>
          <w:bCs/>
          <w:color w:val="0A6B68"/>
          <w:sz w:val="26"/>
          <w:szCs w:val="26"/>
        </w:rPr>
        <w:t xml:space="preserve">5.4 Articulation avec la phase P8</w:t>
      </w:r>
    </w:p>
    <w:p>
      <w:pPr>
        <w:spacing w:after="80" w:before="80" w:line="300"/>
        <w:jc w:val="both"/>
      </w:pPr>
      <w:r>
        <w:rPr>
          <w:rFonts w:ascii="Poppins" w:cs="Poppins" w:eastAsia="Poppins" w:hAnsi="Poppins"/>
          <w:color w:val="1F2937"/>
          <w:sz w:val="20"/>
          <w:szCs w:val="20"/>
        </w:rPr>
        <w:t xml:space="preserve">La phase P8 introduit le catalogue des propositions. La typologie introduite par la phase P9 s'applique naturellement aux propositions : le catalogue présente deux familles de propositions avec des logiques d'adoption distinctes. Une proposition de parcours métier est adoptée par une institution coordonnatrice, qui peut également confirmer ou compléter la liste des services techniques à mobiliser. Une proposition de service technique est adoptée par l'institution détentrice de la donnée.</w:t>
      </w:r>
    </w:p>
    <w:p>
      <w:pPr>
        <w:spacing w:after="80" w:before="80" w:line="300"/>
        <w:jc w:val="both"/>
      </w:pPr>
      <w:r>
        <w:rPr>
          <w:rFonts w:ascii="Poppins" w:cs="Poppins" w:eastAsia="Poppins" w:hAnsi="Poppins"/>
          <w:color w:val="1F2937"/>
          <w:sz w:val="20"/>
          <w:szCs w:val="20"/>
        </w:rPr>
        <w:t xml:space="preserve">Ces deux phases sont donc complémentaires dans leur mise en œuvre. Elles peuvent être développées parallèlement ou séquentiellement, sans interdépendance bloquante.</w:t>
      </w:r>
    </w:p>
    <w:p>
      <w:r>
        <w:br w:type="page"/>
      </w:r>
    </w:p>
    <w:p>
      <w:pPr>
        <w:pStyle w:val="Heading1"/>
        <w:spacing w:after="200" w:before="400"/>
      </w:pPr>
      <w:r>
        <w:rPr>
          <w:rFonts w:ascii="Poppins" w:cs="Poppins" w:eastAsia="Poppins" w:hAnsi="Poppins"/>
          <w:b/>
          <w:bCs/>
          <w:color w:val="0C1F3A"/>
          <w:sz w:val="32"/>
          <w:szCs w:val="32"/>
        </w:rPr>
        <w:t xml:space="preserve">6. Alignement avec l'architecture d'entreprise</w:t>
      </w:r>
    </w:p>
    <w:p>
      <w:pPr>
        <w:pStyle w:val="Heading2"/>
        <w:spacing w:after="160" w:before="300"/>
      </w:pPr>
      <w:r>
        <w:rPr>
          <w:rFonts w:ascii="Poppins" w:cs="Poppins" w:eastAsia="Poppins" w:hAnsi="Poppins"/>
          <w:b/>
          <w:bCs/>
          <w:color w:val="0A6B68"/>
          <w:sz w:val="26"/>
          <w:szCs w:val="26"/>
        </w:rPr>
        <w:t xml:space="preserve">6.1 Référence conceptuelle</w:t>
      </w:r>
    </w:p>
    <w:p>
      <w:pPr>
        <w:spacing w:after="80" w:before="80" w:line="300"/>
        <w:jc w:val="both"/>
      </w:pPr>
      <w:r>
        <w:rPr>
          <w:rFonts w:ascii="Poppins" w:cs="Poppins" w:eastAsia="Poppins" w:hAnsi="Poppins"/>
          <w:color w:val="1F2937"/>
          <w:sz w:val="20"/>
          <w:szCs w:val="20"/>
        </w:rPr>
        <w:t xml:space="preserve">La distinction entre services métier et services techniques n'est pas une invention locale. Elle est inscrite depuis longtemps dans les cadres de référence de l'architecture d'entreprise gouvernementale — notamment le TOGAF, le cadre de référence FEAF des États-Unis, et les déclinaisons européennes. Ces cadres distinguent systématiquement la couche des services métier orientés bénéficiaire et la couche des services techniques qui les réalisent.</w:t>
      </w:r>
    </w:p>
    <w:p>
      <w:pPr>
        <w:spacing w:after="80" w:before="80" w:line="300"/>
        <w:jc w:val="both"/>
      </w:pPr>
      <w:r>
        <w:rPr>
          <w:rFonts w:ascii="Poppins" w:cs="Poppins" w:eastAsia="Poppins" w:hAnsi="Poppins"/>
          <w:color w:val="1F2937"/>
          <w:sz w:val="20"/>
          <w:szCs w:val="20"/>
        </w:rPr>
        <w:t xml:space="preserve">L'introduction de cette distinction dans la Vue 360° inscrit donc la plateforme DPI-INTEROP dans la lignée des bonnes pratiques internationales et prépare l'articulation avec les livrables attendus du programme AEG sénégalais.</w:t>
      </w:r>
    </w:p>
    <w:p>
      <w:pPr>
        <w:pStyle w:val="Heading2"/>
        <w:spacing w:after="160" w:before="300"/>
      </w:pPr>
      <w:r>
        <w:rPr>
          <w:rFonts w:ascii="Poppins" w:cs="Poppins" w:eastAsia="Poppins" w:hAnsi="Poppins"/>
          <w:b/>
          <w:bCs/>
          <w:color w:val="0A6B68"/>
          <w:sz w:val="26"/>
          <w:szCs w:val="26"/>
        </w:rPr>
        <w:t xml:space="preserve">6.2 Articulation pratique attendue</w:t>
      </w:r>
    </w:p>
    <w:p>
      <w:pPr>
        <w:spacing w:after="80" w:before="80" w:line="300"/>
        <w:jc w:val="both"/>
      </w:pPr>
      <w:r>
        <w:rPr>
          <w:rFonts w:ascii="Poppins" w:cs="Poppins" w:eastAsia="Poppins" w:hAnsi="Poppins"/>
          <w:color w:val="1F2937"/>
          <w:sz w:val="20"/>
          <w:szCs w:val="20"/>
        </w:rPr>
        <w:t xml:space="preserve">Lorsque le programme AEG produira son référentiel des services publics numériques — le catalogue exhaustif des services métier rendus par l'État —, il pourra être importé dans la plateforme DPI-INTEROP comme ensemble de propositions de cas d'usage métier à qualifier et à adopter par les institutions coordonnatrices. Inversement, l'identification des services techniques dans la Vue 360° peut servir d'input au programme AEG pour construire sa cartographie des capacités numériques mutualisées.</w:t>
      </w:r>
    </w:p>
    <w:p>
      <w:pPr>
        <w:spacing w:after="80" w:before="80" w:line="300"/>
        <w:jc w:val="both"/>
      </w:pPr>
      <w:r>
        <w:rPr>
          <w:rFonts w:ascii="Poppins" w:cs="Poppins" w:eastAsia="Poppins" w:hAnsi="Poppins"/>
          <w:color w:val="1F2937"/>
          <w:sz w:val="20"/>
          <w:szCs w:val="20"/>
        </w:rPr>
        <w:t xml:space="preserve">La Delivery Unit peut ainsi se positionner auprès de l'équipe AEG non pas comme un exécutant qui attend les référentiels, mais comme un contributeur qui apporte une matière opérationnelle — les services techniques réellement opérés, leur volumétrie, leur criticité, leur mutualisation — à partir de laquelle l'AEG peut affiner son cadrage stratégique. Cette posture renforce la légitimité de la DU dans l'écosystème numérique national.</w:t>
      </w:r>
    </w:p>
    <w:p>
      <w:pPr>
        <w:pStyle w:val="Heading2"/>
        <w:spacing w:after="160" w:before="300"/>
      </w:pPr>
      <w:r>
        <w:rPr>
          <w:rFonts w:ascii="Poppins" w:cs="Poppins" w:eastAsia="Poppins" w:hAnsi="Poppins"/>
          <w:b/>
          <w:bCs/>
          <w:color w:val="0A6B68"/>
          <w:sz w:val="26"/>
          <w:szCs w:val="26"/>
        </w:rPr>
        <w:t xml:space="preserve">6.3 Bénéfice pour le programme GouvNum</w:t>
      </w:r>
    </w:p>
    <w:p>
      <w:pPr>
        <w:spacing w:after="80" w:before="80" w:line="300"/>
        <w:jc w:val="both"/>
      </w:pPr>
      <w:r>
        <w:rPr>
          <w:rFonts w:ascii="Poppins" w:cs="Poppins" w:eastAsia="Poppins" w:hAnsi="Poppins"/>
          <w:color w:val="1F2937"/>
          <w:sz w:val="20"/>
          <w:szCs w:val="20"/>
        </w:rPr>
        <w:t xml:space="preserve">Le programme GouvNum et sa conditionnalité de quitus numérique, inscrite dans le décret de création du cadre d'évaluation de la conformité, trouvent dans cette typologie un appui opérationnel direct. Lorsqu'une institution sollicite un quitus numérique pour un nouveau parcours, l'évaluation peut s'appuyer sur la liste des services techniques que ce parcours mobilise et sur leur état de qualification. Un parcours qui s'appuie sur des services techniques déjà en production sur le PINS est évalué plus rapidement et plus favorablement qu'un parcours qui réinvente des échanges existants ou qui contourne la plateforme nationale.</w:t>
      </w:r>
    </w:p>
    <w:p>
      <w:r>
        <w:br w:type="page"/>
      </w:r>
    </w:p>
    <w:p>
      <w:pPr>
        <w:pStyle w:val="Heading1"/>
        <w:spacing w:after="200" w:before="400"/>
      </w:pPr>
      <w:r>
        <w:rPr>
          <w:rFonts w:ascii="Poppins" w:cs="Poppins" w:eastAsia="Poppins" w:hAnsi="Poppins"/>
          <w:b/>
          <w:bCs/>
          <w:color w:val="0C1F3A"/>
          <w:sz w:val="32"/>
          <w:szCs w:val="32"/>
        </w:rPr>
        <w:t xml:space="preserve">7. Plan d'implémentation indicatif</w:t>
      </w:r>
    </w:p>
    <w:p>
      <w:pPr>
        <w:spacing w:after="80" w:before="80" w:line="300"/>
        <w:jc w:val="both"/>
      </w:pPr>
      <w:r>
        <w:rPr>
          <w:rFonts w:ascii="Poppins" w:cs="Poppins" w:eastAsia="Poppins" w:hAnsi="Poppins"/>
          <w:color w:val="1F2937"/>
          <w:sz w:val="20"/>
          <w:szCs w:val="20"/>
        </w:rPr>
        <w:t xml:space="preserve">La phase P9 peut être livrée en trois à quatre jours ouvrés. L'articulation avec la phase P8 — catalogue des propositions — peut se faire de deux façons : soit en lançant P9 d'abord pour disposer de la typologie au moment d'importer le stock en catalogue, soit en lançant P8 d'abord avec une typologie par défaut puis en reclassant lors de P9. Le choix dépend du calendrier retenu par la Delivery Unit.</w:t>
      </w:r>
    </w:p>
    <w:p>
      <w:pPr>
        <w:pStyle w:val="Heading3"/>
        <w:spacing w:after="120" w:before="240"/>
      </w:pPr>
      <w:r>
        <w:rPr>
          <w:rFonts w:ascii="Poppins" w:cs="Poppins" w:eastAsia="Poppins" w:hAnsi="Poppins"/>
          <w:b/>
          <w:bCs/>
          <w:color w:val="0C1F3A"/>
          <w:sz w:val="22"/>
          <w:szCs w:val="22"/>
        </w:rPr>
        <w:t xml:space="preserve">Lot 1 — Modèle de données</w:t>
      </w:r>
    </w:p>
    <w:p>
      <w:pPr>
        <w:spacing w:after="80" w:before="80" w:line="300"/>
        <w:jc w:val="both"/>
      </w:pPr>
      <w:r>
        <w:rPr>
          <w:rFonts w:ascii="Poppins" w:cs="Poppins" w:eastAsia="Poppins" w:hAnsi="Poppins"/>
          <w:color w:val="1F2937"/>
          <w:sz w:val="20"/>
          <w:szCs w:val="20"/>
        </w:rPr>
        <w:t xml:space="preserve">Ajout de l'énumération Typologie, enrichissement du modèle des cas d'usage avec le champ typologie, création de la table associative RelationCasUsage, migration des données existantes avec classement par défaut. Effort estimé : quatre à six heures.</w:t>
      </w:r>
    </w:p>
    <w:p>
      <w:pPr>
        <w:pStyle w:val="Heading3"/>
        <w:spacing w:after="120" w:before="240"/>
      </w:pPr>
      <w:r>
        <w:rPr>
          <w:rFonts w:ascii="Poppins" w:cs="Poppins" w:eastAsia="Poppins" w:hAnsi="Poppins"/>
          <w:b/>
          <w:bCs/>
          <w:color w:val="0C1F3A"/>
          <w:sz w:val="22"/>
          <w:szCs w:val="22"/>
        </w:rPr>
        <w:t xml:space="preserve">Lot 2 — API backend</w:t>
      </w:r>
    </w:p>
    <w:p>
      <w:pPr>
        <w:spacing w:after="80" w:before="80" w:line="300"/>
        <w:jc w:val="both"/>
      </w:pPr>
      <w:r>
        <w:rPr>
          <w:rFonts w:ascii="Poppins" w:cs="Poppins" w:eastAsia="Poppins" w:hAnsi="Poppins"/>
          <w:color w:val="1F2937"/>
          <w:sz w:val="20"/>
          <w:szCs w:val="20"/>
        </w:rPr>
        <w:t xml:space="preserve">Nouvelles routes pour la création et la gestion des relations de service, endpoints de consultation des services techniques mobilisés par un parcours métier et des parcours servis par un service technique, extension des endpoints existants pour prendre en compte la typologie dans les règles de visibilité et d'autorisation. Effort estimé : six à huit heures.</w:t>
      </w:r>
    </w:p>
    <w:p>
      <w:pPr>
        <w:pStyle w:val="Heading3"/>
        <w:spacing w:after="120" w:before="240"/>
      </w:pPr>
      <w:r>
        <w:rPr>
          <w:rFonts w:ascii="Poppins" w:cs="Poppins" w:eastAsia="Poppins" w:hAnsi="Poppins"/>
          <w:b/>
          <w:bCs/>
          <w:color w:val="0C1F3A"/>
          <w:sz w:val="22"/>
          <w:szCs w:val="22"/>
        </w:rPr>
        <w:t xml:space="preserve">Lot 3 — Interface utilisateur</w:t>
      </w:r>
    </w:p>
    <w:p>
      <w:pPr>
        <w:spacing w:after="80" w:before="80" w:line="300"/>
        <w:jc w:val="both"/>
      </w:pPr>
      <w:r>
        <w:rPr>
          <w:rFonts w:ascii="Poppins" w:cs="Poppins" w:eastAsia="Poppins" w:hAnsi="Poppins"/>
          <w:color w:val="1F2937"/>
          <w:sz w:val="20"/>
          <w:szCs w:val="20"/>
        </w:rPr>
        <w:t xml:space="preserve">Adaptation du formulaire de déclaration avec la question typologique amont, enrichissement des fiches détaillées avec les blocs de relation, mise à jour de la vue d'arbitrage avec la ventilation typologique, introduction de l'indicateur de mutualisation. Effort estimé : dix à douze heures.</w:t>
      </w:r>
    </w:p>
    <w:p>
      <w:pPr>
        <w:pStyle w:val="Heading3"/>
        <w:spacing w:after="120" w:before="240"/>
      </w:pPr>
      <w:r>
        <w:rPr>
          <w:rFonts w:ascii="Poppins" w:cs="Poppins" w:eastAsia="Poppins" w:hAnsi="Poppins"/>
          <w:b/>
          <w:bCs/>
          <w:color w:val="0C1F3A"/>
          <w:sz w:val="22"/>
          <w:szCs w:val="22"/>
        </w:rPr>
        <w:t xml:space="preserve">Lot 4 — Migration et reclassement</w:t>
      </w:r>
    </w:p>
    <w:p>
      <w:pPr>
        <w:spacing w:after="80" w:before="80" w:line="300"/>
        <w:jc w:val="both"/>
      </w:pPr>
      <w:r>
        <w:rPr>
          <w:rFonts w:ascii="Poppins" w:cs="Poppins" w:eastAsia="Poppins" w:hAnsi="Poppins"/>
          <w:color w:val="1F2937"/>
          <w:sz w:val="20"/>
          <w:szCs w:val="20"/>
        </w:rPr>
        <w:t xml:space="preserve">Script de migration automatique avec heuristique de classement, interface de reclassement manuel par la Delivery Unit pour les cas ambigus, revue complète du stock initial par la Delivery Unit. Effort estimé : quatre à six heures de développement et deux à trois heures de revue institutionnelle.</w:t>
      </w:r>
    </w:p>
    <w:p>
      <w:pPr>
        <w:pStyle w:val="Heading3"/>
        <w:spacing w:after="120" w:before="240"/>
      </w:pPr>
      <w:r>
        <w:rPr>
          <w:rFonts w:ascii="Poppins" w:cs="Poppins" w:eastAsia="Poppins" w:hAnsi="Poppins"/>
          <w:b/>
          <w:bCs/>
          <w:color w:val="0C1F3A"/>
          <w:sz w:val="22"/>
          <w:szCs w:val="22"/>
        </w:rPr>
        <w:t xml:space="preserve">Lot 5 — Recette et documentation</w:t>
      </w:r>
    </w:p>
    <w:p>
      <w:pPr>
        <w:spacing w:after="80" w:before="80" w:line="300"/>
        <w:jc w:val="both"/>
      </w:pPr>
      <w:r>
        <w:rPr>
          <w:rFonts w:ascii="Poppins" w:cs="Poppins" w:eastAsia="Poppins" w:hAnsi="Poppins"/>
          <w:color w:val="1F2937"/>
          <w:sz w:val="20"/>
          <w:szCs w:val="20"/>
        </w:rPr>
        <w:t xml:space="preserve">Tests fonctionnels couvrant la création d'un cas d'usage métier avec ses services techniques, la création d'un cas d'usage technique servant plusieurs parcours, la visualisation des relations dans les deux sens, les règles d'articulation des statuts. Mise à jour de la documentation et des guides d'accompagnement. Effort estimé : quatre à six heures.</w:t>
      </w:r>
    </w:p>
    <w:p>
      <w:pPr>
        <w:spacing w:after="80" w:before="80" w:line="300"/>
        <w:jc w:val="both"/>
      </w:pPr>
      <w:r>
        <w:rPr>
          <w:rFonts w:ascii="Poppins" w:cs="Poppins" w:eastAsia="Poppins" w:hAnsi="Poppins"/>
          <w:color w:val="1F2937"/>
          <w:sz w:val="20"/>
          <w:szCs w:val="20"/>
        </w:rPr>
        <w:t xml:space="preserve">L'effort total est estimé entre vingt-huit et trente-huit heures de développement, soit trois à quatre journées productives avec accompagnement méthodologique.</w:t>
      </w:r>
    </w:p>
    <w:p>
      <w:r>
        <w:br w:type="page"/>
      </w:r>
    </w:p>
    <w:p>
      <w:pPr>
        <w:pStyle w:val="Heading1"/>
        <w:spacing w:after="200" w:before="400"/>
      </w:pPr>
      <w:r>
        <w:rPr>
          <w:rFonts w:ascii="Poppins" w:cs="Poppins" w:eastAsia="Poppins" w:hAnsi="Poppins"/>
          <w:b/>
          <w:bCs/>
          <w:color w:val="0C1F3A"/>
          <w:sz w:val="32"/>
          <w:szCs w:val="32"/>
        </w:rPr>
        <w:t xml:space="preserve">8. Questions à trancher en cadrage</w:t>
      </w:r>
    </w:p>
    <w:p>
      <w:pPr>
        <w:spacing w:after="80" w:before="80" w:line="300"/>
        <w:jc w:val="both"/>
      </w:pPr>
      <w:r>
        <w:rPr>
          <w:rFonts w:ascii="Poppins" w:cs="Poppins" w:eastAsia="Poppins" w:hAnsi="Poppins"/>
          <w:color w:val="1F2937"/>
          <w:sz w:val="20"/>
          <w:szCs w:val="20"/>
        </w:rPr>
        <w:t xml:space="preserve">Les questions suivantes demeurent ouvertes et nécessitent un arbitrage de la Delivery Unit avant lancement de l'implémentation.</w:t>
      </w:r>
    </w:p>
    <w:p>
      <w:pPr>
        <w:pStyle w:val="Heading2"/>
        <w:spacing w:after="160" w:before="300"/>
      </w:pPr>
      <w:r>
        <w:rPr>
          <w:rFonts w:ascii="Poppins" w:cs="Poppins" w:eastAsia="Poppins" w:hAnsi="Poppins"/>
          <w:b/>
          <w:bCs/>
          <w:color w:val="0A6B68"/>
          <w:sz w:val="26"/>
          <w:szCs w:val="26"/>
        </w:rPr>
        <w:t xml:space="preserve">8.1 Extensions ultérieures de la typologie</w:t>
      </w:r>
    </w:p>
    <w:p>
      <w:pPr>
        <w:spacing w:after="80" w:before="80" w:line="300"/>
        <w:jc w:val="both"/>
      </w:pPr>
      <w:r>
        <w:rPr>
          <w:rFonts w:ascii="Poppins" w:cs="Poppins" w:eastAsia="Poppins" w:hAnsi="Poppins"/>
          <w:color w:val="1F2937"/>
          <w:sz w:val="20"/>
          <w:szCs w:val="20"/>
        </w:rPr>
        <w:t xml:space="preserve">Deux typologies initiales — métier et technique — sont proposées dans cette note. Des travaux complémentaires pourraient justifier l'ajout d'autres typologies, par exemple pour les cas d'usage transverses — partage de capacités mutualisées comme l'identification ou la signature — ou les cas d'usage d'observation — collecte de données pour les finalités statistiques ou de politique publique. Le modèle de données est construit pour accueillir ces extensions sans modification structurelle.</w:t>
      </w:r>
    </w:p>
    <w:p>
      <w:pPr>
        <w:pStyle w:val="Heading2"/>
        <w:spacing w:after="160" w:before="300"/>
      </w:pPr>
      <w:r>
        <w:rPr>
          <w:rFonts w:ascii="Poppins" w:cs="Poppins" w:eastAsia="Poppins" w:hAnsi="Poppins"/>
          <w:b/>
          <w:bCs/>
          <w:color w:val="0A6B68"/>
          <w:sz w:val="26"/>
          <w:szCs w:val="26"/>
        </w:rPr>
        <w:t xml:space="preserve">8.2 Cas d'usage mixtes</w:t>
      </w:r>
    </w:p>
    <w:p>
      <w:pPr>
        <w:spacing w:after="80" w:before="80" w:line="300"/>
        <w:jc w:val="both"/>
      </w:pPr>
      <w:r>
        <w:rPr>
          <w:rFonts w:ascii="Poppins" w:cs="Poppins" w:eastAsia="Poppins" w:hAnsi="Poppins"/>
          <w:color w:val="1F2937"/>
          <w:sz w:val="20"/>
          <w:szCs w:val="20"/>
        </w:rPr>
        <w:t xml:space="preserve">Un cas d'usage peut présenter des caractéristiques des deux typologies. Par exemple, un échange DGID vers DGCPT pour la réconciliation fiscale peut être lu comme un service technique bilatéral ou comme un parcours métier très court impliquant deux administrations. La note retient le principe que la typologie est tranchée à la création par l'institution déclarante, sous le contrôle méthodologique de la Delivery Unit, et qu'elle peut être révisée par décision DU avec traçabilité dans le journal inaltérable.</w:t>
      </w:r>
    </w:p>
    <w:p>
      <w:pPr>
        <w:pStyle w:val="Heading2"/>
        <w:spacing w:after="160" w:before="300"/>
      </w:pPr>
      <w:r>
        <w:rPr>
          <w:rFonts w:ascii="Poppins" w:cs="Poppins" w:eastAsia="Poppins" w:hAnsi="Poppins"/>
          <w:b/>
          <w:bCs/>
          <w:color w:val="0A6B68"/>
          <w:sz w:val="26"/>
          <w:szCs w:val="26"/>
        </w:rPr>
        <w:t xml:space="preserve">8.3 Orchestration technique des parcours</w:t>
      </w:r>
    </w:p>
    <w:p>
      <w:pPr>
        <w:spacing w:after="80" w:before="80" w:line="300"/>
        <w:jc w:val="both"/>
      </w:pPr>
      <w:r>
        <w:rPr>
          <w:rFonts w:ascii="Poppins" w:cs="Poppins" w:eastAsia="Poppins" w:hAnsi="Poppins"/>
          <w:color w:val="1F2937"/>
          <w:sz w:val="20"/>
          <w:szCs w:val="20"/>
        </w:rPr>
        <w:t xml:space="preserve">Un cas d'usage métier qui mobilise cinq services techniques peut avoir besoin, à terme, d'être orchestré techniquement — que ce soit par un moteur de workflow, un orchestrateur d'API, ou une plateforme BPM. La présente note se limite à la dimension de gouvernance et ne traite pas la couche d'orchestration technique, qui relève d'une évolution ultérieure de l'écosystème PINS.</w:t>
      </w:r>
    </w:p>
    <w:p>
      <w:pPr>
        <w:pStyle w:val="Heading2"/>
        <w:spacing w:after="160" w:before="300"/>
      </w:pPr>
      <w:r>
        <w:rPr>
          <w:rFonts w:ascii="Poppins" w:cs="Poppins" w:eastAsia="Poppins" w:hAnsi="Poppins"/>
          <w:b/>
          <w:bCs/>
          <w:color w:val="0A6B68"/>
          <w:sz w:val="26"/>
          <w:szCs w:val="26"/>
        </w:rPr>
        <w:t xml:space="preserve">8.4 Relation avec les conventions existantes</w:t>
      </w:r>
    </w:p>
    <w:p>
      <w:pPr>
        <w:spacing w:after="80" w:before="80" w:line="300"/>
        <w:jc w:val="both"/>
      </w:pPr>
      <w:r>
        <w:rPr>
          <w:rFonts w:ascii="Poppins" w:cs="Poppins" w:eastAsia="Poppins" w:hAnsi="Poppins"/>
          <w:color w:val="1F2937"/>
          <w:sz w:val="20"/>
          <w:szCs w:val="20"/>
        </w:rPr>
        <w:t xml:space="preserve">Certaines administrations ont déjà signé entre elles des conventions bilatérales d'échange de données. Ces conventions correspondent conceptuellement à des cas d'usage techniques. L'articulation entre le module existant Conventions de la plateforme DPI-INTEROP et le catalogue typologique de la Vue 360° est à qualifier : les conventions existantes peuvent-elles être automatiquement qualifiées comme cas d'usage techniques ? Faut-il introduire un lien entre une convention et son cas d'usage technique correspondant ?</w:t>
      </w:r>
    </w:p>
    <w:p>
      <w:r>
        <w:br w:type="page"/>
      </w:r>
    </w:p>
    <w:p>
      <w:pPr>
        <w:pStyle w:val="Heading1"/>
        <w:spacing w:after="200" w:before="400"/>
      </w:pPr>
      <w:r>
        <w:rPr>
          <w:rFonts w:ascii="Poppins" w:cs="Poppins" w:eastAsia="Poppins" w:hAnsi="Poppins"/>
          <w:b/>
          <w:bCs/>
          <w:color w:val="0C1F3A"/>
          <w:sz w:val="32"/>
          <w:szCs w:val="32"/>
        </w:rPr>
        <w:t xml:space="preserve">9. Validation</w:t>
      </w:r>
    </w:p>
    <w:p>
      <w:pPr>
        <w:spacing w:after="80" w:before="80" w:line="300"/>
        <w:jc w:val="both"/>
      </w:pPr>
      <w:r>
        <w:rPr>
          <w:rFonts w:ascii="Poppins" w:cs="Poppins" w:eastAsia="Poppins" w:hAnsi="Poppins"/>
          <w:color w:val="1F2937"/>
          <w:sz w:val="20"/>
          <w:szCs w:val="20"/>
        </w:rPr>
        <w:t xml:space="preserve">La présente note est soumise au Directeur de la Delivery Unit pour cadrage de la phase P9. Sa validation autorisera le lancement de l'implémentation selon le plan décrit en section 7, et en articulation avec la phase P8 selon le calendrier retenu.</w:t>
      </w:r>
    </w:p>
    <w:p>
      <w:pPr>
        <w:spacing w:after="80" w:before="80" w:line="300"/>
        <w:jc w:val="both"/>
      </w:pPr>
      <w:r>
        <w:rPr>
          <w:rFonts w:ascii="Poppins" w:cs="Poppins" w:eastAsia="Poppins" w:hAnsi="Poppins"/>
          <w:color w:val="1F2937"/>
          <w:sz w:val="20"/>
          <w:szCs w:val="20"/>
        </w:rPr>
        <w:t xml:space="preserve">Elle doit être lue en complément des notes de conception antérieures — référence CONC-2026-02 pour la Vue 360° initiale, CONC-2026-02-A1 pour l'addendum sur les référentiels nationaux, et CONC-2026-03 pour le catalogue des propositions. Elle prolonge et enrichit ces documents sans les contredire.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Auteur — Point focal</w:t>
            </w:r>
          </w:p>
        </w:tc>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Validation — Delivery Unit</w:t>
            </w:r>
          </w:p>
        </w:tc>
      </w:tr>
      <w:tr>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Birama DIOP</w:t>
            </w:r>
          </w:p>
          <w:p>
            <w:pPr>
              <w:spacing w:after="40" w:before="0"/>
            </w:pPr>
            <w:r>
              <w:rPr>
                <w:rFonts w:ascii="Poppins" w:cs="Poppins" w:eastAsia="Poppins" w:hAnsi="Poppins"/>
                <w:i/>
                <w:iCs/>
                <w:color w:val="374151"/>
                <w:sz w:val="18"/>
                <w:szCs w:val="18"/>
              </w:rPr>
              <w:t xml:space="preserve">Point Focal National d'Interopérabilité</w:t>
            </w:r>
          </w:p>
          <w:p>
            <w:pPr>
              <w:spacing w:after="40" w:before="0"/>
            </w:pPr>
            <w:r>
              <w:rPr>
                <w:rFonts w:ascii="Poppins" w:cs="Poppins" w:eastAsia="Poppins" w:hAnsi="Poppins"/>
                <w:i/>
                <w:iCs/>
                <w:color w:val="374151"/>
                <w:sz w:val="18"/>
                <w:szCs w:val="18"/>
              </w:rPr>
              <w:t xml:space="preserve">Architecte DPI — MCTN / SENUM SA</w:t>
            </w:r>
          </w:p>
          <w:p>
            <w:pPr>
              <w:spacing w:after="40" w:before="200"/>
            </w:pPr>
            <w:r>
              <w:rPr>
                <w:rFonts w:ascii="Poppins" w:cs="Poppins" w:eastAsia="Poppins" w:hAnsi="Poppins"/>
                <w:color w:val="1F2937"/>
                <w:sz w:val="18"/>
                <w:szCs w:val="18"/>
              </w:rPr>
              <w:t xml:space="preserve">Date : 24 avril 2026</w:t>
            </w:r>
          </w:p>
          <w:p>
            <w:pPr>
              <w:spacing w:after="40" w:before="800"/>
            </w:pPr>
            <w:r>
              <w:rPr>
                <w:rFonts w:ascii="Poppins" w:cs="Poppins" w:eastAsia="Poppins" w:hAnsi="Poppins"/>
                <w:color w:val="1F2937"/>
                <w:sz w:val="18"/>
                <w:szCs w:val="18"/>
              </w:rPr>
              <w:t xml:space="preserve">Signature :</w:t>
            </w:r>
          </w:p>
        </w:tc>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Mohamed DIABY</w:t>
            </w:r>
          </w:p>
          <w:p>
            <w:pPr>
              <w:spacing w:after="40" w:before="0"/>
            </w:pPr>
            <w:r>
              <w:rPr>
                <w:rFonts w:ascii="Poppins" w:cs="Poppins" w:eastAsia="Poppins" w:hAnsi="Poppins"/>
                <w:i/>
                <w:iCs/>
                <w:color w:val="374151"/>
                <w:sz w:val="18"/>
                <w:szCs w:val="18"/>
              </w:rPr>
              <w:t xml:space="preserve">Directeur Delivery Unit</w:t>
            </w:r>
          </w:p>
          <w:p>
            <w:pPr>
              <w:spacing w:after="40" w:before="0"/>
            </w:pPr>
            <w:r>
              <w:rPr>
                <w:rFonts w:ascii="Poppins" w:cs="Poppins" w:eastAsia="Poppins" w:hAnsi="Poppins"/>
                <w:i/>
                <w:iCs/>
                <w:color w:val="374151"/>
                <w:sz w:val="18"/>
                <w:szCs w:val="18"/>
              </w:rPr>
              <w:t xml:space="preserve">MCTN</w:t>
            </w:r>
          </w:p>
          <w:p>
            <w:pPr>
              <w:spacing w:after="40" w:before="200"/>
            </w:pPr>
            <w:r>
              <w:rPr>
                <w:rFonts w:ascii="Poppins" w:cs="Poppins" w:eastAsia="Poppins" w:hAnsi="Poppins"/>
                <w:color w:val="1F2937"/>
                <w:sz w:val="18"/>
                <w:szCs w:val="18"/>
              </w:rPr>
              <w:t xml:space="preserve">Date :</w:t>
            </w:r>
          </w:p>
          <w:p>
            <w:pPr>
              <w:spacing w:after="40" w:before="800"/>
            </w:pPr>
            <w:r>
              <w:rPr>
                <w:rFonts w:ascii="Poppins" w:cs="Poppins" w:eastAsia="Poppins" w:hAnsi="Poppins"/>
                <w:color w:val="1F2937"/>
                <w:sz w:val="18"/>
                <w:szCs w:val="18"/>
              </w:rPr>
              <w:t xml:space="preserve">Signature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6" w:space="4"/>
      </w:pBdr>
      <w:tabs>
        <w:tab w:val="right" w:pos="9026"/>
      </w:tabs>
    </w:pPr>
    <w:r>
      <w:rPr>
        <w:rFonts w:ascii="Poppins" w:cs="Poppins" w:eastAsia="Poppins" w:hAnsi="Poppins"/>
        <w:i/>
        <w:iCs/>
        <w:color w:val="9CA3AF"/>
        <w:sz w:val="14"/>
        <w:szCs w:val="14"/>
      </w:rPr>
      <w:t xml:space="preserve">Document de travail — cadrage interne</w:t>
    </w:r>
    <w:r>
      <w:rPr>
        <w:rFonts w:ascii="Poppins" w:cs="Poppins" w:eastAsia="Poppins" w:hAnsi="Poppins"/>
        <w:sz w:val="14"/>
        <w:szCs w:val="14"/>
      </w:rPr>
      <w:t xml:space="preserve">	</w:t>
    </w:r>
    <w:r>
      <w:rPr>
        <w:rFonts w:ascii="Poppins" w:cs="Poppins" w:eastAsia="Poppins" w:hAnsi="Poppins"/>
        <w:color w:val="374151"/>
        <w:sz w:val="14"/>
        <w:szCs w:val="14"/>
      </w:rPr>
      <w:t xml:space="preserve">Page </w:t>
    </w:r>
    <w:r>
      <w:rPr>
        <w:rFonts w:ascii="Poppins" w:cs="Poppins" w:eastAsia="Poppins" w:hAnsi="Poppins"/>
        <w:b/>
        <w:bCs/>
        <w:color w:val="374151"/>
        <w:sz w:val="14"/>
        <w:szCs w:val="14"/>
      </w:rPr>
      <w:fldChar w:fldCharType="begin"/>
      <w:instrText xml:space="preserve">PAGE</w:instrText>
      <w:fldChar w:fldCharType="separate"/>
      <w:fldChar w:fldCharType="end"/>
    </w:r>
    <w:r>
      <w:rPr>
        <w:rFonts w:ascii="Poppins" w:cs="Poppins" w:eastAsia="Poppins" w:hAnsi="Poppins"/>
        <w:color w:val="374151"/>
        <w:sz w:val="14"/>
        <w:szCs w:val="14"/>
      </w:rPr>
      <w:t xml:space="preserve"> / </w:t>
    </w:r>
    <w:r>
      <w:rPr>
        <w:rFonts w:ascii="Poppins" w:cs="Poppins" w:eastAsia="Poppins" w:hAnsi="Poppins"/>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B68" w:sz="6" w:space="4"/>
      </w:pBdr>
      <w:tabs>
        <w:tab w:val="right" w:pos="9026"/>
      </w:tabs>
    </w:pPr>
    <w:r>
      <w:rPr>
        <w:rFonts w:ascii="Poppins" w:cs="Poppins" w:eastAsia="Poppins" w:hAnsi="Poppins"/>
        <w:b/>
        <w:bCs/>
        <w:color w:val="0C1F3A"/>
        <w:sz w:val="16"/>
        <w:szCs w:val="16"/>
      </w:rPr>
      <w:t xml:space="preserve">MCTN / DU — Application DPI-INTEROP</w:t>
    </w:r>
    <w:r>
      <w:rPr>
        <w:rFonts w:ascii="Poppins" w:cs="Poppins" w:eastAsia="Poppins" w:hAnsi="Poppins"/>
        <w:sz w:val="16"/>
        <w:szCs w:val="16"/>
      </w:rPr>
      <w:t xml:space="preserve">	</w:t>
    </w:r>
    <w:r>
      <w:rPr>
        <w:rFonts w:ascii="Poppins" w:cs="Poppins" w:eastAsia="Poppins" w:hAnsi="Poppins"/>
        <w:i/>
        <w:iCs/>
        <w:color w:val="374151"/>
        <w:sz w:val="16"/>
        <w:szCs w:val="16"/>
      </w:rPr>
      <w:t xml:space="preserve">Note de conception P9 v0.1 — Typologie des cas d'usage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C1F3A"/>
      <w:sz w:val="32"/>
      <w:szCs w:val="32"/>
    </w:rPr>
  </w:style>
  <w:style w:type="paragraph" w:styleId="Heading2">
    <w:name w:val="Heading 2"/>
    <w:basedOn w:val="Normal"/>
    <w:next w:val="Normal"/>
    <w:qFormat/>
    <w:pPr>
      <w:spacing w:after="160" w:before="300"/>
      <w:outlineLvl w:val="1"/>
    </w:pPr>
    <w:rPr>
      <w:rFonts w:ascii="Poppins" w:cs="Poppins" w:eastAsia="Poppins" w:hAnsi="Poppins"/>
      <w:b/>
      <w:bCs/>
      <w:color w:val="0A6B68"/>
      <w:sz w:val="26"/>
      <w:szCs w:val="26"/>
    </w:rPr>
  </w:style>
  <w:style w:type="paragraph" w:styleId="Heading3">
    <w:name w:val="Heading 3"/>
    <w:basedOn w:val="Normal"/>
    <w:next w:val="Normal"/>
    <w:qFormat/>
    <w:pPr>
      <w:spacing w:after="120" w:before="240"/>
      <w:outlineLvl w:val="2"/>
    </w:pPr>
    <w:rPr>
      <w:rFonts w:ascii="Poppins" w:cs="Poppins" w:eastAsia="Poppins" w:hAnsi="Poppins"/>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2026-04-24T15:52:01.871Z</dcterms:created>
  <dcterms:modified xsi:type="dcterms:W3CDTF">2026-04-24T15:52:01.872Z</dcterms:modified>
</cp:coreProperties>
</file>

<file path=docProps/custom.xml><?xml version="1.0" encoding="utf-8"?>
<Properties xmlns="http://schemas.openxmlformats.org/officeDocument/2006/custom-properties" xmlns:vt="http://schemas.openxmlformats.org/officeDocument/2006/docPropsVTypes"/>
</file>