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II)</w:t>
      </w:r>
    </w:p>
    <w:p w:rsidR="00F5402C" w:rsidRPr="00D03DB6" w:rsidRDefault="00F5402C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4"/>
        <w:gridCol w:w="1155"/>
        <w:gridCol w:w="4660"/>
      </w:tblGrid>
      <w:tr w:rsidR="00F5402C" w:rsidRPr="00D03DB6" w:rsidTr="00132AE2">
        <w:trPr>
          <w:trHeight w:val="268"/>
        </w:trPr>
        <w:tc>
          <w:tcPr>
            <w:tcW w:w="2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132AE2">
        <w:trPr>
          <w:trHeight w:val="227"/>
        </w:trPr>
        <w:tc>
          <w:tcPr>
            <w:tcW w:w="21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402C" w:rsidRPr="00D03DB6" w:rsidRDefault="00F5402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направлення,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прийняття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або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призову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службу</w:t>
            </w: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8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402C" w:rsidRPr="00D03DB6" w:rsidRDefault="00F5402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звільнення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служби</w:t>
            </w:r>
          </w:p>
        </w:tc>
      </w:tr>
      <w:tr w:rsidR="00F5402C" w:rsidRPr="00D03DB6" w:rsidTr="00132AE2">
        <w:trPr>
          <w:trHeight w:val="188"/>
        </w:trPr>
        <w:tc>
          <w:tcPr>
            <w:tcW w:w="21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8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Обліково-послужна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військово-облікового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документу_______________</w:t>
      </w:r>
    </w:p>
    <w:p w:rsidR="00F5402C" w:rsidRPr="00D03DB6" w:rsidRDefault="00F5402C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</w:t>
      </w:r>
    </w:p>
    <w:p w:rsidR="00F5402C" w:rsidRPr="00D03DB6" w:rsidRDefault="00F5402C">
      <w:pPr>
        <w:pStyle w:val="Ch6c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</w:t>
      </w:r>
    </w:p>
    <w:p w:rsidR="00F5402C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1"/>
        <w:gridCol w:w="2626"/>
        <w:gridCol w:w="2198"/>
      </w:tblGrid>
      <w:tr w:rsidR="00F5402C" w:rsidRPr="00D03DB6" w:rsidTr="00132AE2">
        <w:trPr>
          <w:trHeight w:val="353"/>
        </w:trPr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Код</w:t>
            </w:r>
          </w:p>
        </w:tc>
      </w:tr>
      <w:tr w:rsidR="00F5402C" w:rsidRPr="00D03DB6" w:rsidTr="00132AE2">
        <w:trPr>
          <w:trHeight w:val="165"/>
        </w:trPr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132AE2">
        <w:trPr>
          <w:trHeight w:val="227"/>
        </w:trPr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ВІДОМОСТІ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8.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9.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10.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резус-фактор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Сімейний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32AE2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F5402C" w:rsidRPr="00D03DB6" w:rsidRDefault="00F5402C">
      <w:pPr>
        <w:pStyle w:val="Ch6d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Склад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6"/>
        <w:gridCol w:w="5167"/>
        <w:gridCol w:w="2402"/>
      </w:tblGrid>
      <w:tr w:rsidR="00F5402C" w:rsidRPr="00D03DB6" w:rsidTr="00EB0AE5">
        <w:trPr>
          <w:trHeight w:val="60"/>
        </w:trPr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Члени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сім’ї</w:t>
            </w:r>
          </w:p>
        </w:tc>
        <w:tc>
          <w:tcPr>
            <w:tcW w:w="2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народження</w:t>
            </w:r>
          </w:p>
        </w:tc>
      </w:tr>
      <w:tr w:rsidR="00F5402C" w:rsidRPr="00D03DB6" w:rsidTr="00EB0AE5">
        <w:trPr>
          <w:trHeight w:val="186"/>
        </w:trPr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EB0AE5">
        <w:trPr>
          <w:trHeight w:val="170"/>
        </w:trPr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(реєстрації)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членів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</w:t>
      </w:r>
    </w:p>
    <w:p w:rsidR="00F5402C" w:rsidRPr="00D03DB6" w:rsidRDefault="00EB0AE5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</w:t>
      </w:r>
    </w:p>
    <w:p w:rsidR="00F5402C" w:rsidRPr="00D03DB6" w:rsidRDefault="00F5402C">
      <w:pPr>
        <w:pStyle w:val="Ch6c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питань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базової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F5402C" w:rsidRPr="00D03DB6" w:rsidRDefault="00EB0AE5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</w:t>
      </w:r>
    </w:p>
    <w:p w:rsidR="00F5402C" w:rsidRPr="00D03DB6" w:rsidRDefault="00F5402C">
      <w:pPr>
        <w:pStyle w:val="Ch6c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З’явився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(Р)МТЦК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відправки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</w:t>
      </w:r>
    </w:p>
    <w:p w:rsidR="002607E2" w:rsidRPr="002607E2" w:rsidRDefault="00F5402C" w:rsidP="002607E2">
      <w:pPr>
        <w:pStyle w:val="Ch6c"/>
        <w:tabs>
          <w:tab w:val="center" w:pos="4400"/>
        </w:tabs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 xml:space="preserve">                    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F5402C" w:rsidRPr="00D03DB6" w:rsidRDefault="00F5402C">
      <w:pPr>
        <w:pStyle w:val="Ch6c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14.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(прийнятий)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службу:</w:t>
      </w: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F5402C" w:rsidRPr="00D03DB6" w:rsidRDefault="00EB0AE5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</w:t>
      </w:r>
    </w:p>
    <w:p w:rsidR="00F5402C" w:rsidRPr="00D03DB6" w:rsidRDefault="00F5402C">
      <w:pPr>
        <w:pStyle w:val="Ch6c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</w:t>
      </w:r>
    </w:p>
    <w:p w:rsidR="00F5402C" w:rsidRPr="00D03DB6" w:rsidRDefault="00F5402C">
      <w:pPr>
        <w:pStyle w:val="Ch6c"/>
        <w:tabs>
          <w:tab w:val="center" w:pos="440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 xml:space="preserve">                   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ПТК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</w:t>
      </w:r>
    </w:p>
    <w:p w:rsidR="00F5402C" w:rsidRPr="00D03DB6" w:rsidRDefault="00F5402C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призначений</w:t>
      </w:r>
    </w:p>
    <w:p w:rsidR="00F5402C" w:rsidRPr="00D03DB6" w:rsidRDefault="00F5402C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B0AE5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</w:t>
      </w:r>
    </w:p>
    <w:p w:rsidR="00F5402C" w:rsidRPr="00D03DB6" w:rsidRDefault="00F5402C">
      <w:pPr>
        <w:pStyle w:val="Ch6d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ІІ.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343"/>
        <w:gridCol w:w="2000"/>
        <w:gridCol w:w="2178"/>
      </w:tblGrid>
      <w:tr w:rsidR="00F5402C" w:rsidRPr="00D03DB6" w:rsidTr="00EB0AE5">
        <w:trPr>
          <w:trHeight w:val="113"/>
        </w:trPr>
        <w:tc>
          <w:tcPr>
            <w:tcW w:w="1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11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призначення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стройовій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частині</w:t>
            </w:r>
          </w:p>
        </w:tc>
      </w:tr>
      <w:tr w:rsidR="00F5402C" w:rsidRPr="00D03DB6" w:rsidTr="00EB0AE5">
        <w:trPr>
          <w:trHeight w:val="113"/>
        </w:trPr>
        <w:tc>
          <w:tcPr>
            <w:tcW w:w="1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EB0AE5">
        <w:trPr>
          <w:trHeight w:val="113"/>
        </w:trPr>
        <w:tc>
          <w:tcPr>
            <w:tcW w:w="1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Участь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операціях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3"/>
        <w:gridCol w:w="4394"/>
        <w:gridCol w:w="2818"/>
      </w:tblGrid>
      <w:tr w:rsidR="00F5402C" w:rsidRPr="00D03DB6" w:rsidTr="00EB0AE5">
        <w:trPr>
          <w:trHeight w:val="60"/>
        </w:trPr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Бойові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дії.</w:t>
            </w:r>
          </w:p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Участь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міжнародних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операціях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складі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(країна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перебування)</w:t>
            </w: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якій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посаді</w:t>
            </w:r>
          </w:p>
        </w:tc>
      </w:tr>
      <w:tr w:rsidR="00F5402C" w:rsidRPr="00D03DB6" w:rsidTr="00EB0AE5">
        <w:trPr>
          <w:trHeight w:val="60"/>
        </w:trPr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EB0AE5">
        <w:trPr>
          <w:trHeight w:val="60"/>
        </w:trPr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18.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присягу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вірність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</w:p>
    <w:p w:rsidR="00F5402C" w:rsidRPr="00D03DB6" w:rsidRDefault="00EB0AE5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EB0AE5" w:rsidRDefault="00F5402C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EB0AE5">
        <w:rPr>
          <w:rFonts w:ascii="Times New Roman" w:hAnsi="Times New Roman" w:cs="Times New Roman"/>
          <w:w w:val="100"/>
          <w:sz w:val="20"/>
          <w:szCs w:val="20"/>
        </w:rPr>
        <w:t>(дата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складання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EB0AE5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0AE5">
        <w:rPr>
          <w:rFonts w:ascii="Times New Roman" w:hAnsi="Times New Roman" w:cs="Times New Roman"/>
          <w:w w:val="100"/>
          <w:sz w:val="20"/>
          <w:szCs w:val="20"/>
        </w:rPr>
        <w:t>присяги)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класності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4"/>
        <w:gridCol w:w="4571"/>
      </w:tblGrid>
      <w:tr w:rsidR="00F5402C" w:rsidRPr="00D03DB6" w:rsidTr="00B118B6">
        <w:trPr>
          <w:trHeight w:val="113"/>
        </w:trPr>
        <w:tc>
          <w:tcPr>
            <w:tcW w:w="2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класна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спеціальність</w:t>
            </w:r>
          </w:p>
        </w:tc>
        <w:tc>
          <w:tcPr>
            <w:tcW w:w="2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</w:tr>
      <w:tr w:rsidR="00F5402C" w:rsidRPr="00D03DB6" w:rsidTr="00B118B6">
        <w:trPr>
          <w:trHeight w:val="113"/>
        </w:trPr>
        <w:tc>
          <w:tcPr>
            <w:tcW w:w="2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B118B6">
        <w:trPr>
          <w:trHeight w:val="113"/>
        </w:trPr>
        <w:tc>
          <w:tcPr>
            <w:tcW w:w="2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20.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Нагородження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нагородами,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відомчими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заохочувальними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відзнаками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</w:t>
      </w:r>
    </w:p>
    <w:p w:rsidR="00F5402C" w:rsidRPr="00D03DB6" w:rsidRDefault="00B118B6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(травми,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контузії,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каліцтва),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сумарну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опромінення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(найменування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утримання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радіонуклідів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організмі)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весь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(зборів)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опромінення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B118B6">
        <w:rPr>
          <w:rFonts w:ascii="Times New Roman" w:hAnsi="Times New Roman" w:cs="Times New Roman"/>
          <w:w w:val="100"/>
          <w:sz w:val="24"/>
          <w:szCs w:val="24"/>
        </w:rPr>
        <w:t>__________________________________________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підготовка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6"/>
        <w:gridCol w:w="4549"/>
      </w:tblGrid>
      <w:tr w:rsidR="00F5402C" w:rsidRPr="00D03DB6" w:rsidTr="00B118B6">
        <w:trPr>
          <w:trHeight w:val="60"/>
        </w:trPr>
        <w:tc>
          <w:tcPr>
            <w:tcW w:w="2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підготовки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(курсів)</w:t>
            </w:r>
          </w:p>
        </w:tc>
        <w:tc>
          <w:tcPr>
            <w:tcW w:w="2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його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</w:p>
        </w:tc>
      </w:tr>
      <w:tr w:rsidR="00F5402C" w:rsidRPr="00D03DB6" w:rsidTr="00B118B6">
        <w:trPr>
          <w:trHeight w:val="60"/>
        </w:trPr>
        <w:tc>
          <w:tcPr>
            <w:tcW w:w="2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B118B6">
        <w:trPr>
          <w:trHeight w:val="60"/>
        </w:trPr>
        <w:tc>
          <w:tcPr>
            <w:tcW w:w="2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Додаткові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B118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F5402C" w:rsidRPr="00B118B6" w:rsidRDefault="00F5402C">
      <w:pPr>
        <w:pStyle w:val="PrimitkiPRIMITKA"/>
        <w:spacing w:before="170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b/>
          <w:w w:val="100"/>
          <w:sz w:val="22"/>
          <w:szCs w:val="22"/>
        </w:rPr>
        <w:t>Примітки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1.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Обліково-послужна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розділів: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розділ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«Загальні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відомості»,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розділ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служби».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3,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4,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6–14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lastRenderedPageBreak/>
        <w:t>розділу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районному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15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приймально-технічній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Військово-Морських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тих,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хто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направлений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прийнятий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призваний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Військово-Морських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Силах.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16–22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19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районному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підчистки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дозволяється.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районному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виявлено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помилки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неточності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записах,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нова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картка.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виявлення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помилок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неточностей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військовослужбовцем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виправлені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дані,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лицьовій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стороні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верхньому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лівому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кутку)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овалі,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поділений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три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проставляються: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верхній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скорочене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підрозділу;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нижній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лівій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порядковий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книгою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алфавітного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складу;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нижній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правій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порядковий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книгою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штатно-поса­дового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складу.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необхідні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уточнення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посиланням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завіряються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підписами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складу.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трьох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днів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районного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підлягають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фотографуванню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формі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одягу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головного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убору.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фотокарток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(бюст,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анфас).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зворотній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стороні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фотокартки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фотографування.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картці,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другий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зберігається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Порядок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6–8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аналогічних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посвідчує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8,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спеціальності,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практичної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нею,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«слюсар,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роки»,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«водій,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місяці».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9.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знаходження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підприємства,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установи,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працював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призовник,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займав.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подальшому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збори,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резерві,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прийняття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уточнюються,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випадку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зміни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10.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Записується,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група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крові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резус-фактор.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11.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дружина,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діти,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батьки,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опікуни,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рідні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брати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сестри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незалежно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їхнього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проживання.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Члени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сім’ї,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померли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загинули,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12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13.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питань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Число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збірному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фактичного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Стосовно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зараховано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запас,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12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відношення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роду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(сил)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призначено.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Громадянам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віку,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проходили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звань,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приймаються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висновок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відбіркової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придатність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lastRenderedPageBreak/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14.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мобілізації,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фактичного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збори,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резерві,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прийняття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військовозобов’язаних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мобілізації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безпосередньо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14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підписує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начальник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19.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«рекрут»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громадянам,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направленим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обласному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прирівняному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нього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формування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команд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відправки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обласного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прирівняного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нього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Вкладати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різні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довідки,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відносяться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поставлених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питань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здоров’я,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щеплення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тощо),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заборонено.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умовним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найменуванням.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Дійсні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забороняється.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Порядок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5.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ВОС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першого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центру,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однієї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іншої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дострокового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ВОС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відразу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військовозобов’язаного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3–9,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11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14.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цими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рядками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уточнюються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відразу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поповнення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посвідчують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особистого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опитування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військовослужбовців.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16.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хронологічній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послідовності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Зроблені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повинні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посвідчує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справах.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самого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записуються: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лікуванні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закладі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який),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лікуванні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закладу.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повернення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військовослужбовця;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загибелі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B118B6" w:rsidRPr="00B118B6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дата,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(загибелі)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поховання.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Особам,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відбувають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покарання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дисциплінарних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батальйонах,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графу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«Посада»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«Змінний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означає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«дисциплінарний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батальйон».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Військовослужбовцям,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військовозобов’язаним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жінкам,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прийнятим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«Прийнятий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А0000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посаду:»;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жінкам,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громадянам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призовного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віку,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проходили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звань,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військовозобов’язаним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«Прийнятий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А0000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Білоцерківським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ОМТЦК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Київської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області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посаду:».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(переведення)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подальшого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іншої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призначення,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само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чином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причину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(загибелі)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поховання.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lastRenderedPageBreak/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16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закінчується,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дублікат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заносяться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події,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відбулися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дубліката.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Дублікат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зберігається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разом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оригіналом.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17.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участь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бойових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діях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захисту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міжнародних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миротворчих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операціях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хронологічній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послідовності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зазначенням,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посаді.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тих,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брали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участі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бойових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діях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міжнародних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миротворчих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операціях,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18.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дату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військовослужбовцем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присяги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вірність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Українському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народу.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Іноземцям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особам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громадянства,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добровільному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прийняті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Сил,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дату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взяття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офіційного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зобов’язання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неухильно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додержуватись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Конституції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Законів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сумлінно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виконувати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обов’язки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19.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усі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присвоєні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запасі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починаючи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«рекрут»,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«солдат»,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«матрос».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присвоєної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класної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кваліфікації,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пониження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званні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позбавлення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класності.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зарахований.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20.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орденських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книжок,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посвідчень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підтверджувальних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документів.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Перераховуються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нагороди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цінні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подарунки,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одержані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запасі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одержання.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22.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центрів,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закінчив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програмою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підготовки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навчався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пройшов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перепідготовку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спорідненою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спеціальністю,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одержаної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спеціальності,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ВОС,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навчання.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самому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зборів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запасі.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Пункт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23.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висновки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військово-лікарських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комісій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придатність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ними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служби;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дисциплінарному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батальйоні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служби;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видачу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військовослужбовцям,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дітей,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довідок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допомоги;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надання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відпусток;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видачу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військово-облікового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замість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втраченого.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Територіальними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центрами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рішення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питань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базової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спеціальне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(наприклад: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«Команда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К-70А.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Рішення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20.09.2024.»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тощо),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зміни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придатності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запасі.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засуджених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спеціалізованих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інформація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наявність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судимостей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статей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Кримінального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кодексу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вироку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суду,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«Засуджений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ст.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ККУ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185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ч.2,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296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ч.1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2023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р.».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23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підтверджує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відповідність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обліково-послужній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картці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наявним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обліковим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документам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начальником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Обліково-послужна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картка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повинна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завжди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знаходитися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частині,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про­ходить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військовослужбовець.</w:t>
      </w:r>
    </w:p>
    <w:p w:rsidR="00F5402C" w:rsidRPr="00B118B6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9.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B118B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118B6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92550" w:rsidRDefault="0049255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92550" w:rsidRDefault="0049255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92550" w:rsidRPr="00492550" w:rsidRDefault="0049255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492550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>
        <w:rPr>
          <w:rStyle w:val="st46"/>
          <w:rFonts w:ascii="Times New Roman" w:hAnsi="Times New Roman" w:cs="Times New Roman"/>
          <w:sz w:val="24"/>
          <w:szCs w:val="24"/>
        </w:rPr>
        <w:t>3</w:t>
      </w:r>
      <w:r w:rsidRPr="00492550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492550" w:rsidRPr="00492550" w:rsidSect="00C316BA"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F38" w:rsidRDefault="001A3F38" w:rsidP="00572DE7">
      <w:pPr>
        <w:spacing w:before="0" w:after="0" w:line="240" w:lineRule="auto"/>
      </w:pPr>
      <w:r>
        <w:separator/>
      </w:r>
    </w:p>
  </w:endnote>
  <w:endnote w:type="continuationSeparator" w:id="0">
    <w:p w:rsidR="001A3F38" w:rsidRDefault="001A3F38" w:rsidP="00572D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F38" w:rsidRDefault="001A3F38" w:rsidP="00572DE7">
      <w:pPr>
        <w:spacing w:before="0" w:after="0" w:line="240" w:lineRule="auto"/>
      </w:pPr>
      <w:r>
        <w:separator/>
      </w:r>
    </w:p>
  </w:footnote>
  <w:footnote w:type="continuationSeparator" w:id="0">
    <w:p w:rsidR="001A3F38" w:rsidRDefault="001A3F38" w:rsidP="00572DE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132AE2"/>
    <w:rsid w:val="001A3F38"/>
    <w:rsid w:val="002607E2"/>
    <w:rsid w:val="0028445B"/>
    <w:rsid w:val="0042532F"/>
    <w:rsid w:val="00492550"/>
    <w:rsid w:val="004B7970"/>
    <w:rsid w:val="004D3C9C"/>
    <w:rsid w:val="00505CD3"/>
    <w:rsid w:val="00572DE7"/>
    <w:rsid w:val="00610F7B"/>
    <w:rsid w:val="006628C4"/>
    <w:rsid w:val="00840732"/>
    <w:rsid w:val="008C4D7C"/>
    <w:rsid w:val="009313BC"/>
    <w:rsid w:val="00AF7ABC"/>
    <w:rsid w:val="00B118B6"/>
    <w:rsid w:val="00BC7600"/>
    <w:rsid w:val="00C316BA"/>
    <w:rsid w:val="00D03DB6"/>
    <w:rsid w:val="00EB0AE5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EF284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before="57" w:after="120" w:line="257" w:lineRule="auto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72DE7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72DE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72DE7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72DE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49255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10399</Words>
  <Characters>5928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2024-12-03T14:09:00Z</dcterms:created>
  <dcterms:modified xsi:type="dcterms:W3CDTF">2024-12-03T14:09:00Z</dcterms:modified>
</cp:coreProperties>
</file>