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C59AE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32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ІX)</w:t>
      </w:r>
    </w:p>
    <w:p w:rsidR="00EC59AE" w:rsidRPr="00D03DB6" w:rsidRDefault="00EC59AE" w:rsidP="00EC59AE">
      <w:pPr>
        <w:pStyle w:val="Ch6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Опис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ідентифікаційного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жетона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особистим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номером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Держспецтрансслужби</w:t>
      </w:r>
      <w:proofErr w:type="spellEnd"/>
      <w:r w:rsidRPr="00D03DB6">
        <w:rPr>
          <w:rFonts w:ascii="Times New Roman" w:hAnsi="Times New Roman" w:cs="Times New Roman"/>
          <w:w w:val="100"/>
          <w:sz w:val="24"/>
          <w:szCs w:val="24"/>
        </w:rPr>
        <w:t>)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Ідентифікаційний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жетон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особистим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номером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Держспецтрансслужби</w:t>
      </w:r>
      <w:proofErr w:type="spellEnd"/>
      <w:r w:rsidRPr="00D03DB6">
        <w:rPr>
          <w:rFonts w:ascii="Times New Roman" w:hAnsi="Times New Roman" w:cs="Times New Roman"/>
          <w:w w:val="100"/>
          <w:sz w:val="24"/>
          <w:szCs w:val="24"/>
        </w:rPr>
        <w:t>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призначений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ідентифікації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разі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його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смерті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(загибелі),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поранення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контузії)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надання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донесень.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2.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Уведення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ідентифікаційного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жетона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обумовлене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ратифікацією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Женевських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конвенцій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захист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жертв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серпня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1949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Додаткових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протоколів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червня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1977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щодо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покращення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участі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поранених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хворих,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також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необхідністю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встановлення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особис­тості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загиблих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(померлих)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військовослужбовців,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числі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підрозділів,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виконують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завдання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національних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контингентів.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3.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ідентифікаційному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жетоні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зазначаються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прізвище,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власне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ім’я,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батькові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наявності)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військовослужбовця,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його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група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крові,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резус-фактор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особистий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номер,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присвоєний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його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реєстраційного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номера,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також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назва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держави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її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формування,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проходить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військовослужбовець.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Група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крові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резус-фактор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визначаються: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призовників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військовозобов’язаних,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підлягають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службу,</w:t>
      </w:r>
      <w:r w:rsidR="00A70FD8">
        <w:rPr>
          <w:rFonts w:ascii="Times New Roman" w:hAnsi="Times New Roman" w:cs="Times New Roman"/>
          <w:w w:val="100"/>
          <w:sz w:val="24"/>
          <w:szCs w:val="24"/>
        </w:rPr>
        <w:t xml:space="preserve"> -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медичною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комісією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районного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територіального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комплектування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соціальної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підтримки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або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закладі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охорони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здоров’я,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перебувають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реєстрації;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всіх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категорій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A70FD8">
        <w:rPr>
          <w:rFonts w:ascii="Times New Roman" w:hAnsi="Times New Roman" w:cs="Times New Roman"/>
          <w:w w:val="100"/>
          <w:sz w:val="24"/>
          <w:szCs w:val="24"/>
        </w:rPr>
        <w:t>-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закладі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охорони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здоров’я,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обслуговує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дану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частину.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4.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Ідентифікаційний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жетон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виготовляється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нержавіючої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харчової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сталі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вигляді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прямокутника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розміром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45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26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товщиною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1,0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кути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заокруглені.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Паралельно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більшій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стороні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прямокутника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посередині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проходить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перфораційна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лінія,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він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потреби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може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бути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переламаний.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Ідентифікаційний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жетон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має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отвір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діаметром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кріплення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обмундирування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або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його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справи.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Шрифт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лінії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ідентифікаційному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жетоні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мають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розміри: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ширина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обведення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шрифту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A70FD8">
        <w:rPr>
          <w:rFonts w:ascii="Times New Roman" w:hAnsi="Times New Roman" w:cs="Times New Roman"/>
          <w:w w:val="100"/>
          <w:sz w:val="24"/>
          <w:szCs w:val="24"/>
        </w:rPr>
        <w:t>-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0,4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мм;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глибина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обведення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шрифту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A70FD8">
        <w:rPr>
          <w:rFonts w:ascii="Times New Roman" w:hAnsi="Times New Roman" w:cs="Times New Roman"/>
          <w:w w:val="100"/>
          <w:sz w:val="24"/>
          <w:szCs w:val="24"/>
        </w:rPr>
        <w:t>-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0,2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мм;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висота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шрифту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A70FD8">
        <w:rPr>
          <w:rFonts w:ascii="Times New Roman" w:hAnsi="Times New Roman" w:cs="Times New Roman"/>
          <w:w w:val="100"/>
          <w:sz w:val="24"/>
          <w:szCs w:val="24"/>
        </w:rPr>
        <w:t>-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2,2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мм;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глибина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перфораційної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лінії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A70FD8">
        <w:rPr>
          <w:rFonts w:ascii="Times New Roman" w:hAnsi="Times New Roman" w:cs="Times New Roman"/>
          <w:w w:val="100"/>
          <w:sz w:val="24"/>
          <w:szCs w:val="24"/>
        </w:rPr>
        <w:t>-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0,3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мм.</w:t>
      </w:r>
    </w:p>
    <w:p w:rsidR="00EC59AE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Інформація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щодо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розміщується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боків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ідентифікаційного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жетона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(малюнок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1).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лицьовому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боці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вище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перфораційної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лінії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державною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мовою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наносяться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прізвище,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власне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ім’я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батькові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наявності),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латинськими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літерами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римськими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цифрами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A70FD8">
        <w:rPr>
          <w:rFonts w:ascii="Times New Roman" w:hAnsi="Times New Roman" w:cs="Times New Roman"/>
          <w:w w:val="100"/>
          <w:sz w:val="24"/>
          <w:szCs w:val="24"/>
        </w:rPr>
        <w:t>-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група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крові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резус-фактор.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Нижче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перфораційною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лінією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зазначаються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арабськими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цифрами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A70FD8">
        <w:rPr>
          <w:rFonts w:ascii="Times New Roman" w:hAnsi="Times New Roman" w:cs="Times New Roman"/>
          <w:w w:val="100"/>
          <w:sz w:val="24"/>
          <w:szCs w:val="24"/>
        </w:rPr>
        <w:t>-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особистий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номер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державною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мовою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A70FD8">
        <w:rPr>
          <w:rFonts w:ascii="Times New Roman" w:hAnsi="Times New Roman" w:cs="Times New Roman"/>
          <w:w w:val="100"/>
          <w:sz w:val="24"/>
          <w:szCs w:val="24"/>
        </w:rPr>
        <w:t>-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назва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держави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(Україна)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формування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(Збройні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Держспецтрансслужба</w:t>
      </w:r>
      <w:proofErr w:type="spellEnd"/>
      <w:r w:rsidRPr="00D03DB6">
        <w:rPr>
          <w:rFonts w:ascii="Times New Roman" w:hAnsi="Times New Roman" w:cs="Times New Roman"/>
          <w:w w:val="100"/>
          <w:sz w:val="24"/>
          <w:szCs w:val="24"/>
        </w:rPr>
        <w:t>)).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зворотному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боці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сама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інформація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розміщується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навпаки: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вище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перфораційної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лінії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арабськими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цифрами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A70FD8">
        <w:rPr>
          <w:rFonts w:ascii="Times New Roman" w:hAnsi="Times New Roman" w:cs="Times New Roman"/>
          <w:w w:val="100"/>
          <w:sz w:val="24"/>
          <w:szCs w:val="24"/>
        </w:rPr>
        <w:t>-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особистий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номер,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державною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мовою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A70FD8">
        <w:rPr>
          <w:rFonts w:ascii="Times New Roman" w:hAnsi="Times New Roman" w:cs="Times New Roman"/>
          <w:w w:val="100"/>
          <w:sz w:val="24"/>
          <w:szCs w:val="24"/>
        </w:rPr>
        <w:t>-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назва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формування;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нижче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державною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мовою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наносяться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прізвище,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власне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ім’я,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батькові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наявності),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латинськими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літерами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римськими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цифрами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A70FD8">
        <w:rPr>
          <w:rFonts w:ascii="Times New Roman" w:hAnsi="Times New Roman" w:cs="Times New Roman"/>
          <w:w w:val="100"/>
          <w:sz w:val="24"/>
          <w:szCs w:val="24"/>
        </w:rPr>
        <w:t>-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група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крові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резус-фактор.</w:t>
      </w:r>
    </w:p>
    <w:p w:rsidR="00A70FD8" w:rsidRDefault="00A70FD8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</w:p>
    <w:p w:rsidR="00A70FD8" w:rsidRDefault="00A70FD8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34050" cy="2152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52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FD8" w:rsidRPr="00D03DB6" w:rsidRDefault="00A70FD8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  <w:gridCol w:w="5103"/>
      </w:tblGrid>
      <w:tr w:rsidR="00EC59AE" w:rsidRPr="00D03DB6" w:rsidTr="00A70FD8">
        <w:trPr>
          <w:trHeight w:val="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59AE" w:rsidRPr="00D03DB6" w:rsidRDefault="00EC59AE" w:rsidP="00AF7ABC">
            <w:pPr>
              <w:pStyle w:val="Ch6e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i/>
                <w:iCs/>
                <w:w w:val="100"/>
                <w:sz w:val="24"/>
                <w:szCs w:val="24"/>
              </w:rPr>
              <w:t>Лицьовий</w:t>
            </w:r>
            <w:r w:rsidR="00D03DB6">
              <w:rPr>
                <w:rFonts w:ascii="Times New Roman" w:hAnsi="Times New Roman" w:cs="Times New Roman"/>
                <w:i/>
                <w:iCs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i/>
                <w:iCs/>
                <w:w w:val="100"/>
                <w:sz w:val="24"/>
                <w:szCs w:val="24"/>
              </w:rPr>
              <w:t>бік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59AE" w:rsidRPr="00D03DB6" w:rsidRDefault="00EC59AE" w:rsidP="00AF7ABC">
            <w:pPr>
              <w:pStyle w:val="Ch6e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i/>
                <w:iCs/>
                <w:w w:val="100"/>
                <w:sz w:val="24"/>
                <w:szCs w:val="24"/>
              </w:rPr>
              <w:t>Зворотний</w:t>
            </w:r>
            <w:r w:rsidR="00D03DB6">
              <w:rPr>
                <w:rFonts w:ascii="Times New Roman" w:hAnsi="Times New Roman" w:cs="Times New Roman"/>
                <w:i/>
                <w:iCs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i/>
                <w:iCs/>
                <w:w w:val="100"/>
                <w:sz w:val="24"/>
                <w:szCs w:val="24"/>
              </w:rPr>
              <w:t>бік</w:t>
            </w:r>
          </w:p>
        </w:tc>
      </w:tr>
    </w:tbl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Pr="00D03DB6" w:rsidRDefault="00EC59AE" w:rsidP="00EC59AE">
      <w:pPr>
        <w:pStyle w:val="Ch6e"/>
        <w:spacing w:before="227" w:after="113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Малюнок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Зразок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ідентифікаційного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жетона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реєстраційним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номером.</w:t>
      </w:r>
    </w:p>
    <w:p w:rsidR="00EC59AE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через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релігійні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або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інші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переконання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відмовилися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реєстраційного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номера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закону,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ідентифікаційному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жетоні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замість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реєстраційного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номера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гравіруються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серія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наявності)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та/або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номер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паспорта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громадянина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(малюнок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2).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іноземців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без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громадянства,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проходять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ідентифікаційному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жетоні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замість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реєстраційного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номера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гравіруються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серія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наявності)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номер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паспортного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документа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іноземця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(для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іноземця)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або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посвідчення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без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виїзду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кордон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(для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без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громадянства).</w:t>
      </w:r>
    </w:p>
    <w:p w:rsidR="00A70FD8" w:rsidRDefault="00A70FD8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</w:p>
    <w:p w:rsidR="00A70FD8" w:rsidRDefault="00A70FD8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>
        <w:rPr>
          <w:noProof/>
        </w:rPr>
        <w:drawing>
          <wp:inline distT="0" distB="0" distL="0" distR="0">
            <wp:extent cx="5734050" cy="2238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38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FD8" w:rsidRPr="00D03DB6" w:rsidRDefault="00A70FD8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  <w:gridCol w:w="5103"/>
      </w:tblGrid>
      <w:tr w:rsidR="00EC59AE" w:rsidRPr="00D03DB6" w:rsidTr="00A70FD8">
        <w:trPr>
          <w:trHeight w:val="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59AE" w:rsidRPr="00D03DB6" w:rsidRDefault="00EC59AE" w:rsidP="00AF7ABC">
            <w:pPr>
              <w:pStyle w:val="Ch6e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i/>
                <w:iCs/>
                <w:w w:val="100"/>
                <w:sz w:val="24"/>
                <w:szCs w:val="24"/>
              </w:rPr>
              <w:t>Лицьовий</w:t>
            </w:r>
            <w:r w:rsidR="00D03DB6">
              <w:rPr>
                <w:rFonts w:ascii="Times New Roman" w:hAnsi="Times New Roman" w:cs="Times New Roman"/>
                <w:i/>
                <w:iCs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i/>
                <w:iCs/>
                <w:w w:val="100"/>
                <w:sz w:val="24"/>
                <w:szCs w:val="24"/>
              </w:rPr>
              <w:t>бік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59AE" w:rsidRPr="00D03DB6" w:rsidRDefault="00EC59AE" w:rsidP="00AF7ABC">
            <w:pPr>
              <w:pStyle w:val="Ch6e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i/>
                <w:iCs/>
                <w:w w:val="100"/>
                <w:sz w:val="24"/>
                <w:szCs w:val="24"/>
              </w:rPr>
              <w:t>Зворотний</w:t>
            </w:r>
            <w:r w:rsidR="00D03DB6">
              <w:rPr>
                <w:rFonts w:ascii="Times New Roman" w:hAnsi="Times New Roman" w:cs="Times New Roman"/>
                <w:i/>
                <w:iCs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i/>
                <w:iCs/>
                <w:w w:val="100"/>
                <w:sz w:val="24"/>
                <w:szCs w:val="24"/>
              </w:rPr>
              <w:t>бік</w:t>
            </w:r>
          </w:p>
        </w:tc>
      </w:tr>
    </w:tbl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Pr="00D03DB6" w:rsidRDefault="00EC59AE" w:rsidP="00EC59AE">
      <w:pPr>
        <w:pStyle w:val="Ch6e"/>
        <w:spacing w:before="22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Малюнок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2.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Зразок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ідентифікаційного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жетона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номером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паспорта.</w:t>
      </w:r>
    </w:p>
    <w:p w:rsidR="00EC59AE" w:rsidRDefault="00EC59AE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3C490F" w:rsidRDefault="003C490F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3C490F" w:rsidRDefault="003C490F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3C490F" w:rsidRDefault="003C490F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3C490F" w:rsidRPr="003C490F" w:rsidRDefault="003C490F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 w:rsidRPr="003C490F">
        <w:rPr>
          <w:rStyle w:val="st46"/>
          <w:rFonts w:ascii="Times New Roman" w:hAnsi="Times New Roman" w:cs="Times New Roman"/>
          <w:sz w:val="24"/>
          <w:szCs w:val="24"/>
        </w:rPr>
        <w:t>{Додаток 3</w:t>
      </w:r>
      <w:r>
        <w:rPr>
          <w:rStyle w:val="st46"/>
          <w:rFonts w:ascii="Times New Roman" w:hAnsi="Times New Roman" w:cs="Times New Roman"/>
          <w:sz w:val="24"/>
          <w:szCs w:val="24"/>
        </w:rPr>
        <w:t>2</w:t>
      </w:r>
      <w:r w:rsidRPr="003C490F">
        <w:rPr>
          <w:rStyle w:val="st46"/>
          <w:rFonts w:ascii="Times New Roman" w:hAnsi="Times New Roman" w:cs="Times New Roman"/>
          <w:sz w:val="24"/>
          <w:szCs w:val="24"/>
        </w:rPr>
        <w:t xml:space="preserve"> в редакції Наказу Міністерства оборони </w:t>
      </w:r>
      <w:r w:rsidRPr="003C490F">
        <w:rPr>
          <w:rStyle w:val="st121"/>
          <w:rFonts w:ascii="Times New Roman" w:hAnsi="Times New Roman" w:cs="Times New Roman"/>
          <w:sz w:val="24"/>
          <w:szCs w:val="24"/>
        </w:rPr>
        <w:t>№ 687 від 14.10.2024</w:t>
      </w:r>
      <w:r w:rsidRPr="003C490F">
        <w:rPr>
          <w:rStyle w:val="st46"/>
          <w:rFonts w:ascii="Times New Roman" w:hAnsi="Times New Roman" w:cs="Times New Roman"/>
          <w:sz w:val="24"/>
          <w:szCs w:val="24"/>
        </w:rPr>
        <w:t>}</w:t>
      </w:r>
    </w:p>
    <w:sectPr w:rsidR="003C490F" w:rsidRPr="003C490F" w:rsidSect="00AD5D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10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EC4" w:rsidRDefault="00741EC4" w:rsidP="00ED088E">
      <w:pPr>
        <w:spacing w:after="0" w:line="240" w:lineRule="auto"/>
      </w:pPr>
      <w:r>
        <w:separator/>
      </w:r>
    </w:p>
  </w:endnote>
  <w:endnote w:type="continuationSeparator" w:id="0">
    <w:p w:rsidR="00741EC4" w:rsidRDefault="00741EC4" w:rsidP="00ED0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88E" w:rsidRDefault="00ED088E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88E" w:rsidRDefault="00ED088E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88E" w:rsidRDefault="00ED088E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EC4" w:rsidRDefault="00741EC4" w:rsidP="00ED088E">
      <w:pPr>
        <w:spacing w:after="0" w:line="240" w:lineRule="auto"/>
      </w:pPr>
      <w:r>
        <w:separator/>
      </w:r>
    </w:p>
  </w:footnote>
  <w:footnote w:type="continuationSeparator" w:id="0">
    <w:p w:rsidR="00741EC4" w:rsidRDefault="00741EC4" w:rsidP="00ED0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88E" w:rsidRDefault="00ED088E">
    <w:pPr>
      <w:pStyle w:val="af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88E" w:rsidRDefault="00ED088E">
    <w:pPr>
      <w:pStyle w:val="af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88E" w:rsidRDefault="00ED088E">
    <w:pPr>
      <w:pStyle w:val="aff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hideGrammaticalErrors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329A"/>
    <w:rsid w:val="00016C35"/>
    <w:rsid w:val="000F2095"/>
    <w:rsid w:val="001560A2"/>
    <w:rsid w:val="00166F6E"/>
    <w:rsid w:val="0021255E"/>
    <w:rsid w:val="00323E71"/>
    <w:rsid w:val="003C490F"/>
    <w:rsid w:val="00407C30"/>
    <w:rsid w:val="004B7970"/>
    <w:rsid w:val="004D3C9C"/>
    <w:rsid w:val="00505CD3"/>
    <w:rsid w:val="005816EF"/>
    <w:rsid w:val="00610F7B"/>
    <w:rsid w:val="006628C4"/>
    <w:rsid w:val="007040B3"/>
    <w:rsid w:val="00741EC4"/>
    <w:rsid w:val="007667B6"/>
    <w:rsid w:val="007909D8"/>
    <w:rsid w:val="00840732"/>
    <w:rsid w:val="009313BC"/>
    <w:rsid w:val="00A10E4C"/>
    <w:rsid w:val="00A61D5F"/>
    <w:rsid w:val="00A70FD8"/>
    <w:rsid w:val="00AA3F6E"/>
    <w:rsid w:val="00AD5D0A"/>
    <w:rsid w:val="00AF7ABC"/>
    <w:rsid w:val="00B201F5"/>
    <w:rsid w:val="00BC7600"/>
    <w:rsid w:val="00C13DBC"/>
    <w:rsid w:val="00C316BA"/>
    <w:rsid w:val="00C32610"/>
    <w:rsid w:val="00C56C1D"/>
    <w:rsid w:val="00C81AB9"/>
    <w:rsid w:val="00CE05A1"/>
    <w:rsid w:val="00D03DB6"/>
    <w:rsid w:val="00D06E04"/>
    <w:rsid w:val="00D6163B"/>
    <w:rsid w:val="00DA3546"/>
    <w:rsid w:val="00DB283B"/>
    <w:rsid w:val="00E92F62"/>
    <w:rsid w:val="00EC59AE"/>
    <w:rsid w:val="00ED088E"/>
    <w:rsid w:val="00F5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1B40C82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ED088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ED088E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ED088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ED088E"/>
    <w:rPr>
      <w:rFonts w:ascii="Calibri" w:hAnsi="Calibri" w:cs="Calibri"/>
      <w:color w:val="000000"/>
    </w:rPr>
  </w:style>
  <w:style w:type="character" w:customStyle="1" w:styleId="st121">
    <w:name w:val="st121"/>
    <w:uiPriority w:val="99"/>
    <w:rsid w:val="003C490F"/>
    <w:rPr>
      <w:i/>
      <w:iCs/>
      <w:color w:val="000000"/>
    </w:rPr>
  </w:style>
  <w:style w:type="character" w:customStyle="1" w:styleId="st46">
    <w:name w:val="st46"/>
    <w:uiPriority w:val="99"/>
    <w:rsid w:val="003C490F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2505</Words>
  <Characters>1428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2024-12-04T09:45:00Z</dcterms:created>
  <dcterms:modified xsi:type="dcterms:W3CDTF">2024-12-04T09:45:00Z</dcterms:modified>
</cp:coreProperties>
</file>