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62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7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XV)</w:t>
      </w:r>
    </w:p>
    <w:p w:rsidR="00EC59AE" w:rsidRPr="00D03DB6" w:rsidRDefault="00EC59AE" w:rsidP="00EC59AE">
      <w:pPr>
        <w:pStyle w:val="Ch64"/>
        <w:spacing w:before="283" w:after="283"/>
        <w:ind w:firstLine="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203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288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ab/>
        <w:t>(Гриф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обмеження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доступу)</w:t>
      </w:r>
    </w:p>
    <w:p w:rsidR="00EC59AE" w:rsidRDefault="00EC59AE" w:rsidP="00EC59AE">
      <w:pPr>
        <w:pStyle w:val="Ch6a"/>
        <w:spacing w:before="1417"/>
        <w:jc w:val="center"/>
        <w:rPr>
          <w:rFonts w:ascii="Times New Roman" w:hAnsi="Times New Roman" w:cs="Times New Roman"/>
          <w:w w:val="100"/>
          <w:sz w:val="24"/>
          <w:szCs w:val="24"/>
        </w:rPr>
      </w:pPr>
    </w:p>
    <w:p w:rsidR="00633A24" w:rsidRPr="00D03DB6" w:rsidRDefault="00633A24" w:rsidP="00EC59AE">
      <w:pPr>
        <w:pStyle w:val="Ch6a"/>
        <w:spacing w:before="1417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Ch6a"/>
        <w:spacing w:before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7"/>
        <w:spacing w:before="141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Книга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алфавітного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DE6916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DE6916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E6916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DE6916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DE691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E6916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DE6916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DE6916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Ch64"/>
        <w:spacing w:before="3798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Розпочато: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2D214B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2D214B">
      <w:pPr>
        <w:pStyle w:val="Ch64"/>
        <w:tabs>
          <w:tab w:val="right" w:pos="10205"/>
        </w:tabs>
        <w:spacing w:before="57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DE6916" w:rsidRDefault="00DE6916" w:rsidP="00EC59AE">
      <w:pPr>
        <w:pStyle w:val="Ch64"/>
        <w:spacing w:before="57"/>
        <w:ind w:left="4592" w:firstLine="0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 xml:space="preserve">      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арк.</w:t>
      </w: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EC59AE" w:rsidRPr="00D03DB6" w:rsidRDefault="00EC59AE" w:rsidP="00EC59AE">
      <w:pPr>
        <w:pStyle w:val="Ch64"/>
        <w:spacing w:before="57"/>
        <w:ind w:left="4592" w:firstLine="0"/>
        <w:rPr>
          <w:rFonts w:ascii="Times New Roman" w:hAnsi="Times New Roman" w:cs="Times New Roman"/>
          <w:w w:val="100"/>
          <w:sz w:val="24"/>
          <w:szCs w:val="24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1"/>
        <w:gridCol w:w="2259"/>
        <w:gridCol w:w="1951"/>
        <w:gridCol w:w="1876"/>
        <w:gridCol w:w="2253"/>
        <w:gridCol w:w="1405"/>
      </w:tblGrid>
      <w:tr w:rsidR="00EC59AE" w:rsidRPr="00DE6916" w:rsidTr="00DE6916">
        <w:trPr>
          <w:trHeight w:val="113"/>
        </w:trPr>
        <w:tc>
          <w:tcPr>
            <w:tcW w:w="22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№</w:t>
            </w:r>
          </w:p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з/п</w:t>
            </w:r>
          </w:p>
        </w:tc>
        <w:tc>
          <w:tcPr>
            <w:tcW w:w="11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власне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ім’я,</w:t>
            </w:r>
          </w:p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наявності).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Дата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народження.</w:t>
            </w:r>
          </w:p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В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якому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підрозділі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проходить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службу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Яким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ТЦК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направлений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для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проходження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військової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служби.</w:t>
            </w:r>
          </w:p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якої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прибув</w:t>
            </w:r>
          </w:p>
        </w:tc>
        <w:tc>
          <w:tcPr>
            <w:tcW w:w="92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E6916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Сімейний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стан,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прізвище,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власне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ім’я,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батькові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членів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сім’ї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(близьких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родичів)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та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їхнє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місце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проживання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(реєстрації)</w:t>
            </w: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зарахування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списків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особового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частини,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в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якому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військовому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званні,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якій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посаді</w:t>
            </w:r>
          </w:p>
        </w:tc>
        <w:tc>
          <w:tcPr>
            <w:tcW w:w="689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:rsidR="00EC59AE" w:rsidRPr="00DE6916" w:rsidRDefault="00EC59AE" w:rsidP="00AF7ABC">
            <w:pPr>
              <w:pStyle w:val="TableshapkaTABL"/>
              <w:jc w:val="left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якої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причини,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куди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вибув,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дата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наказу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про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виключення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із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списків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особового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складу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</w:t>
            </w:r>
          </w:p>
        </w:tc>
      </w:tr>
      <w:tr w:rsidR="00EC59AE" w:rsidRPr="00DE6916" w:rsidTr="00DE6916">
        <w:trPr>
          <w:trHeight w:val="113"/>
        </w:trPr>
        <w:tc>
          <w:tcPr>
            <w:tcW w:w="22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E691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Особистий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Серія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(за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наявності)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і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номер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документа,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що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посвідчує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особу</w:t>
            </w:r>
          </w:p>
        </w:tc>
        <w:tc>
          <w:tcPr>
            <w:tcW w:w="92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E691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Військове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звання,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посада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під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вибуття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з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військової</w:t>
            </w:r>
            <w:r w:rsidR="00D03DB6"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 </w:t>
            </w: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частини</w:t>
            </w:r>
          </w:p>
        </w:tc>
        <w:tc>
          <w:tcPr>
            <w:tcW w:w="689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DE6916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EC59AE" w:rsidRPr="00DE6916" w:rsidTr="00DE6916">
        <w:trPr>
          <w:trHeight w:val="215"/>
        </w:trPr>
        <w:tc>
          <w:tcPr>
            <w:tcW w:w="2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11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9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  <w:tc>
          <w:tcPr>
            <w:tcW w:w="9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4</w:t>
            </w:r>
          </w:p>
        </w:tc>
        <w:tc>
          <w:tcPr>
            <w:tcW w:w="110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5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DE6916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DE6916">
              <w:rPr>
                <w:rFonts w:ascii="Times New Roman" w:hAnsi="Times New Roman" w:cs="Times New Roman"/>
                <w:w w:val="100"/>
                <w:sz w:val="22"/>
                <w:szCs w:val="22"/>
              </w:rPr>
              <w:t>6</w:t>
            </w: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PrimitkiPRIMITKA"/>
        <w:spacing w:before="170"/>
        <w:rPr>
          <w:rFonts w:ascii="Times New Roman" w:hAnsi="Times New Roman" w:cs="Times New Roman"/>
          <w:w w:val="100"/>
          <w:sz w:val="24"/>
          <w:szCs w:val="24"/>
        </w:rPr>
      </w:pPr>
      <w:r w:rsidRPr="00DE6916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DE691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ab/>
        <w:t>Книга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є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документом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постійного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зберігання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призначена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проходять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базову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службу.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навчальних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закладах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заводяться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кожний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набір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курсантів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слухачів.</w:t>
      </w:r>
    </w:p>
    <w:p w:rsidR="00EC59AE" w:rsidRPr="00DE691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E6916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ab/>
        <w:t>Для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зручності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довідковій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роботі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книга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ведеться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із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дотриманням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таких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вимог:</w:t>
      </w:r>
    </w:p>
    <w:p w:rsidR="00EC59AE" w:rsidRPr="00DE691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E6916">
        <w:rPr>
          <w:rFonts w:ascii="Times New Roman" w:hAnsi="Times New Roman" w:cs="Times New Roman"/>
          <w:w w:val="100"/>
          <w:sz w:val="22"/>
          <w:szCs w:val="22"/>
        </w:rPr>
        <w:tab/>
      </w:r>
      <w:r w:rsidRPr="00DE6916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зміни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військовослужбовцем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прізвища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це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переноситься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відповідну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букву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алфавіту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новим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прізвищем,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напроти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старого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запису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графі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6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помітка,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якої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причини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яку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сторінку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перенесено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запис;</w:t>
      </w:r>
    </w:p>
    <w:p w:rsidR="00EC59AE" w:rsidRPr="00DE691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E6916">
        <w:rPr>
          <w:rFonts w:ascii="Times New Roman" w:hAnsi="Times New Roman" w:cs="Times New Roman"/>
          <w:w w:val="100"/>
          <w:sz w:val="22"/>
          <w:szCs w:val="22"/>
        </w:rPr>
        <w:tab/>
      </w:r>
      <w:r w:rsidRPr="00DE6916">
        <w:rPr>
          <w:rFonts w:ascii="Times New Roman" w:hAnsi="Times New Roman" w:cs="Times New Roman"/>
          <w:w w:val="100"/>
          <w:sz w:val="22"/>
          <w:szCs w:val="22"/>
        </w:rPr>
        <w:tab/>
        <w:t>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кінці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відводиться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декілька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аркушів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обліку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осіб,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тимчасово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прикомандировані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частин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строк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одного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місяця.</w:t>
      </w:r>
    </w:p>
    <w:p w:rsidR="00EC59AE" w:rsidRPr="00DE691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E6916">
        <w:rPr>
          <w:rFonts w:ascii="Times New Roman" w:hAnsi="Times New Roman" w:cs="Times New Roman"/>
          <w:w w:val="100"/>
          <w:sz w:val="22"/>
          <w:szCs w:val="22"/>
        </w:rPr>
        <w:tab/>
      </w:r>
      <w:r w:rsidRPr="00DE6916">
        <w:rPr>
          <w:rFonts w:ascii="Times New Roman" w:hAnsi="Times New Roman" w:cs="Times New Roman"/>
          <w:w w:val="100"/>
          <w:sz w:val="22"/>
          <w:szCs w:val="22"/>
        </w:rPr>
        <w:tab/>
        <w:t>Перескладати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знищувати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категорично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забороняється.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непридатності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подальшого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використання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зберігання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її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перескладання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може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бути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проведене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спеціально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призначеною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комісією.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Членами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комісії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першому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аркуші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нової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причину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заведення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нової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те,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всі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записи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старої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нової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перенесено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вірно.</w:t>
      </w:r>
    </w:p>
    <w:p w:rsidR="00EC59AE" w:rsidRPr="00DE691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E6916">
        <w:rPr>
          <w:rFonts w:ascii="Times New Roman" w:hAnsi="Times New Roman" w:cs="Times New Roman"/>
          <w:w w:val="100"/>
          <w:sz w:val="22"/>
          <w:szCs w:val="22"/>
        </w:rPr>
        <w:tab/>
      </w:r>
      <w:r w:rsidRPr="00DE6916">
        <w:rPr>
          <w:rFonts w:ascii="Times New Roman" w:hAnsi="Times New Roman" w:cs="Times New Roman"/>
          <w:w w:val="100"/>
          <w:sz w:val="22"/>
          <w:szCs w:val="22"/>
        </w:rPr>
        <w:tab/>
        <w:t>Книги,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ведення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яких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закінчено,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зберігають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частинах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протягом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років,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потім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встановленому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порядку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здаються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зберігання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Галузевого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архіву.</w:t>
      </w:r>
    </w:p>
    <w:p w:rsidR="00EC59AE" w:rsidRPr="00DE691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E6916">
        <w:rPr>
          <w:rFonts w:ascii="Times New Roman" w:hAnsi="Times New Roman" w:cs="Times New Roman"/>
          <w:w w:val="100"/>
          <w:sz w:val="22"/>
          <w:szCs w:val="22"/>
        </w:rPr>
        <w:tab/>
      </w:r>
      <w:r w:rsidRPr="00DE6916">
        <w:rPr>
          <w:rFonts w:ascii="Times New Roman" w:hAnsi="Times New Roman" w:cs="Times New Roman"/>
          <w:w w:val="100"/>
          <w:sz w:val="22"/>
          <w:szCs w:val="22"/>
        </w:rPr>
        <w:tab/>
        <w:t>На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кораблях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(суднах)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перед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здачею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архіву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звіряються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картотеками,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ведуться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березі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відповідних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службах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персоналу.</w:t>
      </w:r>
    </w:p>
    <w:p w:rsidR="00EC59AE" w:rsidRPr="00DE691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E6916">
        <w:rPr>
          <w:rFonts w:ascii="Times New Roman" w:hAnsi="Times New Roman" w:cs="Times New Roman"/>
          <w:w w:val="100"/>
          <w:sz w:val="22"/>
          <w:szCs w:val="22"/>
        </w:rPr>
        <w:tab/>
      </w:r>
      <w:r w:rsidRPr="00DE6916">
        <w:rPr>
          <w:rFonts w:ascii="Times New Roman" w:hAnsi="Times New Roman" w:cs="Times New Roman"/>
          <w:w w:val="100"/>
          <w:sz w:val="22"/>
          <w:szCs w:val="22"/>
        </w:rPr>
        <w:tab/>
        <w:t>Якщо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особовий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склад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має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пільги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проходження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служби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віддаленій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місцевості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місцевості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особливими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кліматичними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умовами,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перед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здачею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книги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архіву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її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титульній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сторінці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обкладинці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робиться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запис: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«Особовий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склад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має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пільги,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установлені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постановою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Кабінету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Міністрів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України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від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«___»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_______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20__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року,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№_____».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Начальник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штабу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засвідчує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цей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запис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своїм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підписом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гербовою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печаткою.</w:t>
      </w:r>
    </w:p>
    <w:p w:rsidR="00EC59AE" w:rsidRPr="00DE691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E6916">
        <w:rPr>
          <w:rFonts w:ascii="Times New Roman" w:hAnsi="Times New Roman" w:cs="Times New Roman"/>
          <w:w w:val="100"/>
          <w:sz w:val="22"/>
          <w:szCs w:val="22"/>
        </w:rPr>
        <w:tab/>
      </w:r>
      <w:r w:rsidR="00DE6916">
        <w:rPr>
          <w:rFonts w:ascii="Times New Roman" w:hAnsi="Times New Roman" w:cs="Times New Roman"/>
          <w:w w:val="100"/>
          <w:sz w:val="22"/>
          <w:szCs w:val="22"/>
        </w:rPr>
        <w:t xml:space="preserve">       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3.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Порядок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заповнення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граф:</w:t>
      </w:r>
    </w:p>
    <w:p w:rsidR="00EC59AE" w:rsidRPr="00DE691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E6916">
        <w:rPr>
          <w:rFonts w:ascii="Times New Roman" w:hAnsi="Times New Roman" w:cs="Times New Roman"/>
          <w:w w:val="100"/>
          <w:sz w:val="22"/>
          <w:szCs w:val="22"/>
        </w:rPr>
        <w:tab/>
      </w:r>
      <w:r w:rsidRPr="00DE6916">
        <w:rPr>
          <w:rFonts w:ascii="Times New Roman" w:hAnsi="Times New Roman" w:cs="Times New Roman"/>
          <w:w w:val="100"/>
          <w:sz w:val="22"/>
          <w:szCs w:val="22"/>
        </w:rPr>
        <w:tab/>
        <w:t>графа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2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2D214B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відомості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«В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якому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підрозділі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проходить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службу»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переміщення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військовослужбовця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одного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підрозділу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іншого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вибуття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особового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складу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частини.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Для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працівників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записується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номер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їхньої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трудової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книжки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(у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разі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наявності).</w:t>
      </w:r>
    </w:p>
    <w:p w:rsidR="00EC59AE" w:rsidRPr="00DE691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E6916">
        <w:rPr>
          <w:rFonts w:ascii="Times New Roman" w:hAnsi="Times New Roman" w:cs="Times New Roman"/>
          <w:w w:val="100"/>
          <w:sz w:val="22"/>
          <w:szCs w:val="22"/>
        </w:rPr>
        <w:tab/>
      </w:r>
      <w:r w:rsidRPr="00DE6916">
        <w:rPr>
          <w:rFonts w:ascii="Times New Roman" w:hAnsi="Times New Roman" w:cs="Times New Roman"/>
          <w:w w:val="100"/>
          <w:sz w:val="22"/>
          <w:szCs w:val="22"/>
        </w:rPr>
        <w:tab/>
        <w:t>Графа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3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2D214B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такі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відомості: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яким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районним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територіальним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центром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комплектування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соціальної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підтримки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призваний,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якої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області,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направлення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частину.</w:t>
      </w:r>
    </w:p>
    <w:p w:rsidR="00EC59AE" w:rsidRPr="00DE691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E6916">
        <w:rPr>
          <w:rFonts w:ascii="Times New Roman" w:hAnsi="Times New Roman" w:cs="Times New Roman"/>
          <w:w w:val="100"/>
          <w:sz w:val="22"/>
          <w:szCs w:val="22"/>
        </w:rPr>
        <w:tab/>
      </w:r>
      <w:r w:rsidRPr="00DE6916">
        <w:rPr>
          <w:rFonts w:ascii="Times New Roman" w:hAnsi="Times New Roman" w:cs="Times New Roman"/>
          <w:w w:val="100"/>
          <w:sz w:val="22"/>
          <w:szCs w:val="22"/>
        </w:rPr>
        <w:tab/>
        <w:t>На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військовослужбовців,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які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прибули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інших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військових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частин,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крім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цього,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зазначається,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якої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прибув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місце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її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дислокації.</w:t>
      </w:r>
    </w:p>
    <w:p w:rsidR="00EC59AE" w:rsidRPr="00DE6916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E6916">
        <w:rPr>
          <w:rFonts w:ascii="Times New Roman" w:hAnsi="Times New Roman" w:cs="Times New Roman"/>
          <w:w w:val="100"/>
          <w:sz w:val="22"/>
          <w:szCs w:val="22"/>
        </w:rPr>
        <w:tab/>
      </w:r>
      <w:r w:rsidRPr="00DE6916">
        <w:rPr>
          <w:rFonts w:ascii="Times New Roman" w:hAnsi="Times New Roman" w:cs="Times New Roman"/>
          <w:w w:val="100"/>
          <w:sz w:val="22"/>
          <w:szCs w:val="22"/>
        </w:rPr>
        <w:tab/>
        <w:t>До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цієї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самої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графи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номери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документів,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посвідчують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особу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військовослужбовця.</w:t>
      </w:r>
    </w:p>
    <w:p w:rsidR="00EC59AE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E6916">
        <w:rPr>
          <w:rFonts w:ascii="Times New Roman" w:hAnsi="Times New Roman" w:cs="Times New Roman"/>
          <w:w w:val="100"/>
          <w:sz w:val="22"/>
          <w:szCs w:val="22"/>
        </w:rPr>
        <w:tab/>
      </w:r>
      <w:r w:rsidRPr="00DE6916">
        <w:rPr>
          <w:rFonts w:ascii="Times New Roman" w:hAnsi="Times New Roman" w:cs="Times New Roman"/>
          <w:w w:val="100"/>
          <w:sz w:val="22"/>
          <w:szCs w:val="22"/>
        </w:rPr>
        <w:tab/>
        <w:t>Графа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5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E6916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якщо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зарахування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списків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проведено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одним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наказом,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призначення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посаду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E6916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іншим,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то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записують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номери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обох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наказів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дати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їх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підписання,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«16.11.2009,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312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—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солдат,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22.11.2009,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№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318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="00DE6916">
        <w:rPr>
          <w:rFonts w:ascii="Times New Roman" w:hAnsi="Times New Roman" w:cs="Times New Roman"/>
          <w:w w:val="100"/>
          <w:sz w:val="22"/>
          <w:szCs w:val="22"/>
        </w:rPr>
        <w:t>-</w:t>
      </w:r>
      <w:r w:rsidR="00D03DB6" w:rsidRPr="00DE6916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DE6916">
        <w:rPr>
          <w:rFonts w:ascii="Times New Roman" w:hAnsi="Times New Roman" w:cs="Times New Roman"/>
          <w:w w:val="100"/>
          <w:sz w:val="22"/>
          <w:szCs w:val="22"/>
        </w:rPr>
        <w:t>водій».</w:t>
      </w:r>
    </w:p>
    <w:p w:rsidR="00AA1140" w:rsidRDefault="00AA1140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AA1140" w:rsidRDefault="00AA1140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AA1140" w:rsidRDefault="00AA1140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AA1140" w:rsidRPr="00DE6916" w:rsidRDefault="00AA1140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>
        <w:rPr>
          <w:rStyle w:val="st46"/>
          <w:rFonts w:ascii="Times New Roman" w:hAnsi="Times New Roman" w:cs="Times New Roman"/>
          <w:sz w:val="24"/>
          <w:szCs w:val="24"/>
        </w:rPr>
        <w:t>{Додаток 6</w:t>
      </w:r>
      <w:r>
        <w:rPr>
          <w:rStyle w:val="st46"/>
          <w:rFonts w:ascii="Times New Roman" w:hAnsi="Times New Roman" w:cs="Times New Roman"/>
          <w:sz w:val="24"/>
          <w:szCs w:val="24"/>
        </w:rPr>
        <w:t>2</w:t>
      </w:r>
      <w:r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AA1140" w:rsidRPr="00DE6916" w:rsidSect="00AD5D0A">
      <w:pgSz w:w="11906" w:h="16838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87B" w:rsidRDefault="002F687B" w:rsidP="00682AE1">
      <w:pPr>
        <w:spacing w:after="0" w:line="240" w:lineRule="auto"/>
      </w:pPr>
      <w:r>
        <w:separator/>
      </w:r>
    </w:p>
  </w:endnote>
  <w:endnote w:type="continuationSeparator" w:id="0">
    <w:p w:rsidR="002F687B" w:rsidRDefault="002F687B" w:rsidP="00682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87B" w:rsidRDefault="002F687B" w:rsidP="00682AE1">
      <w:pPr>
        <w:spacing w:after="0" w:line="240" w:lineRule="auto"/>
      </w:pPr>
      <w:r>
        <w:separator/>
      </w:r>
    </w:p>
  </w:footnote>
  <w:footnote w:type="continuationSeparator" w:id="0">
    <w:p w:rsidR="002F687B" w:rsidRDefault="002F687B" w:rsidP="00682A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560A2"/>
    <w:rsid w:val="00166F6E"/>
    <w:rsid w:val="001836FB"/>
    <w:rsid w:val="0021255E"/>
    <w:rsid w:val="002D214B"/>
    <w:rsid w:val="002F687B"/>
    <w:rsid w:val="00323E71"/>
    <w:rsid w:val="00371B73"/>
    <w:rsid w:val="003737D2"/>
    <w:rsid w:val="00407C30"/>
    <w:rsid w:val="004B7970"/>
    <w:rsid w:val="004D3C9C"/>
    <w:rsid w:val="00505CD3"/>
    <w:rsid w:val="0059386F"/>
    <w:rsid w:val="00610F7B"/>
    <w:rsid w:val="00633A24"/>
    <w:rsid w:val="00651B33"/>
    <w:rsid w:val="006628C4"/>
    <w:rsid w:val="00682AE1"/>
    <w:rsid w:val="006B303A"/>
    <w:rsid w:val="006C31E6"/>
    <w:rsid w:val="006C570D"/>
    <w:rsid w:val="007040B3"/>
    <w:rsid w:val="00711C6A"/>
    <w:rsid w:val="00752E42"/>
    <w:rsid w:val="007667B6"/>
    <w:rsid w:val="00777858"/>
    <w:rsid w:val="007909D8"/>
    <w:rsid w:val="00840732"/>
    <w:rsid w:val="009313BC"/>
    <w:rsid w:val="00981AC2"/>
    <w:rsid w:val="009976A6"/>
    <w:rsid w:val="00A000FC"/>
    <w:rsid w:val="00A10E4C"/>
    <w:rsid w:val="00A11C3F"/>
    <w:rsid w:val="00A61D5F"/>
    <w:rsid w:val="00AA1140"/>
    <w:rsid w:val="00AA3F6E"/>
    <w:rsid w:val="00AA4EA7"/>
    <w:rsid w:val="00AD5D0A"/>
    <w:rsid w:val="00AF7ABC"/>
    <w:rsid w:val="00B201F5"/>
    <w:rsid w:val="00B31567"/>
    <w:rsid w:val="00BC7600"/>
    <w:rsid w:val="00BE6862"/>
    <w:rsid w:val="00C13DBC"/>
    <w:rsid w:val="00C316BA"/>
    <w:rsid w:val="00C32610"/>
    <w:rsid w:val="00C34258"/>
    <w:rsid w:val="00C56C1D"/>
    <w:rsid w:val="00C81AB9"/>
    <w:rsid w:val="00CA1CC7"/>
    <w:rsid w:val="00CB2731"/>
    <w:rsid w:val="00CD34D0"/>
    <w:rsid w:val="00CE05A1"/>
    <w:rsid w:val="00D03DB6"/>
    <w:rsid w:val="00D06E04"/>
    <w:rsid w:val="00D6163B"/>
    <w:rsid w:val="00D7398F"/>
    <w:rsid w:val="00DA3546"/>
    <w:rsid w:val="00DB283B"/>
    <w:rsid w:val="00DE6916"/>
    <w:rsid w:val="00E30811"/>
    <w:rsid w:val="00EC59AE"/>
    <w:rsid w:val="00EE7957"/>
    <w:rsid w:val="00F27DAA"/>
    <w:rsid w:val="00F5402C"/>
    <w:rsid w:val="00FA38DB"/>
    <w:rsid w:val="00FE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EFB047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682AE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682AE1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682AE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682AE1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AA1140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3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2633</Words>
  <Characters>1501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2024-12-04T12:58:00Z</dcterms:created>
  <dcterms:modified xsi:type="dcterms:W3CDTF">2024-12-04T12:58:00Z</dcterms:modified>
</cp:coreProperties>
</file>