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 w:before="0"/>
        <w:jc w:val="center"/>
      </w:pPr>
      <w:r>
        <w:rPr>
          <w:b/>
          <w:i w:val="0"/>
          <w:color w:val="1F3A5F"/>
          <w:sz w:val="38"/>
        </w:rPr>
        <w:t>SUDHINEE “BIRDIE” TRIDHIP</w:t>
      </w:r>
    </w:p>
    <w:p>
      <w:pPr>
        <w:spacing w:after="100" w:before="0"/>
        <w:jc w:val="center"/>
      </w:pPr>
      <w:r>
        <w:rPr>
          <w:b w:val="0"/>
          <w:i w:val="0"/>
          <w:sz w:val="18"/>
        </w:rPr>
        <w:t>Berkeley, CA  ·  +1 (510) 207-4817  ·  sudhinee.tri@berkeley.edu  ·  linkedin.com/in/sudhinee-tridhip</w:t>
      </w:r>
    </w:p>
    <w:p>
      <w:pPr>
        <w:spacing w:after="20" w:before="0"/>
      </w:pPr>
      <w:r>
        <w:rPr>
          <w:b w:val="0"/>
          <w:i w:val="0"/>
          <w:sz w:val="19"/>
        </w:rPr>
        <w:t>Architecture-trained developer with two years of end-to-end development experience in Bangkok and a UC Berkeley MRED+D completed May 2026. Underwrites mixed-use and residential deals from raw land through entitlement and delivery. Seeking a Development or Acquisitions Analyst role in California; authorized to work in the U.S. for up to three years under F-1 STEM OPT.</w:t>
      </w:r>
    </w:p>
    <w:p>
      <w:pPr>
        <w:keepNext/>
        <w:pBdr>
          <w:bottom w:val="single" w:sz="6" w:space="1" w:color="1F3A5F"/>
        </w:pBdr>
        <w:spacing w:after="40" w:before="180"/>
      </w:pPr>
      <w:r>
        <w:rPr>
          <w:b/>
          <w:i w:val="0"/>
          <w:caps/>
          <w:color w:val="1F3A5F"/>
          <w:sz w:val="21"/>
        </w:rPr>
        <w:t>Education</w:t>
      </w:r>
    </w:p>
    <w:p>
      <w:pPr>
        <w:tabs>
          <w:tab w:pos="10080" w:val="right"/>
        </w:tabs>
        <w:spacing w:after="20" w:before="80"/>
      </w:pPr>
      <w:r>
        <w:rPr>
          <w:b/>
          <w:i w:val="0"/>
          <w:sz w:val="20"/>
        </w:rPr>
        <w:t>University of California, Berkeley</w:t>
      </w:r>
      <w:r>
        <w:rPr>
          <w:b w:val="0"/>
          <w:i w:val="0"/>
          <w:sz w:val="20"/>
        </w:rPr>
        <w:t xml:space="preserve"> — Berkeley, CA</w:t>
      </w:r>
      <w:r>
        <w:rPr>
          <w:b w:val="0"/>
          <w:i w:val="0"/>
          <w:sz w:val="20"/>
        </w:rPr>
        <w:tab/>
      </w:r>
      <w:r>
        <w:rPr>
          <w:b w:val="0"/>
          <w:i/>
          <w:sz w:val="20"/>
        </w:rPr>
        <w:t>May 2026</w:t>
      </w:r>
    </w:p>
    <w:p>
      <w:pPr>
        <w:spacing w:after="20" w:before="0"/>
      </w:pPr>
      <w:r>
        <w:rPr>
          <w:b w:val="0"/>
          <w:i w:val="0"/>
          <w:sz w:val="20"/>
        </w:rPr>
        <w:t>Master of Real Estate Development + Design (MRED+D)</w:t>
      </w:r>
    </w:p>
    <w:p>
      <w:pPr>
        <w:tabs>
          <w:tab w:pos="10080" w:val="right"/>
        </w:tabs>
        <w:spacing w:after="20" w:before="80"/>
      </w:pPr>
      <w:r>
        <w:rPr>
          <w:b/>
          <w:i w:val="0"/>
          <w:sz w:val="20"/>
        </w:rPr>
        <w:t>Chulalongkorn University</w:t>
      </w:r>
      <w:r>
        <w:rPr>
          <w:b w:val="0"/>
          <w:i w:val="0"/>
          <w:sz w:val="20"/>
        </w:rPr>
        <w:t xml:space="preserve"> — Bangkok, Thailand</w:t>
      </w:r>
      <w:r>
        <w:rPr>
          <w:b w:val="0"/>
          <w:i w:val="0"/>
          <w:sz w:val="20"/>
        </w:rPr>
        <w:tab/>
      </w:r>
      <w:r>
        <w:rPr>
          <w:b w:val="0"/>
          <w:i/>
          <w:sz w:val="20"/>
        </w:rPr>
        <w:t>June 2023</w:t>
      </w:r>
    </w:p>
    <w:p>
      <w:pPr>
        <w:spacing w:after="20" w:before="0"/>
      </w:pPr>
      <w:r>
        <w:rPr>
          <w:b w:val="0"/>
          <w:i w:val="0"/>
          <w:sz w:val="20"/>
        </w:rPr>
        <w:t>B.S. Architectural Design (INDA), Second Class Honors, GPA 3.54/4.00</w:t>
      </w:r>
    </w:p>
    <w:p>
      <w:pPr>
        <w:spacing w:after="20" w:before="0"/>
      </w:pPr>
      <w:r>
        <w:rPr>
          <w:b w:val="0"/>
          <w:i w:val="0"/>
          <w:sz w:val="19"/>
        </w:rPr>
        <w:t>Exchange: École Nationale Supérieure d’Architecture de Versailles, France — GPA 4.00/4.00, 2022–2023</w:t>
      </w:r>
    </w:p>
    <w:p>
      <w:pPr>
        <w:keepNext/>
        <w:pBdr>
          <w:bottom w:val="single" w:sz="6" w:space="1" w:color="1F3A5F"/>
        </w:pBdr>
        <w:spacing w:after="40" w:before="180"/>
      </w:pPr>
      <w:r>
        <w:rPr>
          <w:b/>
          <w:i w:val="0"/>
          <w:caps/>
          <w:color w:val="1F3A5F"/>
          <w:sz w:val="21"/>
        </w:rPr>
        <w:t>Professional Experience</w:t>
      </w:r>
    </w:p>
    <w:p>
      <w:pPr>
        <w:tabs>
          <w:tab w:pos="10080" w:val="right"/>
        </w:tabs>
        <w:spacing w:after="20" w:before="80"/>
      </w:pPr>
      <w:r>
        <w:rPr>
          <w:b/>
          <w:i w:val="0"/>
          <w:sz w:val="20"/>
        </w:rPr>
        <w:t>Arcus Housing</w:t>
      </w:r>
      <w:r>
        <w:rPr>
          <w:b w:val="0"/>
          <w:i w:val="0"/>
          <w:sz w:val="20"/>
        </w:rPr>
        <w:t xml:space="preserve"> — San Francisco, CA</w:t>
      </w:r>
      <w:r>
        <w:rPr>
          <w:b w:val="0"/>
          <w:i w:val="0"/>
          <w:sz w:val="20"/>
        </w:rPr>
        <w:tab/>
      </w:r>
      <w:r>
        <w:rPr>
          <w:b w:val="0"/>
          <w:i/>
          <w:sz w:val="20"/>
        </w:rPr>
        <w:t>July – October 2026</w:t>
      </w:r>
    </w:p>
    <w:p>
      <w:pPr>
        <w:spacing w:after="40" w:before="0"/>
      </w:pPr>
      <w:r>
        <w:rPr>
          <w:b w:val="0"/>
          <w:i/>
          <w:sz w:val="20"/>
        </w:rPr>
        <w:t>Project Manager Intern</w:t>
      </w:r>
    </w:p>
    <w:p>
      <w:pPr>
        <w:pStyle w:val="ListBullet"/>
        <w:spacing w:after="30" w:before="0"/>
        <w:ind w:left="259" w:hanging="202"/>
      </w:pPr>
      <w:r>
        <w:rPr>
          <w:b w:val="0"/>
          <w:i w:val="0"/>
          <w:sz w:val="20"/>
        </w:rPr>
        <w:t>Run procurement for two active San Francisco construction projects — vendor sourcing, bid comparison, and tracking material and subcontractor commitments against budget.</w:t>
      </w:r>
    </w:p>
    <w:p>
      <w:pPr>
        <w:pStyle w:val="ListBullet"/>
        <w:spacing w:after="30" w:before="0"/>
        <w:ind w:left="259" w:hanging="202"/>
      </w:pPr>
      <w:r>
        <w:rPr>
          <w:b w:val="0"/>
          <w:i w:val="0"/>
          <w:sz w:val="20"/>
        </w:rPr>
        <w:t>Handle procurement and vendor coordination for the firm’s San Francisco rental portfolio.</w:t>
      </w:r>
    </w:p>
    <w:p>
      <w:pPr>
        <w:tabs>
          <w:tab w:pos="10080" w:val="right"/>
        </w:tabs>
        <w:spacing w:after="20" w:before="80"/>
      </w:pPr>
      <w:r>
        <w:rPr>
          <w:b/>
          <w:i w:val="0"/>
          <w:sz w:val="20"/>
        </w:rPr>
        <w:t>The Client Project Co., Ltd.</w:t>
      </w:r>
      <w:r>
        <w:rPr>
          <w:b w:val="0"/>
          <w:i w:val="0"/>
          <w:sz w:val="20"/>
        </w:rPr>
        <w:t xml:space="preserve"> — Bangkok, Thailand</w:t>
      </w:r>
      <w:r>
        <w:rPr>
          <w:b w:val="0"/>
          <w:i w:val="0"/>
          <w:sz w:val="20"/>
        </w:rPr>
        <w:tab/>
      </w:r>
      <w:r>
        <w:rPr>
          <w:b w:val="0"/>
          <w:i/>
          <w:sz w:val="20"/>
        </w:rPr>
        <w:t>June 2023 – June 2025</w:t>
      </w:r>
    </w:p>
    <w:p>
      <w:pPr>
        <w:spacing w:after="40" w:before="0"/>
      </w:pPr>
      <w:r>
        <w:rPr>
          <w:b w:val="0"/>
          <w:i/>
          <w:sz w:val="20"/>
        </w:rPr>
        <w:t>Real Estate Developer &amp; Project Manager</w:t>
      </w:r>
    </w:p>
    <w:p>
      <w:pPr>
        <w:pStyle w:val="ListBullet"/>
        <w:spacing w:after="30" w:before="0"/>
        <w:ind w:left="259" w:hanging="202"/>
      </w:pPr>
      <w:r>
        <w:rPr>
          <w:b w:val="0"/>
          <w:i w:val="0"/>
          <w:sz w:val="20"/>
        </w:rPr>
        <w:t>Underwrote a 6-acre mixed-use urban revitalization project (Ratchada 19): cash-flow models projecting a 12% IRR against an 8–10% benchmark, and value-add strategies worth $132M in incremental asset value.</w:t>
      </w:r>
    </w:p>
    <w:p>
      <w:pPr>
        <w:pStyle w:val="ListBullet"/>
        <w:spacing w:after="30" w:before="0"/>
        <w:ind w:left="259" w:hanging="202"/>
      </w:pPr>
      <w:r>
        <w:rPr>
          <w:b w:val="0"/>
          <w:i w:val="0"/>
          <w:sz w:val="20"/>
        </w:rPr>
        <w:t>Led master planning and delivery of a 20-acre mixed-use equestrian, K9, and gymnastics complex in Minburi, coordinating architects and contractors against budget and schedule.</w:t>
      </w:r>
    </w:p>
    <w:p>
      <w:pPr>
        <w:pStyle w:val="ListBullet"/>
        <w:spacing w:after="30" w:before="0"/>
        <w:ind w:left="259" w:hanging="202"/>
      </w:pPr>
      <w:r>
        <w:rPr>
          <w:b w:val="0"/>
          <w:i w:val="0"/>
          <w:sz w:val="20"/>
        </w:rPr>
        <w:t>Built the portfolio strategy and design-standard framework for Ally Village, scaling one community-mall concept across 8 Bangkok assets on a $320K program budget.</w:t>
      </w:r>
    </w:p>
    <w:p>
      <w:pPr>
        <w:pStyle w:val="ListBullet"/>
        <w:spacing w:after="30" w:before="0"/>
        <w:ind w:left="259" w:hanging="202"/>
      </w:pPr>
      <w:r>
        <w:rPr>
          <w:b w:val="0"/>
          <w:i w:val="0"/>
          <w:sz w:val="20"/>
        </w:rPr>
        <w:t>Ran market feasibility and demographic analysis for an “Affordable Wellness” mixed-use concept, expanding the firm’s addressable market 3x and launching a new product line.</w:t>
      </w:r>
    </w:p>
    <w:p>
      <w:pPr>
        <w:keepNext/>
        <w:pBdr>
          <w:bottom w:val="single" w:sz="6" w:space="1" w:color="1F3A5F"/>
        </w:pBdr>
        <w:spacing w:after="40" w:before="180"/>
      </w:pPr>
      <w:r>
        <w:rPr>
          <w:b/>
          <w:i w:val="0"/>
          <w:caps/>
          <w:color w:val="1F3A5F"/>
          <w:sz w:val="21"/>
        </w:rPr>
        <w:t>Real Estate Projects</w:t>
      </w:r>
    </w:p>
    <w:p>
      <w:pPr>
        <w:tabs>
          <w:tab w:pos="10080" w:val="right"/>
        </w:tabs>
        <w:spacing w:after="20" w:before="80"/>
      </w:pPr>
      <w:r>
        <w:rPr>
          <w:b/>
          <w:i w:val="0"/>
          <w:sz w:val="20"/>
        </w:rPr>
        <w:t>UC Berkeley Capstone &amp; Development Studio</w:t>
      </w:r>
      <w:r>
        <w:rPr>
          <w:b w:val="0"/>
          <w:i w:val="0"/>
          <w:sz w:val="20"/>
        </w:rPr>
        <w:t xml:space="preserve"> — 15 Marina Blvd and Seawall 321, San Francisco, CA</w:t>
      </w:r>
      <w:r>
        <w:rPr>
          <w:b w:val="0"/>
          <w:i w:val="0"/>
          <w:sz w:val="20"/>
        </w:rPr>
        <w:tab/>
      </w:r>
      <w:r>
        <w:rPr>
          <w:b w:val="0"/>
          <w:i/>
          <w:sz w:val="20"/>
        </w:rPr>
        <w:t>Feb – May 2026</w:t>
      </w:r>
    </w:p>
    <w:p>
      <w:pPr>
        <w:pStyle w:val="ListBullet"/>
        <w:spacing w:after="30" w:before="0"/>
        <w:ind w:left="259" w:hanging="202"/>
      </w:pPr>
      <w:r>
        <w:rPr>
          <w:b w:val="0"/>
          <w:i w:val="0"/>
          <w:sz w:val="20"/>
        </w:rPr>
        <w:t>Ran feasibility, zoning, and density-bonus analysis on a 2.6-acre Safeway site, using state streamlining rather than a discretionary rezoning to hold a compliant 8-story midrise.</w:t>
      </w:r>
    </w:p>
    <w:p>
      <w:pPr>
        <w:pStyle w:val="ListBullet"/>
        <w:spacing w:after="30" w:before="0"/>
        <w:ind w:left="259" w:hanging="202"/>
      </w:pPr>
      <w:r>
        <w:rPr>
          <w:b w:val="0"/>
          <w:i w:val="0"/>
          <w:sz w:val="20"/>
        </w:rPr>
        <w:t>Underwrote development strategies on return on cost, cap rate, and yield-on-cost.</w:t>
      </w:r>
    </w:p>
    <w:p>
      <w:pPr>
        <w:tabs>
          <w:tab w:pos="10080" w:val="right"/>
        </w:tabs>
        <w:spacing w:after="20" w:before="80"/>
      </w:pPr>
      <w:r>
        <w:rPr>
          <w:b/>
          <w:i w:val="0"/>
          <w:sz w:val="20"/>
        </w:rPr>
        <w:t>ULI Hines Student Urban Design Competition</w:t>
      </w:r>
      <w:r>
        <w:rPr>
          <w:b w:val="0"/>
          <w:i w:val="0"/>
          <w:sz w:val="20"/>
        </w:rPr>
        <w:t xml:space="preserve"> — “The Hearth,” Austin, TX</w:t>
      </w:r>
      <w:r>
        <w:rPr>
          <w:b w:val="0"/>
          <w:i w:val="0"/>
          <w:sz w:val="20"/>
        </w:rPr>
        <w:tab/>
      </w:r>
      <w:r>
        <w:rPr>
          <w:b w:val="0"/>
          <w:i/>
          <w:sz w:val="20"/>
        </w:rPr>
        <w:t>January 2026</w:t>
      </w:r>
    </w:p>
    <w:p>
      <w:pPr>
        <w:pStyle w:val="ListBullet"/>
        <w:spacing w:after="30" w:before="0"/>
        <w:ind w:left="259" w:hanging="202"/>
      </w:pPr>
      <w:r>
        <w:rPr>
          <w:b w:val="0"/>
          <w:i w:val="0"/>
          <w:sz w:val="20"/>
        </w:rPr>
        <w:t>Directed strategy and underwriting for a 3-phase, 332,805 SF mixed-use project ($680M TDV), projecting a 26.45% levered IRR and 1.92x equity multiple.</w:t>
      </w:r>
    </w:p>
    <w:p>
      <w:pPr>
        <w:pStyle w:val="ListBullet"/>
        <w:spacing w:after="30" w:before="0"/>
        <w:ind w:left="259" w:hanging="202"/>
      </w:pPr>
      <w:r>
        <w:rPr>
          <w:b w:val="0"/>
          <w:i w:val="0"/>
          <w:sz w:val="20"/>
        </w:rPr>
        <w:t>Sized a 369-unit program (56% affordable) plus a med-tech incubator, and built the investment thesis pitched to judges.</w:t>
      </w:r>
    </w:p>
    <w:p>
      <w:pPr>
        <w:tabs>
          <w:tab w:pos="10080" w:val="right"/>
        </w:tabs>
        <w:spacing w:after="20" w:before="80"/>
      </w:pPr>
      <w:r>
        <w:rPr>
          <w:b/>
          <w:i w:val="0"/>
          <w:sz w:val="20"/>
        </w:rPr>
        <w:t>Hack-A-House Competition</w:t>
      </w:r>
      <w:r>
        <w:rPr>
          <w:b w:val="0"/>
          <w:i w:val="0"/>
          <w:sz w:val="20"/>
        </w:rPr>
        <w:t xml:space="preserve"> — “Stack-A-House,” mass-timber ADUs</w:t>
      </w:r>
      <w:r>
        <w:rPr>
          <w:b w:val="0"/>
          <w:i w:val="0"/>
          <w:sz w:val="20"/>
        </w:rPr>
        <w:tab/>
      </w:r>
      <w:r>
        <w:rPr>
          <w:b w:val="0"/>
          <w:i/>
          <w:sz w:val="20"/>
        </w:rPr>
        <w:t>September 2025</w:t>
      </w:r>
    </w:p>
    <w:p>
      <w:pPr>
        <w:pStyle w:val="ListBullet"/>
        <w:spacing w:after="30" w:before="0"/>
        <w:ind w:left="259" w:hanging="202"/>
      </w:pPr>
      <w:r>
        <w:rPr>
          <w:b w:val="0"/>
          <w:i w:val="0"/>
          <w:sz w:val="20"/>
        </w:rPr>
        <w:t>Co-led product strategy and feasibility for a scalable mass-timber ADU in supply-constrained markets: 10–25% cost savings, 3–6 months faster than conventional delivery.</w:t>
      </w:r>
    </w:p>
    <w:p>
      <w:pPr>
        <w:tabs>
          <w:tab w:pos="10080" w:val="right"/>
        </w:tabs>
        <w:spacing w:after="20" w:before="80"/>
      </w:pPr>
      <w:r>
        <w:rPr>
          <w:b/>
          <w:i w:val="0"/>
          <w:sz w:val="20"/>
        </w:rPr>
        <w:t>Bangkok Land Watch</w:t>
      </w:r>
      <w:r>
        <w:rPr>
          <w:b w:val="0"/>
          <w:i w:val="0"/>
          <w:sz w:val="20"/>
        </w:rPr>
        <w:t xml:space="preserve"> — independent acquisition pipeline</w:t>
      </w:r>
      <w:r>
        <w:rPr>
          <w:b w:val="0"/>
          <w:i w:val="0"/>
          <w:sz w:val="20"/>
        </w:rPr>
        <w:tab/>
      </w:r>
      <w:r>
        <w:rPr>
          <w:b w:val="0"/>
          <w:i/>
          <w:sz w:val="20"/>
        </w:rPr>
        <w:t>2026 – Present</w:t>
      </w:r>
    </w:p>
    <w:p>
      <w:pPr>
        <w:pStyle w:val="ListBullet"/>
        <w:spacing w:after="30" w:before="0"/>
        <w:ind w:left="259" w:hanging="202"/>
      </w:pPr>
      <w:r>
        <w:rPr>
          <w:b w:val="0"/>
          <w:i w:val="0"/>
          <w:sz w:val="20"/>
        </w:rPr>
        <w:t>Maintain a live screening tool for 18 Bangkok land parcels — price per sq.wah, parcel geometry, transit access, catchment spending power — plus an investor brief on four corridor strategies.</w:t>
      </w:r>
    </w:p>
    <w:p>
      <w:pPr>
        <w:keepNext/>
        <w:pBdr>
          <w:bottom w:val="single" w:sz="6" w:space="1" w:color="1F3A5F"/>
        </w:pBdr>
        <w:spacing w:after="40" w:before="180"/>
      </w:pPr>
      <w:r>
        <w:rPr>
          <w:b/>
          <w:i w:val="0"/>
          <w:caps/>
          <w:color w:val="1F3A5F"/>
          <w:sz w:val="21"/>
        </w:rPr>
        <w:t>Achievements &amp; Community</w:t>
      </w:r>
    </w:p>
    <w:p>
      <w:pPr>
        <w:pStyle w:val="ListBullet"/>
        <w:spacing w:after="30" w:before="0"/>
        <w:ind w:left="259" w:hanging="202"/>
      </w:pPr>
      <w:r>
        <w:rPr>
          <w:b/>
          <w:i w:val="0"/>
          <w:sz w:val="20"/>
        </w:rPr>
        <w:t>Winner, Horizontal Development</w:t>
      </w:r>
      <w:r>
        <w:rPr>
          <w:b w:val="0"/>
          <w:i w:val="0"/>
          <w:sz w:val="20"/>
        </w:rPr>
        <w:t xml:space="preserve"> — RE-CU Junior: Start-Up in Real Estate, Bangkok (2023)</w:t>
      </w:r>
    </w:p>
    <w:p>
      <w:pPr>
        <w:pStyle w:val="ListBullet"/>
        <w:spacing w:after="30" w:before="0"/>
        <w:ind w:left="259" w:hanging="202"/>
      </w:pPr>
      <w:r>
        <w:rPr>
          <w:b/>
          <w:i w:val="0"/>
          <w:sz w:val="20"/>
        </w:rPr>
        <w:t>Volunteer</w:t>
      </w:r>
      <w:r>
        <w:rPr>
          <w:b w:val="0"/>
          <w:i w:val="0"/>
          <w:sz w:val="20"/>
        </w:rPr>
        <w:t>, Habitat for Humanity East Bay/Silicon Valley — 10 homes, Sequoia Grove (2025)</w:t>
      </w:r>
    </w:p>
    <w:p>
      <w:pPr>
        <w:keepNext/>
        <w:pBdr>
          <w:bottom w:val="single" w:sz="6" w:space="1" w:color="1F3A5F"/>
        </w:pBdr>
        <w:spacing w:after="40" w:before="180"/>
      </w:pPr>
      <w:r>
        <w:rPr>
          <w:b/>
          <w:i w:val="0"/>
          <w:caps/>
          <w:color w:val="1F3A5F"/>
          <w:sz w:val="21"/>
        </w:rPr>
        <w:t>Skills</w:t>
      </w:r>
    </w:p>
    <w:p>
      <w:pPr>
        <w:spacing w:after="20" w:before="0"/>
      </w:pPr>
      <w:r>
        <w:rPr>
          <w:b/>
          <w:i w:val="0"/>
          <w:sz w:val="20"/>
        </w:rPr>
        <w:t xml:space="preserve">Development &amp; Finance: </w:t>
      </w:r>
      <w:r>
        <w:rPr>
          <w:b w:val="0"/>
          <w:i w:val="0"/>
          <w:sz w:val="20"/>
        </w:rPr>
        <w:t>cash-flow modeling, underwriting, highest-and-best-use analysis, market feasibility, due diligence, entitlement and zoning strategy, density bonus, procurement</w:t>
      </w:r>
    </w:p>
    <w:p>
      <w:pPr>
        <w:spacing w:after="20" w:before="0"/>
      </w:pPr>
      <w:r>
        <w:rPr>
          <w:b/>
          <w:i w:val="0"/>
          <w:sz w:val="20"/>
        </w:rPr>
        <w:t xml:space="preserve">Software: </w:t>
      </w:r>
      <w:r>
        <w:rPr>
          <w:b w:val="0"/>
          <w:i w:val="0"/>
          <w:sz w:val="20"/>
        </w:rPr>
        <w:t>Advanced Excel, Argus Enterprise, CoStar, ESRI ArcGIS, U.S. Census/ACS, Rhinoceros 3D, Grasshopper, Adobe Creative Suite, Blender</w:t>
      </w:r>
    </w:p>
    <w:p>
      <w:pPr>
        <w:spacing w:after="20" w:before="0"/>
      </w:pPr>
      <w:r>
        <w:rPr>
          <w:b/>
          <w:i w:val="0"/>
          <w:sz w:val="20"/>
        </w:rPr>
        <w:t xml:space="preserve">Languages: </w:t>
      </w:r>
      <w:r>
        <w:rPr>
          <w:b w:val="0"/>
          <w:i w:val="0"/>
          <w:sz w:val="20"/>
        </w:rPr>
        <w:t>Thai (native), English (fluent), Chinese (basic)</w:t>
      </w:r>
    </w:p>
    <w:sectPr w:rsidR="00FC693F" w:rsidRPr="0006063C" w:rsidSect="00034616">
      <w:pgSz w:w="12240" w:h="15840"/>
      <w:pgMar w:top="720" w:right="1080" w:bottom="72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