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color w:val="1F3A5F"/>
          <w:sz w:val="38"/>
        </w:rPr>
        <w:t>SUDHINEE “BIRDIE” TRIDHIP</w:t>
      </w:r>
    </w:p>
    <w:p>
      <w:pPr>
        <w:spacing w:after="100" w:before="0"/>
        <w:jc w:val="center"/>
      </w:pPr>
      <w:r>
        <w:rPr>
          <w:b w:val="0"/>
          <w:i w:val="0"/>
          <w:sz w:val="18"/>
        </w:rPr>
        <w:t>Berkeley, CA  ·  +1 (510) 207-4817  ·  sudhinee.tri@berkeley.edu  ·  linkedin.com/in/sudhinee-tridhip</w:t>
      </w:r>
    </w:p>
    <w:p>
      <w:pPr>
        <w:spacing w:after="20" w:before="0"/>
      </w:pPr>
      <w:r>
        <w:rPr>
          <w:b w:val="0"/>
          <w:i w:val="0"/>
          <w:sz w:val="19"/>
        </w:rPr>
        <w:t>Architecture-trained developer with two years of end-to-end development experience in Bangkok and a UC Berkeley MRED+D completed May 2026. Underwrites mixed-use and residential deals from raw land through entitlement and delivery. Seeking a Development or Acquisitions Analyst role in California; authorized to work in the U.S. for up to three years under F-1 STEM OPT.</w:t>
      </w:r>
    </w:p>
    <w:p>
      <w:pPr>
        <w:keepNext/>
        <w:pBdr>
          <w:bottom w:val="single" w:sz="6" w:space="1" w:color="1F3A5F"/>
        </w:pBdr>
        <w:spacing w:after="40" w:before="180"/>
      </w:pPr>
      <w:r>
        <w:rPr>
          <w:b/>
          <w:i w:val="0"/>
          <w:caps/>
          <w:color w:val="1F3A5F"/>
          <w:sz w:val="21"/>
        </w:rPr>
        <w:t>Education</w:t>
      </w:r>
    </w:p>
    <w:p>
      <w:pPr>
        <w:tabs>
          <w:tab w:pos="10080" w:val="right"/>
        </w:tabs>
        <w:spacing w:after="20" w:before="80"/>
      </w:pPr>
      <w:r>
        <w:rPr>
          <w:b/>
          <w:i w:val="0"/>
          <w:sz w:val="20"/>
        </w:rPr>
        <w:t>University of California, Berkeley</w:t>
      </w:r>
      <w:r>
        <w:rPr>
          <w:b w:val="0"/>
          <w:i w:val="0"/>
          <w:sz w:val="20"/>
        </w:rPr>
        <w:t xml:space="preserve"> — Berkeley, CA</w:t>
      </w:r>
      <w:r>
        <w:rPr>
          <w:b w:val="0"/>
          <w:i w:val="0"/>
          <w:sz w:val="20"/>
        </w:rPr>
        <w:tab/>
      </w:r>
      <w:r>
        <w:rPr>
          <w:b w:val="0"/>
          <w:i/>
          <w:sz w:val="20"/>
        </w:rPr>
        <w:t>May 2026</w:t>
      </w:r>
    </w:p>
    <w:p>
      <w:pPr>
        <w:spacing w:after="20" w:before="0"/>
      </w:pPr>
      <w:r>
        <w:rPr>
          <w:b w:val="0"/>
          <w:i w:val="0"/>
          <w:sz w:val="20"/>
        </w:rPr>
        <w:t>Master of Real Estate Development + Design (MRED+D)</w:t>
      </w:r>
    </w:p>
    <w:p>
      <w:pPr>
        <w:tabs>
          <w:tab w:pos="10080" w:val="right"/>
        </w:tabs>
        <w:spacing w:after="20" w:before="80"/>
      </w:pPr>
      <w:r>
        <w:rPr>
          <w:b/>
          <w:i w:val="0"/>
          <w:sz w:val="20"/>
        </w:rPr>
        <w:t>Chulalongkorn University</w:t>
      </w:r>
      <w:r>
        <w:rPr>
          <w:b w:val="0"/>
          <w:i w:val="0"/>
          <w:sz w:val="20"/>
        </w:rPr>
        <w:t xml:space="preserve"> — Bangkok, Thailand</w:t>
      </w:r>
      <w:r>
        <w:rPr>
          <w:b w:val="0"/>
          <w:i w:val="0"/>
          <w:sz w:val="20"/>
        </w:rPr>
        <w:tab/>
      </w:r>
      <w:r>
        <w:rPr>
          <w:b w:val="0"/>
          <w:i/>
          <w:sz w:val="20"/>
        </w:rPr>
        <w:t>June 2023</w:t>
      </w:r>
    </w:p>
    <w:p>
      <w:pPr>
        <w:spacing w:after="20" w:before="0"/>
      </w:pPr>
      <w:r>
        <w:rPr>
          <w:b w:val="0"/>
          <w:i w:val="0"/>
          <w:sz w:val="20"/>
        </w:rPr>
        <w:t>B.S. Architectural Design (INDA), Second Class Honors, GPA 3.54/4.00</w:t>
      </w:r>
    </w:p>
    <w:p>
      <w:pPr>
        <w:spacing w:after="20" w:before="0"/>
      </w:pPr>
      <w:r>
        <w:rPr>
          <w:b w:val="0"/>
          <w:i w:val="0"/>
          <w:sz w:val="19"/>
        </w:rPr>
        <w:t>Exchange: École Nationale Supérieure d’Architecture de Versailles, France — GPA 4.00/4.00, 2022–2023</w:t>
      </w:r>
    </w:p>
    <w:p>
      <w:pPr>
        <w:keepNext/>
        <w:pBdr>
          <w:bottom w:val="single" w:sz="6" w:space="1" w:color="1F3A5F"/>
        </w:pBdr>
        <w:spacing w:after="40" w:before="180"/>
      </w:pPr>
      <w:r>
        <w:rPr>
          <w:b/>
          <w:i w:val="0"/>
          <w:caps/>
          <w:color w:val="1F3A5F"/>
          <w:sz w:val="21"/>
        </w:rPr>
        <w:t>Professional Experience</w:t>
      </w:r>
    </w:p>
    <w:p>
      <w:pPr>
        <w:tabs>
          <w:tab w:pos="10080" w:val="right"/>
        </w:tabs>
        <w:spacing w:after="20" w:before="80"/>
      </w:pPr>
      <w:r>
        <w:rPr>
          <w:b/>
          <w:i w:val="0"/>
          <w:sz w:val="20"/>
        </w:rPr>
        <w:t>The Client Project Co., Ltd.</w:t>
      </w:r>
      <w:r>
        <w:rPr>
          <w:b w:val="0"/>
          <w:i w:val="0"/>
          <w:sz w:val="20"/>
        </w:rPr>
        <w:t xml:space="preserve"> — Bangkok, Thailand</w:t>
      </w:r>
      <w:r>
        <w:rPr>
          <w:b w:val="0"/>
          <w:i w:val="0"/>
          <w:sz w:val="20"/>
        </w:rPr>
        <w:tab/>
      </w:r>
      <w:r>
        <w:rPr>
          <w:b w:val="0"/>
          <w:i/>
          <w:sz w:val="20"/>
        </w:rPr>
        <w:t>June 2023 – June 2025</w:t>
      </w:r>
    </w:p>
    <w:p>
      <w:pPr>
        <w:spacing w:after="40" w:before="0"/>
      </w:pPr>
      <w:r>
        <w:rPr>
          <w:b w:val="0"/>
          <w:i/>
          <w:sz w:val="20"/>
        </w:rPr>
        <w:t>Real Estate Developer &amp; Project Manager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Underwrote a 6-acre mixed-use urban revitalization project (Ratchada 19): cash-flow models projecting a 12% IRR against an 8–10% benchmark, and value-add strategies worth $132M in incremental asset value.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Led master planning and delivery of a 20-acre mixed-use equestrian, K9, and gymnastics complex in Minburi, coordinating architects and contractors against budget and schedule.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Built the portfolio strategy and design-standard framework for Ally Village, scaling one community-mall concept across 8 Bangkok assets on a $320K program budget.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Ran market feasibility and demographic analysis for an “Affordable Wellness” mixed-use concept, expanding the firm’s addressable market 3x and launching a new product line.</w:t>
      </w:r>
    </w:p>
    <w:p>
      <w:pPr>
        <w:tabs>
          <w:tab w:pos="10080" w:val="right"/>
        </w:tabs>
        <w:spacing w:after="20" w:before="80"/>
      </w:pPr>
      <w:r>
        <w:rPr>
          <w:b/>
          <w:i w:val="0"/>
          <w:sz w:val="20"/>
        </w:rPr>
        <w:t>Superdry (Thailand) Co., Ltd.</w:t>
      </w:r>
      <w:r>
        <w:rPr>
          <w:b w:val="0"/>
          <w:i w:val="0"/>
          <w:sz w:val="20"/>
        </w:rPr>
        <w:t xml:space="preserve"> — Bangkok, Thailand</w:t>
      </w:r>
      <w:r>
        <w:rPr>
          <w:b w:val="0"/>
          <w:i w:val="0"/>
          <w:sz w:val="20"/>
        </w:rPr>
        <w:tab/>
      </w:r>
      <w:r>
        <w:rPr>
          <w:b w:val="0"/>
          <w:i/>
          <w:sz w:val="20"/>
        </w:rPr>
        <w:t>July – December 2023</w:t>
      </w:r>
    </w:p>
    <w:p>
      <w:pPr>
        <w:spacing w:after="40" w:before="0"/>
      </w:pPr>
      <w:r>
        <w:rPr>
          <w:b w:val="0"/>
          <w:i/>
          <w:sz w:val="20"/>
        </w:rPr>
        <w:t>Graphic Designer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High-volume campaign artwork across social, digital, and pop-up retail; +32% online engagement.</w:t>
      </w:r>
    </w:p>
    <w:p>
      <w:pPr>
        <w:keepNext/>
        <w:pBdr>
          <w:bottom w:val="single" w:sz="6" w:space="1" w:color="1F3A5F"/>
        </w:pBdr>
        <w:spacing w:after="40" w:before="180"/>
      </w:pPr>
      <w:r>
        <w:rPr>
          <w:b/>
          <w:i w:val="0"/>
          <w:caps/>
          <w:color w:val="1F3A5F"/>
          <w:sz w:val="21"/>
        </w:rPr>
        <w:t>Real Estate Projects</w:t>
      </w:r>
    </w:p>
    <w:p>
      <w:pPr>
        <w:tabs>
          <w:tab w:pos="10080" w:val="right"/>
        </w:tabs>
        <w:spacing w:after="20" w:before="80"/>
      </w:pPr>
      <w:r>
        <w:rPr>
          <w:b/>
          <w:i w:val="0"/>
          <w:sz w:val="20"/>
        </w:rPr>
        <w:t>UC Berkeley Capstone &amp; Development Studio</w:t>
      </w:r>
      <w:r>
        <w:rPr>
          <w:b w:val="0"/>
          <w:i w:val="0"/>
          <w:sz w:val="20"/>
        </w:rPr>
        <w:t xml:space="preserve"> — 15 Marina Blvd and Seawall 321, San Francisco, CA</w:t>
      </w:r>
      <w:r>
        <w:rPr>
          <w:b w:val="0"/>
          <w:i w:val="0"/>
          <w:sz w:val="20"/>
        </w:rPr>
        <w:tab/>
      </w:r>
      <w:r>
        <w:rPr>
          <w:b w:val="0"/>
          <w:i/>
          <w:sz w:val="20"/>
        </w:rPr>
        <w:t>Feb – May 2026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Ran feasibility, zoning, and density-bonus analysis on a 2.6-acre Safeway site, using state streamlining rather than a discretionary rezoning to hold a compliant 8-story midrise and remove years of entitlement risk.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Underwrote development strategies on return on cost, cap rate, and yield-on-cost.</w:t>
      </w:r>
    </w:p>
    <w:p>
      <w:pPr>
        <w:tabs>
          <w:tab w:pos="10080" w:val="right"/>
        </w:tabs>
        <w:spacing w:after="20" w:before="80"/>
      </w:pPr>
      <w:r>
        <w:rPr>
          <w:b/>
          <w:i w:val="0"/>
          <w:sz w:val="20"/>
        </w:rPr>
        <w:t>ULI Hines Student Urban Design Competition</w:t>
      </w:r>
      <w:r>
        <w:rPr>
          <w:b w:val="0"/>
          <w:i w:val="0"/>
          <w:sz w:val="20"/>
        </w:rPr>
        <w:t xml:space="preserve"> — “The Hearth,” Austin, TX</w:t>
      </w:r>
      <w:r>
        <w:rPr>
          <w:b w:val="0"/>
          <w:i w:val="0"/>
          <w:sz w:val="20"/>
        </w:rPr>
        <w:tab/>
      </w:r>
      <w:r>
        <w:rPr>
          <w:b w:val="0"/>
          <w:i/>
          <w:sz w:val="20"/>
        </w:rPr>
        <w:t>January 2026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Directed development strategy and underwriting for a 3-phase, 332,805 SF mixed-use project with $680M total development value, projecting a 26.45% levered IRR and 1.92x equity multiple.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Sized a 369-unit program (56% affordable) plus a med-tech incubator, and built the investment thesis pitched to judges.</w:t>
      </w:r>
    </w:p>
    <w:p>
      <w:pPr>
        <w:tabs>
          <w:tab w:pos="10080" w:val="right"/>
        </w:tabs>
        <w:spacing w:after="20" w:before="80"/>
      </w:pPr>
      <w:r>
        <w:rPr>
          <w:b/>
          <w:i w:val="0"/>
          <w:sz w:val="20"/>
        </w:rPr>
        <w:t>Hack-A-House Competition</w:t>
      </w:r>
      <w:r>
        <w:rPr>
          <w:b w:val="0"/>
          <w:i w:val="0"/>
          <w:sz w:val="20"/>
        </w:rPr>
        <w:t xml:space="preserve"> — “Stack-A-House,” mass-timber ADUs</w:t>
      </w:r>
      <w:r>
        <w:rPr>
          <w:b w:val="0"/>
          <w:i w:val="0"/>
          <w:sz w:val="20"/>
        </w:rPr>
        <w:tab/>
      </w:r>
      <w:r>
        <w:rPr>
          <w:b w:val="0"/>
          <w:i/>
          <w:sz w:val="20"/>
        </w:rPr>
        <w:t>September 2025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Co-led product strategy and feasibility for a scalable mass-timber ADU in supply-constrained markets: 10–25% cost savings, 3–6 months faster than conventional delivery.</w:t>
      </w:r>
    </w:p>
    <w:p>
      <w:pPr>
        <w:tabs>
          <w:tab w:pos="10080" w:val="right"/>
        </w:tabs>
        <w:spacing w:after="20" w:before="80"/>
      </w:pPr>
      <w:r>
        <w:rPr>
          <w:b/>
          <w:i w:val="0"/>
          <w:sz w:val="20"/>
        </w:rPr>
        <w:t>Bangkok Land Watch</w:t>
      </w:r>
      <w:r>
        <w:rPr>
          <w:b w:val="0"/>
          <w:i w:val="0"/>
          <w:sz w:val="20"/>
        </w:rPr>
        <w:t xml:space="preserve"> — independent acquisition pipeline</w:t>
      </w:r>
      <w:r>
        <w:rPr>
          <w:b w:val="0"/>
          <w:i w:val="0"/>
          <w:sz w:val="20"/>
        </w:rPr>
        <w:tab/>
      </w:r>
      <w:r>
        <w:rPr>
          <w:b w:val="0"/>
          <w:i/>
          <w:sz w:val="20"/>
        </w:rPr>
        <w:t>2026 – Present</w:t>
      </w:r>
    </w:p>
    <w:p>
      <w:pPr>
        <w:pStyle w:val="ListBullet"/>
        <w:spacing w:after="30" w:before="0"/>
        <w:ind w:left="259" w:hanging="202"/>
      </w:pPr>
      <w:r>
        <w:rPr>
          <w:b w:val="0"/>
          <w:i w:val="0"/>
          <w:sz w:val="20"/>
        </w:rPr>
        <w:t>Maintain a live screening tool for 18 Bangkok land parcels — price per sq.wah, parcel geometry from title surveys, transit access, catchment spending power, competing supply — plus an investor brief pricing four corridor strategies.</w:t>
      </w:r>
    </w:p>
    <w:p>
      <w:pPr>
        <w:keepNext/>
        <w:pBdr>
          <w:bottom w:val="single" w:sz="6" w:space="1" w:color="1F3A5F"/>
        </w:pBdr>
        <w:spacing w:after="40" w:before="180"/>
      </w:pPr>
      <w:r>
        <w:rPr>
          <w:b/>
          <w:i w:val="0"/>
          <w:caps/>
          <w:color w:val="1F3A5F"/>
          <w:sz w:val="21"/>
        </w:rPr>
        <w:t>Achievements &amp; Community</w:t>
      </w:r>
    </w:p>
    <w:p>
      <w:pPr>
        <w:pStyle w:val="ListBullet"/>
        <w:spacing w:after="30" w:before="0"/>
        <w:ind w:left="259" w:hanging="202"/>
      </w:pPr>
      <w:r>
        <w:rPr>
          <w:b/>
          <w:i w:val="0"/>
          <w:sz w:val="20"/>
        </w:rPr>
        <w:t>Winner, Horizontal Development</w:t>
      </w:r>
      <w:r>
        <w:rPr>
          <w:b w:val="0"/>
          <w:i w:val="0"/>
          <w:sz w:val="20"/>
        </w:rPr>
        <w:t xml:space="preserve"> — RE-CU Junior: Start-Up in Real Estate, Bangkok (2023)</w:t>
      </w:r>
    </w:p>
    <w:p>
      <w:pPr>
        <w:pStyle w:val="ListBullet"/>
        <w:spacing w:after="30" w:before="0"/>
        <w:ind w:left="259" w:hanging="202"/>
      </w:pPr>
      <w:r>
        <w:rPr>
          <w:b/>
          <w:i w:val="0"/>
          <w:sz w:val="20"/>
        </w:rPr>
        <w:t>Project Manager</w:t>
      </w:r>
      <w:r>
        <w:rPr>
          <w:b w:val="0"/>
          <w:i w:val="0"/>
          <w:sz w:val="20"/>
        </w:rPr>
        <w:t>, Community Creative Playground — built playground for 110 students (2022)</w:t>
      </w:r>
    </w:p>
    <w:p>
      <w:pPr>
        <w:pStyle w:val="ListBullet"/>
        <w:spacing w:after="30" w:before="0"/>
        <w:ind w:left="259" w:hanging="202"/>
      </w:pPr>
      <w:r>
        <w:rPr>
          <w:b/>
          <w:i w:val="0"/>
          <w:sz w:val="20"/>
        </w:rPr>
        <w:t>Volunteer</w:t>
      </w:r>
      <w:r>
        <w:rPr>
          <w:b w:val="0"/>
          <w:i w:val="0"/>
          <w:sz w:val="20"/>
        </w:rPr>
        <w:t>, Habitat for Humanity East Bay/Silicon Valley — 10 homes, Sequoia Grove (2025)</w:t>
      </w:r>
    </w:p>
    <w:p>
      <w:pPr>
        <w:keepNext/>
        <w:pBdr>
          <w:bottom w:val="single" w:sz="6" w:space="1" w:color="1F3A5F"/>
        </w:pBdr>
        <w:spacing w:after="40" w:before="180"/>
      </w:pPr>
      <w:r>
        <w:rPr>
          <w:b/>
          <w:i w:val="0"/>
          <w:caps/>
          <w:color w:val="1F3A5F"/>
          <w:sz w:val="21"/>
        </w:rPr>
        <w:t>Skills</w:t>
      </w:r>
    </w:p>
    <w:p>
      <w:pPr>
        <w:spacing w:after="20" w:before="0"/>
      </w:pPr>
      <w:r>
        <w:rPr>
          <w:b/>
          <w:i w:val="0"/>
          <w:sz w:val="20"/>
        </w:rPr>
        <w:t xml:space="preserve">Development &amp; Finance: </w:t>
      </w:r>
      <w:r>
        <w:rPr>
          <w:b w:val="0"/>
          <w:i w:val="0"/>
          <w:sz w:val="20"/>
        </w:rPr>
        <w:t>cash-flow modeling, underwriting, highest-and-best-use analysis, market feasibility, due diligence, entitlement and zoning strategy, density bonus, leasing strategy, stakeholder management</w:t>
      </w:r>
    </w:p>
    <w:p>
      <w:pPr>
        <w:spacing w:after="20" w:before="0"/>
      </w:pPr>
      <w:r>
        <w:rPr>
          <w:b/>
          <w:i w:val="0"/>
          <w:sz w:val="20"/>
        </w:rPr>
        <w:t xml:space="preserve">Software: </w:t>
      </w:r>
      <w:r>
        <w:rPr>
          <w:b w:val="0"/>
          <w:i w:val="0"/>
          <w:sz w:val="20"/>
        </w:rPr>
        <w:t>Advanced Excel, Argus Enterprise, CoStar, ESRI ArcGIS, U.S. Census/ACS, Rhinoceros 3D, Grasshopper, Adobe Creative Suite, Blender</w:t>
      </w:r>
    </w:p>
    <w:p>
      <w:pPr>
        <w:spacing w:after="20" w:before="0"/>
      </w:pPr>
      <w:r>
        <w:rPr>
          <w:b/>
          <w:i w:val="0"/>
          <w:sz w:val="20"/>
        </w:rPr>
        <w:t xml:space="preserve">Languages: </w:t>
      </w:r>
      <w:r>
        <w:rPr>
          <w:b w:val="0"/>
          <w:i w:val="0"/>
          <w:sz w:val="20"/>
        </w:rPr>
        <w:t>Thai (native), English (fluent), Chinese (basic)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