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47A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Week 34 Epidemiological Bulletin 19th - 25th, August, 2024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</w:t>
            </w:r>
          </w:p>
        </w:tc>
      </w:tr>
    </w:tbl>
    <w:p>
      <w:pPr>
        <w:pStyle w:val="Normal"/>
      </w:pPr>
      <w:r>
        <w:t xml:space="preserve">Executive Summary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FF0000"/>
        </w:rPr>
        <w:t xml:space="preserve">•     Fill in the summary manually</w:t>
      </w:r>
    </w:p>
    <w:p>
      <w:pPr>
        <w:pStyle w:val="Titre2"/>
      </w:pPr>
      <w:r>
        <w:t xml:space="preserve">Immediately Notifiable Diseases and Events</w:t>
      </w:r>
    </w:p>
    <w:p>
      <w:pPr>
        <w:pStyle w:val="Normal"/>
      </w:pPr>
      <w:r>
        <w:t xml:space="preserve">• Afp: 6 suspected cases — Harari(3), Amhara(2), SNNP(1)
• Anthrax: 8 suspected cases — Harari(7), SNNP(1)
• Cholera: 4 suspected cases — Dire Dawa(4)
• Measles: 28 suspected cases — Somali(14), Amhara(7), Afar(3), Oromia(2), SNNP(1), Sidama(1)</w:t>
      </w:r>
    </w:p>
    <w:p>
      <w:pPr>
        <w:pStyle w:val="Titre2"/>
      </w:pPr>
      <w:r>
        <w:t xml:space="preserve">Other Diseases and Events</w:t>
      </w:r>
    </w:p>
    <w:p>
      <w:pPr>
        <w:pStyle w:val="Normal"/>
      </w:pPr>
      <w:r>
        <w:t xml:space="preserve">• Non-bloody Diarrhoea: 35175 suspected cases — Amhara(5419), Harari(5142), Tigray(4568), SNNP(4163), Dire Dawa(3856), Sidama(3828), Oromia(2495), Somali(2289), Afar(1950), Benishangul Gumz(1465)
• Malaria: 144640 suspected cases — Amhara(25239), Dire Dawa(23810), Sidama(23453), Afar(22041), Somali(14352), Tigray(10517), SNNP(10414), Benishangul Gumz(7282), Oromia(4643), Harari(2889)
• Typhoid Fever: 33 suspected cases — Oromia(18), Somali(9), Dire Dawa(4), Tigray(2)
• Monkeypox: no suspected cases reported.
• Plague: no suspected cases reported.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 Report Priority Diseases, Conditions and Events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152"/>
        <w:gridCol w:w="1152"/>
        <w:gridCol w:w="1152"/>
        <w:gridCol w:w="1152"/>
        <w:gridCol w:w="1152"/>
        <w:gridCol w:w="1152"/>
      </w:tblGrid>
      <w:tr>
        <w:trPr>
          <w:trHeight w:val="504" w:hRule="auto"/>
          <w:tblHeader/>
        </w:trPr>
        header1
        <w:tc>
          <w:tcPr>
            <w:tcBorders>
              <w:bottom w:val="single" w:sz="6" w:space="0" w:color="000000"/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Week 1 to 34, Cumulative Total</w:t>
            </w:r>
          </w:p>
        </w:tc>
      </w:tr>
      <w:tr>
        <w:trPr>
          <w:trHeight w:val="504" w:hRule="auto"/>
          <w:tblHeader/>
        </w:trPr>
        header2
        <w:tc>
          <w:tcPr>
            <w:tcBorders>
              <w:bottom w:val="single" w:sz="12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suspected.x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tested.x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confirmed.x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suspected.y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tested.y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00B0F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confirmed.y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6" w:space="0" w:color="000000"/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AFP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000000"/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04" w:hRule="auto"/>
        </w:trPr>
        body2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Anthrax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04" w:hRule="auto"/>
        </w:trPr>
        body3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Cholera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16,684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</w:t>
            </w:r>
          </w:p>
        </w:tc>
      </w:tr>
      <w:tr>
        <w:trPr>
          <w:trHeight w:val="504" w:hRule="auto"/>
        </w:trPr>
        body4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Non-bloody Diarrhoea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35,175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813,029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50,502</w:t>
            </w:r>
          </w:p>
        </w:tc>
      </w:tr>
      <w:tr>
        <w:trPr>
          <w:trHeight w:val="504" w:hRule="auto"/>
        </w:trPr>
        body5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Malaria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40,329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3,693,242</w:t>
            </w:r>
          </w:p>
        </w:tc>
      </w:tr>
      <w:tr>
        <w:trPr>
          <w:trHeight w:val="504" w:hRule="auto"/>
        </w:trPr>
        body6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Measles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</w:t>
            </w:r>
          </w:p>
        </w:tc>
      </w:tr>
      <w:tr>
        <w:trPr>
          <w:trHeight w:val="504" w:hRule="auto"/>
        </w:trPr>
        body7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Monkeypox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04" w:hRule="auto"/>
        </w:trPr>
        body8
        <w:tc>
          <w:tcPr>
            <w:tcBorders>
              <w:bottom w:val="single" w:sz="6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Plague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04" w:hRule="auto"/>
        </w:trPr>
        body9
        <w:tc>
          <w:tcPr>
            <w:tcBorders>
              <w:bottom w:val="single" w:sz="12" w:space="0" w:color="000000"/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E6F5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Typhoid Fever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single" w:sz="12" w:space="0" w:color="000000"/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Summary of VPD Surveillance Indicators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47A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Region</w:t>
            </w:r>
          </w:p>
        </w:tc>
      </w:tr>
    </w:tbl>
    <w:p>
      <w:pPr>
        <w:pStyle w:val="Normal"/>
      </w:pPr>
      <w:r>
        <w:t xml:space="preserve">• The country has recorded a total of 4360 suspected measles cases in 2024.
• From the 553 measles specimen that have been tested, 192 have been confirmed positive (PR 34.7 %).</w:t>
      </w:r>
    </w:p>
    <w:p>
      <w:pPr>
        <w:pStyle w:val="Normal"/>
      </w:pPr>
      <w:r>
        <w:rPr/>
        <w:drawing>
          <wp:inline distT="0" distB="0" distL="0" distR="0">
            <wp:extent cx="4343400" cy="3200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36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7CEE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Maternal Deaths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/>
        <w:drawing>
          <wp:inline distT="0" distB="0" distL="0" distR="0">
            <wp:extent cx="3886200" cy="3200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29200" cy="32004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• The bar chart on the left summarizes the causes of deaths of 15 maternal deaths recorded in week 34.</w:t>
      </w:r>
    </w:p>
    <w:p>
      <w:pPr>
        <w:pStyle w:val="Normal"/>
      </w:pPr>
      <w:r>
        <w:t xml:space="preserve">• Hypertensive disorder, Non-obstetric complications, and Obstetric haemorrhage continue to be the leading causes of maternal deaths this year.</w:t>
      </w:r>
    </w:p>
    <w:p>
      <w:pPr>
        <w:pStyle w:val="Normal"/>
      </w:pPr>
      <w:r>
        <w:t xml:space="preserve">• Cumulatively, in 2024, 410 maternal deaths have been recorded across the country, as depicted on the map.</w:t>
      </w:r>
    </w:p>
    <w:p>
      <w:pPr>
        <w:pStyle w:val="Normal"/>
      </w:pPr>
      <w:r>
        <w:t xml:space="preserve">• Regions with darker shades (Amhara, Tigray, Addis Ababa) indicate those with a higher number of reported maternal deaths.</w:t>
      </w:r>
    </w:p>
    <w:p>
      <w:pPr>
        <w:pStyle w:val="Normal"/>
      </w:pPr>
      <w:r>
        <w:t xml:space="preserve">— End of Bulletin —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bacdb2e102286ceee5057421e832443f78c90ea.png"/>
<Relationship Id="rId8" Type="http://schemas.openxmlformats.org/officeDocument/2006/relationships/image" Target="media/ee8de7b53603f75e168927eba0f63e1cac10b832.png"/>
<Relationship Id="rId9" Type="http://schemas.openxmlformats.org/officeDocument/2006/relationships/image" Target="media/2c1cbc8a973dd5d14ccf6dceba3584fecc540e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2025-09-06T10:56:56Z</dcterms:modified>
  <cp:category/>
</cp:coreProperties>
</file>