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597" w:rsidRPr="008A2597" w:rsidRDefault="008A2597" w:rsidP="008A2597">
      <w:pPr>
        <w:pStyle w:val="berschrift2"/>
        <w:rPr>
          <w:rFonts w:eastAsia="Proxima Nova"/>
          <w:sz w:val="24"/>
          <w:szCs w:val="24"/>
          <w:highlight w:val="white"/>
        </w:rPr>
      </w:pPr>
      <w:r w:rsidRPr="008A2597">
        <w:rPr>
          <w:rFonts w:eastAsia="Proxima Nova"/>
          <w:sz w:val="24"/>
          <w:szCs w:val="24"/>
          <w:highlight w:val="white"/>
        </w:rPr>
        <w:t>Systematic Literature Review</w:t>
      </w:r>
    </w:p>
    <w:p w:rsidR="008A2597" w:rsidRPr="008A2597" w:rsidRDefault="008A2597" w:rsidP="008A2597">
      <w:pPr>
        <w:spacing w:after="160"/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</w:pPr>
      <w:r w:rsidRPr="008A2597"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  <w:t>This is one of the most important requirements of the research proposal. Finding such references means that you are employing a successful literature searching strategy. The references need to be:</w:t>
      </w:r>
    </w:p>
    <w:p w:rsidR="008A2597" w:rsidRPr="008A2597" w:rsidRDefault="008A2597" w:rsidP="008A2597">
      <w:pPr>
        <w:numPr>
          <w:ilvl w:val="0"/>
          <w:numId w:val="1"/>
        </w:numPr>
        <w:spacing w:after="160" w:line="342" w:lineRule="auto"/>
        <w:ind w:left="1100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8A2597">
        <w:rPr>
          <w:rFonts w:ascii="Proxima Nova" w:eastAsia="Proxima Nova" w:hAnsi="Proxima Nova" w:cs="Proxima Nova"/>
          <w:b/>
          <w:color w:val="333333"/>
          <w:sz w:val="24"/>
          <w:szCs w:val="24"/>
          <w:highlight w:val="white"/>
        </w:rPr>
        <w:t>recent</w:t>
      </w:r>
      <w:r w:rsidRPr="008A2597"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  <w:t xml:space="preserve"> - not older than 2006.</w:t>
      </w:r>
    </w:p>
    <w:p w:rsidR="008A2597" w:rsidRPr="008A2597" w:rsidRDefault="008A2597" w:rsidP="008A2597">
      <w:pPr>
        <w:numPr>
          <w:ilvl w:val="0"/>
          <w:numId w:val="1"/>
        </w:numPr>
        <w:spacing w:after="160" w:line="342" w:lineRule="auto"/>
        <w:ind w:left="1100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8A2597">
        <w:rPr>
          <w:rFonts w:ascii="Proxima Nova" w:eastAsia="Proxima Nova" w:hAnsi="Proxima Nova" w:cs="Proxima Nova"/>
          <w:b/>
          <w:color w:val="333333"/>
          <w:sz w:val="24"/>
          <w:szCs w:val="24"/>
          <w:highlight w:val="white"/>
        </w:rPr>
        <w:t>scientific</w:t>
      </w:r>
      <w:r w:rsidRPr="008A2597"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  <w:t xml:space="preserve"> - published in the context of a peer-reviewed journal or conference proceedings or a scientific monograph (a book with articles on one topic).</w:t>
      </w:r>
    </w:p>
    <w:p w:rsidR="008A2597" w:rsidRPr="008A2597" w:rsidRDefault="008A2597" w:rsidP="008A2597">
      <w:pPr>
        <w:numPr>
          <w:ilvl w:val="0"/>
          <w:numId w:val="1"/>
        </w:numPr>
        <w:spacing w:after="160" w:line="342" w:lineRule="auto"/>
        <w:ind w:left="1100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8A2597">
        <w:rPr>
          <w:rFonts w:ascii="Proxima Nova" w:eastAsia="Proxima Nova" w:hAnsi="Proxima Nova" w:cs="Proxima Nova"/>
          <w:b/>
          <w:color w:val="333333"/>
          <w:sz w:val="24"/>
          <w:szCs w:val="24"/>
          <w:highlight w:val="white"/>
        </w:rPr>
        <w:t>prioritized</w:t>
      </w:r>
      <w:r w:rsidRPr="008A2597"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  <w:t xml:space="preserve"> - indicate how important / relevant each reference is to your research question as it stands right now.</w:t>
      </w:r>
    </w:p>
    <w:p w:rsidR="008A2597" w:rsidRPr="008A2597" w:rsidRDefault="008A2597" w:rsidP="008A2597">
      <w:pPr>
        <w:numPr>
          <w:ilvl w:val="0"/>
          <w:numId w:val="1"/>
        </w:numPr>
        <w:spacing w:after="160" w:line="342" w:lineRule="auto"/>
        <w:ind w:left="1100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8A2597">
        <w:rPr>
          <w:rFonts w:ascii="Proxima Nova" w:eastAsia="Proxima Nova" w:hAnsi="Proxima Nova" w:cs="Proxima Nova"/>
          <w:b/>
          <w:color w:val="333333"/>
          <w:sz w:val="24"/>
          <w:szCs w:val="24"/>
          <w:highlight w:val="white"/>
        </w:rPr>
        <w:t>validated</w:t>
      </w:r>
      <w:r w:rsidRPr="008A2597"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  <w:t xml:space="preserve"> - indicate how credible the reference is in your view (be prepared to argue this point).</w:t>
      </w:r>
    </w:p>
    <w:p w:rsidR="008A2597" w:rsidRPr="008A2597" w:rsidRDefault="008A2597" w:rsidP="008A2597">
      <w:pPr>
        <w:numPr>
          <w:ilvl w:val="0"/>
          <w:numId w:val="1"/>
        </w:numPr>
        <w:spacing w:after="160" w:line="342" w:lineRule="auto"/>
        <w:ind w:left="1100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8A2597">
        <w:rPr>
          <w:rFonts w:ascii="Proxima Nova" w:eastAsia="Proxima Nova" w:hAnsi="Proxima Nova" w:cs="Proxima Nova"/>
          <w:b/>
          <w:color w:val="333333"/>
          <w:sz w:val="24"/>
          <w:szCs w:val="24"/>
          <w:highlight w:val="white"/>
        </w:rPr>
        <w:t>qualified</w:t>
      </w:r>
      <w:r w:rsidRPr="008A2597"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  <w:t xml:space="preserve"> - each reference should be accompanied by a statement WHY this reference is relevant, i.e. what you hope to get out of it and/or in which part of your thesis (IMRAD!) you might use it.</w:t>
      </w:r>
    </w:p>
    <w:p w:rsidR="008A2597" w:rsidRPr="008A2597" w:rsidRDefault="008A2597" w:rsidP="008A2597">
      <w:pPr>
        <w:numPr>
          <w:ilvl w:val="0"/>
          <w:numId w:val="1"/>
        </w:numPr>
        <w:spacing w:after="160" w:line="342" w:lineRule="auto"/>
        <w:ind w:left="1100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8A2597">
        <w:rPr>
          <w:rFonts w:ascii="Proxima Nova" w:eastAsia="Proxima Nova" w:hAnsi="Proxima Nova" w:cs="Proxima Nova"/>
          <w:b/>
          <w:color w:val="333333"/>
          <w:sz w:val="24"/>
          <w:szCs w:val="24"/>
          <w:highlight w:val="white"/>
        </w:rPr>
        <w:t>organized</w:t>
      </w:r>
      <w:r w:rsidRPr="008A2597"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  <w:t xml:space="preserve"> as a table so that one can easily check the categories above (this is what you should do or have done for your literature review already)</w:t>
      </w:r>
    </w:p>
    <w:p w:rsidR="008A2597" w:rsidRPr="008A2597" w:rsidRDefault="008A2597" w:rsidP="008A2597">
      <w:pPr>
        <w:numPr>
          <w:ilvl w:val="0"/>
          <w:numId w:val="1"/>
        </w:numPr>
        <w:spacing w:after="160" w:line="342" w:lineRule="auto"/>
        <w:ind w:left="1100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8A2597"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  <w:t xml:space="preserve">properly </w:t>
      </w:r>
      <w:r w:rsidRPr="008A2597">
        <w:rPr>
          <w:rFonts w:ascii="Proxima Nova" w:eastAsia="Proxima Nova" w:hAnsi="Proxima Nova" w:cs="Proxima Nova"/>
          <w:b/>
          <w:color w:val="333333"/>
          <w:sz w:val="24"/>
          <w:szCs w:val="24"/>
          <w:highlight w:val="white"/>
        </w:rPr>
        <w:t>referenced</w:t>
      </w:r>
      <w:r w:rsidRPr="008A2597"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  <w:t xml:space="preserve"> - i.e. consistent throughout employing a standard citation style (e.g. Harvard or APA) and complete (see </w:t>
      </w:r>
      <w:hyperlink r:id="rId5">
        <w:r w:rsidRPr="008A2597"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here what to do</w:t>
        </w:r>
      </w:hyperlink>
      <w:r w:rsidRPr="008A2597"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  <w:t xml:space="preserve"> if parts of a reference are missing)</w:t>
      </w:r>
    </w:p>
    <w:p w:rsidR="008A2597" w:rsidRPr="008A2597" w:rsidRDefault="008A2597" w:rsidP="008A2597">
      <w:pPr>
        <w:spacing w:after="160"/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</w:pPr>
      <w:r w:rsidRPr="008A2597"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  <w:t xml:space="preserve">Here is an example from one of my publications - please </w:t>
      </w:r>
      <w:r w:rsidRPr="008A2597">
        <w:rPr>
          <w:rFonts w:ascii="Proxima Nova" w:eastAsia="Proxima Nova" w:hAnsi="Proxima Nova" w:cs="Proxima Nova"/>
          <w:b/>
          <w:color w:val="333333"/>
          <w:sz w:val="24"/>
          <w:szCs w:val="24"/>
          <w:highlight w:val="white"/>
        </w:rPr>
        <w:t>use the format below</w:t>
      </w:r>
      <w:r w:rsidRPr="008A2597">
        <w:rPr>
          <w:rFonts w:ascii="Proxima Nova" w:eastAsia="Proxima Nova" w:hAnsi="Proxima Nova" w:cs="Proxima Nova"/>
          <w:color w:val="333333"/>
          <w:sz w:val="24"/>
          <w:szCs w:val="24"/>
          <w:highlight w:val="white"/>
        </w:rPr>
        <w:t xml:space="preserve"> so that we can check &amp; discuss your submissions.</w:t>
      </w:r>
    </w:p>
    <w:p w:rsidR="0060756D" w:rsidRPr="008A2597" w:rsidRDefault="008A2597" w:rsidP="008A2597">
      <w:pPr>
        <w:pStyle w:val="berschrift2"/>
        <w:rPr>
          <w:sz w:val="24"/>
          <w:szCs w:val="24"/>
        </w:rPr>
      </w:pPr>
      <w:r w:rsidRPr="008A2597">
        <w:rPr>
          <w:sz w:val="24"/>
          <w:szCs w:val="24"/>
        </w:rPr>
        <w:t>Example</w:t>
      </w:r>
    </w:p>
    <w:p w:rsidR="008A2597" w:rsidRPr="008A2597" w:rsidRDefault="008A2597" w:rsidP="008A2597">
      <w:pPr>
        <w:rPr>
          <w:rFonts w:ascii="Proxima Nova" w:eastAsia="Proxima Nova" w:hAnsi="Proxima Nova" w:cs="Proxima Nova"/>
          <w:sz w:val="24"/>
          <w:szCs w:val="24"/>
        </w:rPr>
      </w:pPr>
      <w:r w:rsidRPr="008A2597">
        <w:rPr>
          <w:rFonts w:ascii="Proxima Nova" w:eastAsia="Proxima Nova" w:hAnsi="Proxima Nova" w:cs="Proxima Nova"/>
          <w:sz w:val="24"/>
          <w:szCs w:val="24"/>
        </w:rPr>
        <w:t xml:space="preserve">Excerpt from literature list for one of my recent publications (conference proceedings) featuring two different classroom experiments: </w:t>
      </w:r>
    </w:p>
    <w:p w:rsidR="008A2597" w:rsidRPr="008A2597" w:rsidRDefault="008A2597" w:rsidP="008A2597">
      <w:pPr>
        <w:rPr>
          <w:rFonts w:ascii="Proxima Nova" w:eastAsia="Proxima Nova" w:hAnsi="Proxima Nova" w:cs="Proxima Nova"/>
          <w:sz w:val="24"/>
          <w:szCs w:val="24"/>
        </w:rPr>
      </w:pPr>
    </w:p>
    <w:p w:rsidR="008A2597" w:rsidRPr="008A2597" w:rsidRDefault="008A2597" w:rsidP="008A2597">
      <w:pPr>
        <w:rPr>
          <w:rFonts w:ascii="Proxima Nova" w:eastAsia="Proxima Nova" w:hAnsi="Proxima Nova" w:cs="Proxima Nova"/>
          <w:color w:val="333333"/>
          <w:sz w:val="24"/>
          <w:szCs w:val="24"/>
        </w:rPr>
      </w:pPr>
      <w:r w:rsidRPr="008A2597">
        <w:rPr>
          <w:rFonts w:ascii="Proxima Nova" w:eastAsia="Proxima Nova" w:hAnsi="Proxima Nova" w:cs="Proxima Nova"/>
          <w:color w:val="333333"/>
          <w:sz w:val="24"/>
          <w:szCs w:val="24"/>
        </w:rPr>
        <w:t xml:space="preserve">Birkenkrahe, M. (2015) </w:t>
      </w:r>
      <w:hyperlink r:id="rId6">
        <w:r w:rsidRPr="008A2597">
          <w:rPr>
            <w:rFonts w:ascii="Proxima Nova" w:eastAsia="Proxima Nova" w:hAnsi="Proxima Nova" w:cs="Proxima Nova"/>
            <w:color w:val="4A86E8"/>
            <w:sz w:val="24"/>
            <w:szCs w:val="24"/>
            <w:u w:val="single"/>
          </w:rPr>
          <w:t xml:space="preserve">Building Graduate-Level, Gamified </w:t>
        </w:r>
        <w:proofErr w:type="spellStart"/>
        <w:r w:rsidRPr="008A2597">
          <w:rPr>
            <w:rFonts w:ascii="Proxima Nova" w:eastAsia="Proxima Nova" w:hAnsi="Proxima Nova" w:cs="Proxima Nova"/>
            <w:color w:val="4A86E8"/>
            <w:sz w:val="24"/>
            <w:szCs w:val="24"/>
            <w:u w:val="single"/>
          </w:rPr>
          <w:t>xMOOCs</w:t>
        </w:r>
        <w:proofErr w:type="spellEnd"/>
        <w:r w:rsidRPr="008A2597">
          <w:rPr>
            <w:rFonts w:ascii="Proxima Nova" w:eastAsia="Proxima Nova" w:hAnsi="Proxima Nova" w:cs="Proxima Nova"/>
            <w:color w:val="4A86E8"/>
            <w:sz w:val="24"/>
            <w:szCs w:val="24"/>
            <w:u w:val="single"/>
          </w:rPr>
          <w:t xml:space="preserve"> In Moodle</w:t>
        </w:r>
      </w:hyperlink>
      <w:r w:rsidRPr="008A2597">
        <w:rPr>
          <w:rFonts w:ascii="Proxima Nova" w:eastAsia="Proxima Nova" w:hAnsi="Proxima Nova" w:cs="Proxima Nova"/>
          <w:color w:val="333333"/>
          <w:sz w:val="24"/>
          <w:szCs w:val="24"/>
          <w:u w:val="single"/>
        </w:rPr>
        <w:t>.</w:t>
      </w:r>
      <w:r w:rsidRPr="008A2597">
        <w:rPr>
          <w:rFonts w:ascii="Proxima Nova" w:eastAsia="Proxima Nova" w:hAnsi="Proxima Nova" w:cs="Proxima Nova"/>
          <w:color w:val="333333"/>
          <w:sz w:val="24"/>
          <w:szCs w:val="24"/>
        </w:rPr>
        <w:t xml:space="preserve"> In: Proceedings of EADTU – The Online, Open and Flexible Higher Education Conference, Hagen 29-30 October 2015, pp. 57-73. ISBN/EAN 978-90-79730-17-9.</w:t>
      </w:r>
    </w:p>
    <w:p w:rsidR="008A2597" w:rsidRDefault="008A25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2597" w:rsidRDefault="008A2597" w:rsidP="008A2597">
      <w:pPr>
        <w:pStyle w:val="berschrift3"/>
        <w:jc w:val="center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lastRenderedPageBreak/>
        <w:t xml:space="preserve">Topic (and title): “Building Graduate-Level, Gamified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xMOOCs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in Moodle”.</w:t>
      </w:r>
    </w:p>
    <w:p w:rsidR="008A2597" w:rsidRDefault="008A2597" w:rsidP="008A2597">
      <w:pPr>
        <w:rPr>
          <w:sz w:val="24"/>
          <w:szCs w:val="24"/>
        </w:rPr>
      </w:pPr>
    </w:p>
    <w:tbl>
      <w:tblPr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720"/>
        <w:gridCol w:w="5325"/>
        <w:gridCol w:w="1500"/>
        <w:gridCol w:w="1905"/>
        <w:gridCol w:w="3975"/>
      </w:tblGrid>
      <w:tr w:rsidR="008A2597" w:rsidTr="00391495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No.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Year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Full Reference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Relevance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Credibility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Possible Use</w:t>
            </w:r>
          </w:p>
        </w:tc>
      </w:tr>
      <w:tr w:rsidR="008A2597" w:rsidTr="00391495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2015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73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Elston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>, C. and Morris, N. (2015). ​Making MOOCs collaboratively: working effectively with stakeholders. In: ​</w:t>
            </w:r>
            <w:hyperlink r:id="rId7"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Proceedings of the European MOOC Stakeholder Summit 2015</w:t>
              </w:r>
            </w:hyperlink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, pp. 28-31. Mons, Belgium: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Universite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catholique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de Louvain.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Medium</w:t>
            </w:r>
          </w:p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(intro)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Medium (conf.</w:t>
            </w:r>
          </w:p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Proceed., special conf.)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In introduction: to validate &amp; illustrate the need for a lot of resources when creating MOOCs.</w:t>
            </w:r>
          </w:p>
        </w:tc>
      </w:tr>
      <w:tr w:rsidR="008A2597" w:rsidTr="00391495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2005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73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AE0AAB">
              <w:rPr>
                <w:rFonts w:ascii="Proxima Nova" w:eastAsia="Proxima Nova" w:hAnsi="Proxima Nova" w:cs="Proxima Nova"/>
                <w:sz w:val="20"/>
                <w:szCs w:val="20"/>
                <w:lang w:val="de-DE"/>
              </w:rPr>
              <w:t xml:space="preserve">Wang, F., </w:t>
            </w:r>
            <w:proofErr w:type="spellStart"/>
            <w:r w:rsidRPr="00AE0AAB">
              <w:rPr>
                <w:rFonts w:ascii="Proxima Nova" w:eastAsia="Proxima Nova" w:hAnsi="Proxima Nova" w:cs="Proxima Nova"/>
                <w:sz w:val="20"/>
                <w:szCs w:val="20"/>
                <w:lang w:val="de-DE"/>
              </w:rPr>
              <w:t>Hannafin</w:t>
            </w:r>
            <w:proofErr w:type="spellEnd"/>
            <w:r w:rsidRPr="00AE0AAB">
              <w:rPr>
                <w:rFonts w:ascii="Proxima Nova" w:eastAsia="Proxima Nova" w:hAnsi="Proxima Nova" w:cs="Proxima Nova"/>
                <w:sz w:val="20"/>
                <w:szCs w:val="20"/>
                <w:lang w:val="de-DE"/>
              </w:rPr>
              <w:t xml:space="preserve">, M. J. (2005). </w:t>
            </w:r>
            <w:hyperlink r:id="rId8"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Design-based research and technology-enhancing learning</w:t>
              </w:r>
            </w:hyperlink>
          </w:p>
          <w:p w:rsidR="008A2597" w:rsidRDefault="008A2597" w:rsidP="00391495">
            <w:pPr>
              <w:widowControl w:val="0"/>
              <w:spacing w:line="273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hyperlink r:id="rId9"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environments</w:t>
              </w:r>
            </w:hyperlink>
            <w:r>
              <w:rPr>
                <w:rFonts w:ascii="Proxima Nova" w:eastAsia="Proxima Nova" w:hAnsi="Proxima Nova" w:cs="Proxima Nova"/>
                <w:sz w:val="20"/>
                <w:szCs w:val="20"/>
              </w:rPr>
              <w:t>. ​In: Educational Technology Research and Development, 53(</w:t>
            </w:r>
            <w:proofErr w:type="gram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4)​</w:t>
            </w:r>
            <w:proofErr w:type="gram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, pp. 5-23.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High</w:t>
            </w:r>
          </w:p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(Method)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High (citations,</w:t>
            </w:r>
          </w:p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hyperlink r:id="rId10"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Unique, scholarly journal</w:t>
              </w:r>
            </w:hyperlink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, </w:t>
            </w:r>
            <w:hyperlink r:id="rId11">
              <w:proofErr w:type="spellStart"/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monogr</w:t>
              </w:r>
              <w:proofErr w:type="spellEnd"/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.</w:t>
              </w:r>
            </w:hyperlink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, </w:t>
            </w:r>
            <w:hyperlink r:id="rId12"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ranked</w:t>
              </w:r>
            </w:hyperlink>
            <w:r>
              <w:rPr>
                <w:rFonts w:ascii="Proxima Nova" w:eastAsia="Proxima Nova" w:hAnsi="Proxima Nova" w:cs="Proxima Nova"/>
                <w:sz w:val="20"/>
                <w:szCs w:val="20"/>
              </w:rPr>
              <w:t>)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In methods section: central technical reference for the method used for this research.</w:t>
            </w:r>
          </w:p>
        </w:tc>
      </w:tr>
      <w:tr w:rsidR="008A2597" w:rsidTr="00391495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2004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73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Hevner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, A.R., March, S.T., </w:t>
            </w:r>
            <w:proofErr w:type="spellStart"/>
            <w:proofErr w:type="gram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Park,J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>.</w:t>
            </w:r>
            <w:proofErr w:type="gram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And Ram, S. (2004). </w:t>
            </w:r>
            <w:hyperlink r:id="rId13"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Design Science in IS Research</w:t>
              </w:r>
            </w:hyperlink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MISQuarterly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>, 28(1), pp. 75-105.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Medium (Method; review article)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High</w:t>
            </w:r>
          </w:p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(top-ranked journal in this field)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In methods section: technical reference for the method used in this research; validates the use of this method in the IS field.</w:t>
            </w:r>
          </w:p>
        </w:tc>
      </w:tr>
      <w:tr w:rsidR="008A2597" w:rsidTr="00391495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2009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73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Birkenkrahe, M.,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Mundt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, M. (2009). </w:t>
            </w:r>
            <w:hyperlink r:id="rId14"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From crisis to creativity: undergraduates craft their own online</w:t>
              </w:r>
            </w:hyperlink>
          </w:p>
          <w:p w:rsidR="008A2597" w:rsidRDefault="008A2597" w:rsidP="00391495">
            <w:pPr>
              <w:widowControl w:val="0"/>
              <w:spacing w:line="273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hyperlink r:id="rId15"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learning modules</w:t>
              </w:r>
            </w:hyperlink>
            <w:r>
              <w:rPr>
                <w:rFonts w:ascii="Proxima Nova" w:eastAsia="Proxima Nova" w:hAnsi="Proxima Nova" w:cs="Proxima Nova"/>
                <w:sz w:val="20"/>
                <w:szCs w:val="20"/>
              </w:rPr>
              <w:t>. ​In: International Journal for Innovation in Education, 1(1), ​ pp. 96-119.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High</w:t>
            </w:r>
          </w:p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(Discussion, own earlier work)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Medium (non-ranked, scholarly journal, own publication)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In introduction</w:t>
            </w: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&amp;</w:t>
            </w: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discussion</w:t>
            </w:r>
            <w:r>
              <w:rPr>
                <w:rFonts w:ascii="Proxima Nova" w:eastAsia="Proxima Nova" w:hAnsi="Proxima Nova" w:cs="Proxima Nova"/>
                <w:b/>
                <w:sz w:val="20"/>
                <w:szCs w:val="20"/>
              </w:rPr>
              <w:t xml:space="preserve">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sections: to explore the differences two different experiments.</w:t>
            </w:r>
          </w:p>
        </w:tc>
      </w:tr>
      <w:tr w:rsidR="008A2597" w:rsidTr="00391495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2008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73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Grzega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, J., </w:t>
            </w:r>
            <w:proofErr w:type="spellStart"/>
            <w:r>
              <w:rPr>
                <w:rFonts w:ascii="Proxima Nova" w:eastAsia="Proxima Nova" w:hAnsi="Proxima Nova" w:cs="Proxima Nova"/>
                <w:sz w:val="20"/>
                <w:szCs w:val="20"/>
              </w:rPr>
              <w:t>Schöner</w:t>
            </w:r>
            <w:proofErr w:type="spellEnd"/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, M. (2008). </w:t>
            </w:r>
            <w:hyperlink r:id="rId16"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 xml:space="preserve">The didactic model </w:t>
              </w:r>
              <w:proofErr w:type="spellStart"/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LdL</w:t>
              </w:r>
              <w:proofErr w:type="spellEnd"/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 xml:space="preserve"> (</w:t>
              </w:r>
              <w:proofErr w:type="spellStart"/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Lernen</w:t>
              </w:r>
              <w:proofErr w:type="spellEnd"/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durch</w:t>
              </w:r>
              <w:proofErr w:type="spellEnd"/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Lehren</w:t>
              </w:r>
              <w:proofErr w:type="spellEnd"/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) as a way of preparing</w:t>
              </w:r>
            </w:hyperlink>
          </w:p>
          <w:p w:rsidR="008A2597" w:rsidRDefault="008A2597" w:rsidP="00391495">
            <w:pPr>
              <w:widowControl w:val="0"/>
              <w:spacing w:line="273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hyperlink r:id="rId17"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students for communication in a knowledge society</w:t>
              </w:r>
            </w:hyperlink>
            <w:r>
              <w:rPr>
                <w:rFonts w:ascii="Proxima Nova" w:eastAsia="Proxima Nova" w:hAnsi="Proxima Nova" w:cs="Proxima Nova"/>
                <w:sz w:val="20"/>
                <w:szCs w:val="20"/>
              </w:rPr>
              <w:t>. ​</w:t>
            </w:r>
          </w:p>
          <w:p w:rsidR="008A2597" w:rsidRDefault="008A2597" w:rsidP="00391495">
            <w:pPr>
              <w:widowControl w:val="0"/>
              <w:spacing w:line="273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Journal of Education for Teaching: International research and pedagogy​, 34(3), pp. 167-175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Medium</w:t>
            </w:r>
          </w:p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(Discussion)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Medium (scholarly journal, </w:t>
            </w:r>
            <w:hyperlink r:id="rId18">
              <w:r>
                <w:rPr>
                  <w:rFonts w:ascii="Proxima Nova" w:eastAsia="Proxima Nova" w:hAnsi="Proxima Nova" w:cs="Proxima Nova"/>
                  <w:color w:val="1155CC"/>
                  <w:sz w:val="20"/>
                  <w:szCs w:val="20"/>
                  <w:u w:val="single"/>
                </w:rPr>
                <w:t>non-ranked</w:t>
              </w:r>
            </w:hyperlink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) 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597" w:rsidRDefault="008A2597" w:rsidP="0039149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In abstract &amp; discussion: basic didactic theoretical approach to anchor the findings. Implicit (non-graphical) model.</w:t>
            </w:r>
          </w:p>
        </w:tc>
      </w:tr>
    </w:tbl>
    <w:p w:rsidR="008A2597" w:rsidRPr="008A2597" w:rsidRDefault="008A2597" w:rsidP="008A2597">
      <w:pPr>
        <w:rPr>
          <w:sz w:val="24"/>
          <w:szCs w:val="24"/>
        </w:rPr>
      </w:pPr>
      <w:bookmarkStart w:id="0" w:name="_GoBack"/>
      <w:bookmarkEnd w:id="0"/>
    </w:p>
    <w:sectPr w:rsidR="008A2597" w:rsidRPr="008A2597" w:rsidSect="001F3509">
      <w:pgSz w:w="16840" w:h="11900" w:orient="landscape"/>
      <w:pgMar w:top="1417" w:right="1417" w:bottom="1134" w:left="1417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93A3E"/>
    <w:multiLevelType w:val="multilevel"/>
    <w:tmpl w:val="369441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mirrorMargins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97"/>
    <w:rsid w:val="00060FD9"/>
    <w:rsid w:val="001F3509"/>
    <w:rsid w:val="00266389"/>
    <w:rsid w:val="0060756D"/>
    <w:rsid w:val="008A2597"/>
    <w:rsid w:val="009A3DBB"/>
    <w:rsid w:val="00C17CA8"/>
    <w:rsid w:val="00FA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E94D2"/>
  <w15:chartTrackingRefBased/>
  <w15:docId w15:val="{516A2EE5-6007-B24B-9EAD-EFA5C19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4"/>
        <w:szCs w:val="24"/>
        <w:lang w:val="de-DE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8A2597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hAnsi="Arial" w:cs="Arial"/>
      <w:color w:val="000000"/>
      <w:sz w:val="22"/>
      <w:szCs w:val="22"/>
      <w:lang w:val="en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25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25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259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2597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25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259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2597"/>
    <w:rPr>
      <w:rFonts w:ascii="Times New Roman" w:hAnsi="Times New Roman" w:cs="Times New Roman"/>
      <w:color w:val="000000"/>
      <w:sz w:val="18"/>
      <w:szCs w:val="18"/>
      <w:lang w:val="en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2597"/>
    <w:rPr>
      <w:rFonts w:asciiTheme="majorHAnsi" w:eastAsiaTheme="majorEastAsia" w:hAnsiTheme="majorHAnsi" w:cstheme="majorBidi"/>
      <w:color w:val="1F3763" w:themeColor="accent1" w:themeShade="7F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25626676_Design-based_research_and_technology-enhanced_learning_environments_Educational_Technology_Research_and_Development_534_5-23" TargetMode="External"/><Relationship Id="rId13" Type="http://schemas.openxmlformats.org/officeDocument/2006/relationships/hyperlink" Target="http://www.brian-fitzgerald.com/wp-content/uploads/2014/05/Hevner-et-al-2004-misq-des-sci.pdf" TargetMode="External"/><Relationship Id="rId18" Type="http://schemas.openxmlformats.org/officeDocument/2006/relationships/hyperlink" Target="http://www.scimagojr.com/journalrank.php?category=330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moocs2015.eu/sites/default/files/Papers.pdf" TargetMode="External"/><Relationship Id="rId12" Type="http://schemas.openxmlformats.org/officeDocument/2006/relationships/hyperlink" Target="http://www.scimagojr.com/journalrank.php?category=3304" TargetMode="External"/><Relationship Id="rId17" Type="http://schemas.openxmlformats.org/officeDocument/2006/relationships/hyperlink" Target="http://www.joachim-grzega.de/GrzegaSchoener-LdL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oachim-grzega.de/GrzegaSchoener-LdL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9ubV5NfnNPpOUp6akJrZk5UcEk/view?usp=sharing" TargetMode="External"/><Relationship Id="rId11" Type="http://schemas.openxmlformats.org/officeDocument/2006/relationships/hyperlink" Target="http://link.springer.com/journal/11423" TargetMode="External"/><Relationship Id="rId5" Type="http://schemas.openxmlformats.org/officeDocument/2006/relationships/hyperlink" Target="http://libguides.unitec.ac.nz/apareferencing/missing-details" TargetMode="External"/><Relationship Id="rId15" Type="http://schemas.openxmlformats.org/officeDocument/2006/relationships/hyperlink" Target="https://www.researchgate.net/publication/249923420_From_crisis_to_creativity_undergraduates_craft_their_own_online_learning_modules" TargetMode="External"/><Relationship Id="rId10" Type="http://schemas.openxmlformats.org/officeDocument/2006/relationships/hyperlink" Target="http://aect.site-ym.com/?page=ed_technology_r_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25626676_Design-based_research_and_technology-enhanced_learning_environments_Educational_Technology_Research_and_Development_534_5-23" TargetMode="External"/><Relationship Id="rId14" Type="http://schemas.openxmlformats.org/officeDocument/2006/relationships/hyperlink" Target="https://www.researchgate.net/publication/249923420_From_crisis_to_creativity_undergraduates_craft_their_own_online_learning_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Birkenkrahe</dc:creator>
  <cp:keywords/>
  <dc:description/>
  <cp:lastModifiedBy>Marcus Birkenkrahe</cp:lastModifiedBy>
  <cp:revision>1</cp:revision>
  <cp:lastPrinted>2018-04-07T13:26:00Z</cp:lastPrinted>
  <dcterms:created xsi:type="dcterms:W3CDTF">2018-04-07T13:23:00Z</dcterms:created>
  <dcterms:modified xsi:type="dcterms:W3CDTF">2018-04-07T13:26:00Z</dcterms:modified>
</cp:coreProperties>
</file>