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sz w:val="36"/>
          <w:szCs w:val="36"/>
        </w:rPr>
        <w:t xml:space="preserve">Methods</w:t>
      </w:r>
    </w:p>
    <w:p>
      <w:pPr>
        <w:spacing w:after="240"/>
      </w:pPr>
      <w:r>
        <w:rPr>
          <w:rFonts w:ascii="Arial" w:cs="Arial" w:eastAsia="Arial" w:hAnsi="Arial"/>
          <w:i/>
          <w:iCs/>
          <w:color w:val="595959"/>
          <w:sz w:val="22"/>
          <w:szCs w:val="22"/>
        </w:rPr>
        <w:t xml:space="preserve">Childhood immunisation cascade and multistate Markov analysis of Demographic and Health Surveys across sub-Saharan Africa, 1989–2024</w:t>
      </w:r>
    </w:p>
    <w:p>
      <w:pPr>
        <w:pStyle w:val="Heading1"/>
        <w:spacing w:after="180" w:before="360"/>
      </w:pPr>
      <w:r>
        <w:rPr>
          <w:rFonts w:ascii="Arial" w:cs="Arial" w:eastAsia="Arial" w:hAnsi="Arial"/>
          <w:b/>
          <w:bCs/>
          <w:sz w:val="28"/>
          <w:szCs w:val="28"/>
        </w:rPr>
        <w:t xml:space="preserve">1. Study design and analytic overview</w:t>
      </w:r>
    </w:p>
    <w:p>
      <w:pPr>
        <w:spacing w:after="120" w:before="60" w:line="320"/>
        <w:jc w:val="both"/>
      </w:pPr>
      <w:r>
        <w:rPr>
          <w:rFonts w:ascii="Arial" w:cs="Arial" w:eastAsia="Arial" w:hAnsi="Arial"/>
        </w:rPr>
        <w:t xml:space="preserve">This study quantifies where children in sub-Saharan Africa fall out of the routine childhood immunisation cascade, and where policy investment is best targeted to close those gaps. It is a pooled, secondary analysis of nationally representative household survey data — the Demographic and Health Surveys (DHS) — covering 38 countries, 163 surveys, and approximately 263,385 children aged 12 to 23 months at the time of interview. The analysis is reported in accordance with the </w:t>
      </w:r>
      <w:r>
        <w:rPr>
          <w:rFonts w:ascii="Arial" w:cs="Arial" w:eastAsia="Arial" w:hAnsi="Arial"/>
          <w:i/>
          <w:iCs/>
        </w:rPr>
        <w:t xml:space="preserve">Guidelines for Accurate and Transparent Health Estimates Reporting</w:t>
      </w:r>
      <w:r>
        <w:rPr>
          <w:rFonts w:ascii="Arial" w:cs="Arial" w:eastAsia="Arial" w:hAnsi="Arial"/>
        </w:rPr>
        <w:t xml:space="preserve"> (GATHER; Stevens et al., 2016).</w:t>
      </w:r>
    </w:p>
    <w:p>
      <w:pPr>
        <w:spacing w:after="120" w:before="60" w:line="320"/>
        <w:jc w:val="both"/>
      </w:pPr>
      <w:r>
        <w:rPr>
          <w:rFonts w:ascii="Arial" w:cs="Arial" w:eastAsia="Arial" w:hAnsi="Arial"/>
        </w:rPr>
        <w:t xml:space="preserve">The analysis proceeds in three layered stages, each producing outputs that are directly interpretable for programme managers, ministries of health, and global immunisation partners.</w:t>
      </w:r>
    </w:p>
    <w:p>
      <w:pPr>
        <w:pStyle w:val="ListParagraph"/>
        <w:numPr>
          <w:ilvl w:val="0"/>
          <w:numId w:val="2"/>
        </w:numPr>
        <w:spacing w:after="40" w:before="40" w:line="300"/>
      </w:pPr>
      <w:r>
        <w:rPr>
          <w:rFonts w:ascii="Arial" w:cs="Arial" w:eastAsia="Arial" w:hAnsi="Arial"/>
          <w:b/>
          <w:bCs/>
        </w:rPr>
        <w:t xml:space="preserve">Stage 1 — Descriptive cascade. </w:t>
      </w:r>
      <w:r>
        <w:rPr>
          <w:rFonts w:ascii="Arial" w:cs="Arial" w:eastAsia="Arial" w:hAnsi="Arial"/>
        </w:rPr>
        <w:t xml:space="preserve">Survey-weighted marginal coverage and conditional dose-completion probabilities are computed at every step of the WHO Expanded Programme on Immunization (EPI) schedule, by country and by survey round.</w:t>
      </w:r>
    </w:p>
    <w:p>
      <w:pPr>
        <w:pStyle w:val="ListParagraph"/>
        <w:numPr>
          <w:ilvl w:val="0"/>
          <w:numId w:val="2"/>
        </w:numPr>
        <w:spacing w:after="40" w:before="40" w:line="300"/>
      </w:pPr>
      <w:r>
        <w:rPr>
          <w:rFonts w:ascii="Arial" w:cs="Arial" w:eastAsia="Arial" w:hAnsi="Arial"/>
          <w:b/>
          <w:bCs/>
        </w:rPr>
        <w:t xml:space="preserve">Stage 2 — Failure-type classification. </w:t>
      </w:r>
      <w:r>
        <w:rPr>
          <w:rFonts w:ascii="Arial" w:cs="Arial" w:eastAsia="Arial" w:hAnsi="Arial"/>
        </w:rPr>
        <w:t xml:space="preserve">Missed vaccinations in each country are decomposed into entry-point failure (children who never receive any primary dose, i.e. zero-dose) and follow-up failure (children who start but do not complete the primary three-dose series). The decomposition produces a four-quadrant policy typology that maps each country to a distinct programmatic remedy.</w:t>
      </w:r>
    </w:p>
    <w:p>
      <w:pPr>
        <w:pStyle w:val="ListParagraph"/>
        <w:numPr>
          <w:ilvl w:val="0"/>
          <w:numId w:val="2"/>
        </w:numPr>
        <w:spacing w:after="40" w:before="40" w:line="300"/>
      </w:pPr>
      <w:r>
        <w:rPr>
          <w:rFonts w:ascii="Arial" w:cs="Arial" w:eastAsia="Arial" w:hAnsi="Arial"/>
          <w:b/>
          <w:bCs/>
        </w:rPr>
        <w:t xml:space="preserve">Stage 3 — Multistate Markov model. </w:t>
      </w:r>
      <w:r>
        <w:rPr>
          <w:rFonts w:ascii="Arial" w:cs="Arial" w:eastAsia="Arial" w:hAnsi="Arial"/>
        </w:rPr>
        <w:t xml:space="preserve">A discrete-state Markov chain is fitted across the cascade. Country-specific transition probabilities are estimated by random-effects meta-analysis on the logit scale and shrunk toward the continental mean via empirical Bayes. The fitted model predicts terminal-state occupation per country and partitions between-country variance across the five cascade transitions, identifying where heterogeneity — and therefore policy leverage — is concentrated.</w:t>
      </w:r>
    </w:p>
    <w:p>
      <w:pPr>
        <w:pStyle w:val="Heading1"/>
        <w:spacing w:after="180" w:before="360"/>
      </w:pPr>
      <w:r>
        <w:rPr>
          <w:rFonts w:ascii="Arial" w:cs="Arial" w:eastAsia="Arial" w:hAnsi="Arial"/>
          <w:b/>
          <w:bCs/>
          <w:sz w:val="28"/>
          <w:szCs w:val="28"/>
        </w:rPr>
        <w:t xml:space="preserve">2. Data sources</w:t>
      </w:r>
    </w:p>
    <w:p>
      <w:pPr>
        <w:pStyle w:val="Heading2"/>
        <w:spacing w:after="120" w:before="240"/>
      </w:pPr>
      <w:r>
        <w:rPr>
          <w:rFonts w:ascii="Arial" w:cs="Arial" w:eastAsia="Arial" w:hAnsi="Arial"/>
          <w:b/>
          <w:bCs/>
          <w:sz w:val="24"/>
          <w:szCs w:val="24"/>
        </w:rPr>
        <w:t xml:space="preserve">2.1 Primary data — Demographic and Health Surveys</w:t>
      </w:r>
    </w:p>
    <w:p>
      <w:pPr>
        <w:spacing w:after="120" w:before="60" w:line="320"/>
        <w:jc w:val="both"/>
      </w:pPr>
      <w:r>
        <w:rPr>
          <w:rFonts w:ascii="Arial" w:cs="Arial" w:eastAsia="Arial" w:hAnsi="Arial"/>
        </w:rPr>
        <w:t xml:space="preserve">Primary data are DHS Program Individual Recode (IR) hierarchical files in CSPro fixed-width format. Each woman-level record carries embedded sub-records for birth history (W21 / 21) and child vaccination (W43 / 43). All 210 IR surveys in the DHS archive for sub-Saharan Africa over the period 1989 to 2024 were screened; the 163 surveys with at least 30 dated third-dose records were retained for analysis. The 47 excluded surveys were predominantly AIDS Indicator Surveys, Malaria Indicator Surveys, and special-topic rounds that did not include a complete childhood vaccination module. The retained panel covers 38 sub-Saharan African countries.</w:t>
      </w:r>
    </w:p>
    <w:p>
      <w:pPr>
        <w:pStyle w:val="Heading2"/>
        <w:spacing w:after="120" w:before="240"/>
      </w:pPr>
      <w:r>
        <w:rPr>
          <w:rFonts w:ascii="Arial" w:cs="Arial" w:eastAsia="Arial" w:hAnsi="Arial"/>
          <w:b/>
          <w:bCs/>
          <w:sz w:val="24"/>
          <w:szCs w:val="24"/>
        </w:rPr>
        <w:t xml:space="preserve">2.2 Auxiliary data</w:t>
      </w:r>
    </w:p>
    <w:p>
      <w:pPr>
        <w:spacing w:after="120" w:before="60" w:line="320"/>
        <w:jc w:val="both"/>
      </w:pPr>
      <w:r>
        <w:rPr>
          <w:rFonts w:ascii="Arial" w:cs="Arial" w:eastAsia="Arial" w:hAnsi="Arial"/>
        </w:rPr>
        <w:t xml:space="preserve">Country-level under-five population estimates used in the burden-weighted analyses were drawn from the United Nations Population Division </w:t>
      </w:r>
      <w:r>
        <w:rPr>
          <w:rFonts w:ascii="Arial" w:cs="Arial" w:eastAsia="Arial" w:hAnsi="Arial"/>
          <w:i/>
          <w:iCs/>
        </w:rPr>
        <w:t xml:space="preserve">World Population Prospects</w:t>
      </w:r>
      <w:r>
        <w:rPr>
          <w:rFonts w:ascii="Arial" w:cs="Arial" w:eastAsia="Arial" w:hAnsi="Arial"/>
        </w:rPr>
        <w:t xml:space="preserve"> 2022 revision (medium variant), aligned to the year of each country's most recent DHS round. National pentavalent vaccine introduction years were obtained from the World Health Organization Immunization Monitoring Database via the IPUMS-DHS WHO Vaccination Schedules table.</w:t>
      </w:r>
    </w:p>
    <w:p>
      <w:pPr>
        <w:pStyle w:val="Heading1"/>
        <w:spacing w:after="180" w:before="360"/>
      </w:pPr>
      <w:r>
        <w:rPr>
          <w:rFonts w:ascii="Arial" w:cs="Arial" w:eastAsia="Arial" w:hAnsi="Arial"/>
          <w:b/>
          <w:bCs/>
          <w:sz w:val="28"/>
          <w:szCs w:val="28"/>
        </w:rPr>
        <w:t xml:space="preserve">3. Study population</w:t>
      </w:r>
    </w:p>
    <w:p>
      <w:pPr>
        <w:spacing w:after="120" w:before="60" w:line="320"/>
        <w:jc w:val="both"/>
      </w:pPr>
      <w:r>
        <w:rPr>
          <w:rFonts w:ascii="Arial" w:cs="Arial" w:eastAsia="Arial" w:hAnsi="Arial"/>
        </w:rPr>
        <w:t xml:space="preserve">The analytic cohort comprises children aged 12 to 23 months at the date of the DHS interview, born to women aged 15 to 49. This is the canonical DHS vaccination cohort: it is old enough that all WHO-scheduled doses through measles-containing vaccine 1 (MCV1, target age 9 months) should have been received, yet narrow enough to limit maternal recall bias on dose dates. Children whose birth-history record could not be linked to a vaccination record were excluded from the analytic sample but retained for descriptive sample-size reporting. After exclusions, the analytic sample comprises 263,385 children across 163 surveys and 38 countries.</w:t>
      </w:r>
    </w:p>
    <w:p>
      <w:pPr>
        <w:pStyle w:val="Heading1"/>
        <w:spacing w:after="180" w:before="360"/>
      </w:pPr>
      <w:r>
        <w:rPr>
          <w:rFonts w:ascii="Arial" w:cs="Arial" w:eastAsia="Arial" w:hAnsi="Arial"/>
          <w:b/>
          <w:bCs/>
          <w:sz w:val="28"/>
          <w:szCs w:val="28"/>
        </w:rPr>
        <w:t xml:space="preserve">4. Variable construction</w:t>
      </w:r>
    </w:p>
    <w:p>
      <w:pPr>
        <w:pStyle w:val="Heading2"/>
        <w:spacing w:after="120" w:before="240"/>
      </w:pPr>
      <w:r>
        <w:rPr>
          <w:rFonts w:ascii="Arial" w:cs="Arial" w:eastAsia="Arial" w:hAnsi="Arial"/>
          <w:b/>
          <w:bCs/>
          <w:sz w:val="24"/>
          <w:szCs w:val="24"/>
        </w:rPr>
        <w:t xml:space="preserve">4.1 Programmatic extraction from CSPro dictionaries</w:t>
      </w:r>
    </w:p>
    <w:p>
      <w:pPr>
        <w:spacing w:after="120" w:before="60" w:line="320"/>
        <w:jc w:val="both"/>
      </w:pPr>
      <w:r>
        <w:rPr>
          <w:rFonts w:ascii="Arial" w:cs="Arial" w:eastAsia="Arial" w:hAnsi="Arial"/>
        </w:rPr>
        <w:t xml:space="preserve">Variable byte positions were parsed programmatically from each survey's CSPro data dictionary (.DCF) file. This auto-detection avoids hard-coded survey-specific offsets, makes the pipeline portable across DHS phases — in which variable layouts change as new antigens are added to the schedule — and supports straightforward extension to future DHS rounds.</w:t>
      </w:r>
    </w:p>
    <w:p>
      <w:pPr>
        <w:pStyle w:val="Heading2"/>
        <w:spacing w:after="120" w:before="240"/>
      </w:pPr>
      <w:r>
        <w:rPr>
          <w:rFonts w:ascii="Arial" w:cs="Arial" w:eastAsia="Arial" w:hAnsi="Arial"/>
          <w:b/>
          <w:bCs/>
          <w:sz w:val="24"/>
          <w:szCs w:val="24"/>
        </w:rPr>
        <w:t xml:space="preserve">4.2 Vaccine receipt status</w:t>
      </w:r>
    </w:p>
    <w:p>
      <w:pPr>
        <w:spacing w:after="120" w:before="60" w:line="320"/>
        <w:jc w:val="both"/>
      </w:pPr>
      <w:r>
        <w:rPr>
          <w:rFonts w:ascii="Arial" w:cs="Arial" w:eastAsia="Arial" w:hAnsi="Arial"/>
        </w:rPr>
        <w:t xml:space="preserve">For each antigen, the DHS receipt-status variable (for example H2 for BCG; H3, H5, H7 for DPT 1, 2, 3; H51, H52, H53 for pentavalent 1, 2, 3; H9 for MCV1) takes one of the following values:</w:t>
      </w:r>
    </w:p>
    <w:p>
      <w:pPr>
        <w:pStyle w:val="ListParagraph"/>
        <w:numPr>
          <w:ilvl w:val="0"/>
          <w:numId w:val="2"/>
        </w:numPr>
        <w:spacing w:after="40" w:before="40" w:line="300"/>
      </w:pPr>
      <w:r>
        <w:rPr>
          <w:rFonts w:ascii="Arial" w:cs="Arial" w:eastAsia="Arial" w:hAnsi="Arial"/>
        </w:rPr>
        <w:t xml:space="preserve">Code 0 — no vaccination recorded.</w:t>
      </w:r>
    </w:p>
    <w:p>
      <w:pPr>
        <w:pStyle w:val="ListParagraph"/>
        <w:numPr>
          <w:ilvl w:val="0"/>
          <w:numId w:val="2"/>
        </w:numPr>
        <w:spacing w:after="40" w:before="40" w:line="300"/>
      </w:pPr>
      <w:r>
        <w:rPr>
          <w:rFonts w:ascii="Arial" w:cs="Arial" w:eastAsia="Arial" w:hAnsi="Arial"/>
        </w:rPr>
        <w:t xml:space="preserve">Code 1 — vaccination date present on the child's health card.</w:t>
      </w:r>
    </w:p>
    <w:p>
      <w:pPr>
        <w:pStyle w:val="ListParagraph"/>
        <w:numPr>
          <w:ilvl w:val="0"/>
          <w:numId w:val="2"/>
        </w:numPr>
        <w:spacing w:after="40" w:before="40" w:line="300"/>
      </w:pPr>
      <w:r>
        <w:rPr>
          <w:rFonts w:ascii="Arial" w:cs="Arial" w:eastAsia="Arial" w:hAnsi="Arial"/>
        </w:rPr>
        <w:t xml:space="preserve">Code 2 — vaccination reported by the mother (no card date).</w:t>
      </w:r>
    </w:p>
    <w:p>
      <w:pPr>
        <w:pStyle w:val="ListParagraph"/>
        <w:numPr>
          <w:ilvl w:val="0"/>
          <w:numId w:val="2"/>
        </w:numPr>
        <w:spacing w:after="40" w:before="40" w:line="300"/>
      </w:pPr>
      <w:r>
        <w:rPr>
          <w:rFonts w:ascii="Arial" w:cs="Arial" w:eastAsia="Arial" w:hAnsi="Arial"/>
        </w:rPr>
        <w:t xml:space="preserve">Code 3 — card marked, no date present.</w:t>
      </w:r>
    </w:p>
    <w:p>
      <w:pPr>
        <w:pStyle w:val="ListParagraph"/>
        <w:numPr>
          <w:ilvl w:val="0"/>
          <w:numId w:val="2"/>
        </w:numPr>
        <w:spacing w:after="40" w:before="40" w:line="300"/>
      </w:pPr>
      <w:r>
        <w:rPr>
          <w:rFonts w:ascii="Arial" w:cs="Arial" w:eastAsia="Arial" w:hAnsi="Arial"/>
        </w:rPr>
        <w:t xml:space="preserve">Codes 8 / 9 — don't know or missing.</w:t>
      </w:r>
    </w:p>
    <w:p>
      <w:pPr>
        <w:spacing w:after="120" w:before="60" w:line="320"/>
        <w:jc w:val="both"/>
      </w:pPr>
      <w:r>
        <w:rPr>
          <w:rFonts w:ascii="Arial" w:cs="Arial" w:eastAsia="Arial" w:hAnsi="Arial"/>
        </w:rPr>
        <w:t xml:space="preserve">In the primary analysis a dose was counted as received if the status code was 1, 2 or 3. Code 0 was counted as not received. Codes 8 and 9 were excluded from both numerator and denominator. Inclusion of mother-reported and card-marked doses alongside card-confirmed receipt follows DHS Program practice and is consistent with the WHO/UNICEF Estimates of National Immunization Coverage (WUENIC) and the published DHS country reports against which our pipeline was validated (Section 9). A card-confirmed-only restriction is reported as a pre-specified sensitivity analysis (Section 10.1).</w:t>
      </w:r>
    </w:p>
    <w:p>
      <w:pPr>
        <w:pStyle w:val="Heading2"/>
        <w:spacing w:after="120" w:before="240"/>
      </w:pPr>
      <w:r>
        <w:rPr>
          <w:rFonts w:ascii="Arial" w:cs="Arial" w:eastAsia="Arial" w:hAnsi="Arial"/>
          <w:b/>
          <w:bCs/>
          <w:sz w:val="24"/>
          <w:szCs w:val="24"/>
        </w:rPr>
        <w:t xml:space="preserve">4.3 Unification of DPT and pentavalent schedules</w:t>
      </w:r>
    </w:p>
    <w:p>
      <w:pPr>
        <w:spacing w:after="120" w:before="60" w:line="320"/>
        <w:jc w:val="both"/>
      </w:pPr>
      <w:r>
        <w:rPr>
          <w:rFonts w:ascii="Arial" w:cs="Arial" w:eastAsia="Arial" w:hAnsi="Arial"/>
        </w:rPr>
        <w:t xml:space="preserve">Most sub-Saharan African countries replaced the standalone DPT third primary dose with the pentavalent formulation (DPT plus Haemophilus influenzae type b and hepatitis B) around 2010. The DHS questionnaire records whichever formulation was on the national schedule at the time of vaccination; the alternative variable is coded as not applicable. For each child </w:t>
      </w:r>
      <w:r>
        <w:rPr>
          <w:rFonts w:ascii="Arial" w:cs="Arial" w:eastAsia="Arial" w:hAnsi="Arial"/>
          <w:i/>
          <w:iCs/>
        </w:rPr>
        <w:t xml:space="preserve">i</w:t>
      </w:r>
      <w:r>
        <w:rPr>
          <w:rFonts w:ascii="Arial" w:cs="Arial" w:eastAsia="Arial" w:hAnsi="Arial"/>
        </w:rPr>
        <w:t xml:space="preserve"> and dose </w:t>
      </w:r>
      <w:r>
        <w:rPr>
          <w:rFonts w:ascii="Arial" w:cs="Arial" w:eastAsia="Arial" w:hAnsi="Arial"/>
          <w:i/>
          <w:iCs/>
        </w:rPr>
        <w:t xml:space="preserve">d</w:t>
      </w:r>
      <w:r>
        <w:rPr>
          <w:rFonts w:ascii="Arial" w:cs="Arial" w:eastAsia="Arial" w:hAnsi="Arial"/>
        </w:rPr>
        <w:t xml:space="preserve"> in {1, 2, 3} we define a unified dose indicator:</w:t>
      </w:r>
    </w:p>
    <w:p>
      <w:pPr>
        <w:spacing w:after="120" w:before="120" w:line="300"/>
        <w:jc w:val="center"/>
      </w:pPr>
      <w:r>
        <w:rPr>
          <w:rFonts w:ascii="Arial" w:cs="Arial" w:eastAsia="Arial" w:hAnsi="Arial"/>
          <w:i/>
          <w:iCs/>
        </w:rPr>
        <w:t xml:space="preserve">dose_d(i) = DPT_d(i) if DPT_d(i) ∈ {0, 1}, otherwise Penta_d(i).</w:t>
      </w:r>
    </w:p>
    <w:p>
      <w:pPr>
        <w:spacing w:after="120" w:before="60" w:line="320"/>
        <w:jc w:val="both"/>
      </w:pPr>
      <w:r>
        <w:rPr>
          <w:rFonts w:ascii="Arial" w:cs="Arial" w:eastAsia="Arial" w:hAnsi="Arial"/>
        </w:rPr>
        <w:t xml:space="preserve">Because the two variables are mutually exclusive within a single child record, the unified series is well defined. This step places pre-2010 and post-2010 surveys on a common dose-1/2/3 axis and is essential for cross-survey cascade comparison.</w:t>
      </w:r>
    </w:p>
    <w:p>
      <w:pPr>
        <w:pStyle w:val="Heading2"/>
        <w:spacing w:after="120" w:before="240"/>
      </w:pPr>
      <w:r>
        <w:rPr>
          <w:rFonts w:ascii="Arial" w:cs="Arial" w:eastAsia="Arial" w:hAnsi="Arial"/>
          <w:b/>
          <w:bCs/>
          <w:sz w:val="24"/>
          <w:szCs w:val="24"/>
        </w:rPr>
        <w:t xml:space="preserve">4.4 Dates of birth and vaccination</w:t>
      </w:r>
    </w:p>
    <w:p>
      <w:pPr>
        <w:spacing w:after="120" w:before="60" w:line="320"/>
        <w:jc w:val="both"/>
      </w:pPr>
      <w:r>
        <w:rPr>
          <w:rFonts w:ascii="Arial" w:cs="Arial" w:eastAsia="Arial" w:hAnsi="Arial"/>
        </w:rPr>
        <w:t xml:space="preserve">Although the descriptive cascade does not require dose-level dates, the multistate model uses age at interview to define the analytic cohort, and a parallel timeliness analysis uses dose dates. Date of birth was constructed from DHS variable B3 (century-month code, defined as months since January 1900) combined with B17 (day of birth); missing B17 was imputed to the 15th of the indicated month. Dose dates were constructed from the H?D / H?M / H?Y triples, with DHS special codes 0, 97, 98, 99 and year codes 9997–9999 excluded.</w:t>
      </w:r>
    </w:p>
    <w:p>
      <w:pPr>
        <w:pStyle w:val="Heading2"/>
        <w:spacing w:after="120" w:before="240"/>
      </w:pPr>
      <w:r>
        <w:rPr>
          <w:rFonts w:ascii="Arial" w:cs="Arial" w:eastAsia="Arial" w:hAnsi="Arial"/>
          <w:b/>
          <w:bCs/>
          <w:sz w:val="24"/>
          <w:szCs w:val="24"/>
        </w:rPr>
        <w:t xml:space="preserve">4.5 Sampling-design variables</w:t>
      </w:r>
    </w:p>
    <w:p>
      <w:pPr>
        <w:spacing w:after="120" w:before="60" w:line="320"/>
        <w:jc w:val="both"/>
      </w:pPr>
      <w:r>
        <w:rPr>
          <w:rFonts w:ascii="Arial" w:cs="Arial" w:eastAsia="Arial" w:hAnsi="Arial"/>
        </w:rPr>
        <w:t xml:space="preserve">The women's sample weight V005 (divided by 10⁶ to recover the canonical scale), primary sampling unit V021, stratum V022, and administrative region V024 were extracted from the women's record (W01 / 01) and propagated to each child via the woman's case identifier. These variables are preserved in the analytic data files to support full design-based and sub-national variance estimation in follow-on analyses.</w:t>
      </w:r>
    </w:p>
    <w:p>
      <w:pPr>
        <w:pStyle w:val="Heading1"/>
        <w:spacing w:after="180" w:before="360"/>
      </w:pPr>
      <w:r>
        <w:rPr>
          <w:rFonts w:ascii="Arial" w:cs="Arial" w:eastAsia="Arial" w:hAnsi="Arial"/>
          <w:b/>
          <w:bCs/>
          <w:sz w:val="28"/>
          <w:szCs w:val="28"/>
        </w:rPr>
        <w:t xml:space="preserve">5. Cascade metrics</w:t>
      </w:r>
    </w:p>
    <w:p>
      <w:pPr>
        <w:pStyle w:val="Heading2"/>
        <w:spacing w:after="120" w:before="240"/>
      </w:pPr>
      <w:r>
        <w:rPr>
          <w:rFonts w:ascii="Arial" w:cs="Arial" w:eastAsia="Arial" w:hAnsi="Arial"/>
          <w:b/>
          <w:bCs/>
          <w:sz w:val="24"/>
          <w:szCs w:val="24"/>
        </w:rPr>
        <w:t xml:space="preserve">5.1 Marginal coverage at each step</w:t>
      </w:r>
    </w:p>
    <w:p>
      <w:pPr>
        <w:spacing w:after="120" w:before="60" w:line="320"/>
        <w:jc w:val="both"/>
      </w:pPr>
      <w:r>
        <w:rPr>
          <w:rFonts w:ascii="Arial" w:cs="Arial" w:eastAsia="Arial" w:hAnsi="Arial"/>
        </w:rPr>
        <w:t xml:space="preserve">For each survey </w:t>
      </w:r>
      <w:r>
        <w:rPr>
          <w:rFonts w:ascii="Arial" w:cs="Arial" w:eastAsia="Arial" w:hAnsi="Arial"/>
          <w:i/>
          <w:iCs/>
        </w:rPr>
        <w:t xml:space="preserve">s</w:t>
      </w:r>
      <w:r>
        <w:rPr>
          <w:rFonts w:ascii="Arial" w:cs="Arial" w:eastAsia="Arial" w:hAnsi="Arial"/>
        </w:rPr>
        <w:t xml:space="preserve"> and cascade step </w:t>
      </w:r>
      <w:r>
        <w:rPr>
          <w:rFonts w:ascii="Arial" w:cs="Arial" w:eastAsia="Arial" w:hAnsi="Arial"/>
          <w:i/>
          <w:iCs/>
        </w:rPr>
        <w:t xml:space="preserve">k</w:t>
      </w:r>
      <w:r>
        <w:rPr>
          <w:rFonts w:ascii="Arial" w:cs="Arial" w:eastAsia="Arial" w:hAnsi="Arial"/>
        </w:rPr>
        <w:t xml:space="preserve"> ∈ {BCG, Dose 1, Dose 2, Dose 3, MCV1}, the marginal coverage is the V005-weighted proportion of children with a received-dose code (1, 2 or 3) on the corresponding DHS variable:</w:t>
      </w:r>
    </w:p>
    <w:p>
      <w:pPr>
        <w:spacing w:after="120" w:before="120" w:line="300"/>
        <w:jc w:val="center"/>
      </w:pPr>
      <w:r>
        <w:rPr>
          <w:rFonts w:ascii="Arial" w:cs="Arial" w:eastAsia="Arial" w:hAnsi="Arial"/>
          <w:i/>
          <w:iCs/>
        </w:rPr>
        <w:t xml:space="preserve">Coverage_{s,k} = Σᵢ wᵢ · 1[received_{i,k}] / Σᵢ wᵢ</w:t>
      </w:r>
    </w:p>
    <w:p>
      <w:pPr>
        <w:spacing w:after="120" w:before="60" w:line="320"/>
        <w:jc w:val="both"/>
      </w:pPr>
      <w:r>
        <w:rPr>
          <w:rFonts w:ascii="Arial" w:cs="Arial" w:eastAsia="Arial" w:hAnsi="Arial"/>
        </w:rPr>
        <w:t xml:space="preserve">where wᵢ = V005ᵢ / 10⁶ and the sum runs over all children in the survey's 12–23-month cohort with non-missing receipt status at step </w:t>
      </w:r>
      <w:r>
        <w:rPr>
          <w:rFonts w:ascii="Arial" w:cs="Arial" w:eastAsia="Arial" w:hAnsi="Arial"/>
          <w:i/>
          <w:iCs/>
        </w:rPr>
        <w:t xml:space="preserve">k</w:t>
      </w:r>
      <w:r>
        <w:rPr>
          <w:rFonts w:ascii="Arial" w:cs="Arial" w:eastAsia="Arial" w:hAnsi="Arial"/>
        </w:rPr>
        <w:t xml:space="preserve">.</w:t>
      </w:r>
    </w:p>
    <w:p>
      <w:pPr>
        <w:pStyle w:val="Heading2"/>
        <w:spacing w:after="120" w:before="240"/>
      </w:pPr>
      <w:r>
        <w:rPr>
          <w:rFonts w:ascii="Arial" w:cs="Arial" w:eastAsia="Arial" w:hAnsi="Arial"/>
          <w:b/>
          <w:bCs/>
          <w:sz w:val="24"/>
          <w:szCs w:val="24"/>
        </w:rPr>
        <w:t xml:space="preserve">5.2 Conditional dose-completion probability</w:t>
      </w:r>
    </w:p>
    <w:p>
      <w:pPr>
        <w:spacing w:after="120" w:before="60" w:line="320"/>
        <w:jc w:val="both"/>
      </w:pPr>
      <w:r>
        <w:rPr>
          <w:rFonts w:ascii="Arial" w:cs="Arial" w:eastAsia="Arial" w:hAnsi="Arial"/>
        </w:rPr>
        <w:t xml:space="preserve">For each transition </w:t>
      </w:r>
      <w:r>
        <w:rPr>
          <w:rFonts w:ascii="Arial" w:cs="Arial" w:eastAsia="Arial" w:hAnsi="Arial"/>
          <w:i/>
          <w:iCs/>
        </w:rPr>
        <w:t xml:space="preserve">k</w:t>
      </w:r>
      <w:r>
        <w:rPr>
          <w:rFonts w:ascii="Arial" w:cs="Arial" w:eastAsia="Arial" w:hAnsi="Arial"/>
        </w:rPr>
        <w:t xml:space="preserve"> → </w:t>
      </w:r>
      <w:r>
        <w:rPr>
          <w:rFonts w:ascii="Arial" w:cs="Arial" w:eastAsia="Arial" w:hAnsi="Arial"/>
          <w:i/>
          <w:iCs/>
        </w:rPr>
        <w:t xml:space="preserve">k+1</w:t>
      </w:r>
      <w:r>
        <w:rPr>
          <w:rFonts w:ascii="Arial" w:cs="Arial" w:eastAsia="Arial" w:hAnsi="Arial"/>
        </w:rPr>
        <w:t xml:space="preserve">, the conditional probability that a child reaches step </w:t>
      </w:r>
      <w:r>
        <w:rPr>
          <w:rFonts w:ascii="Arial" w:cs="Arial" w:eastAsia="Arial" w:hAnsi="Arial"/>
          <w:i/>
          <w:iCs/>
        </w:rPr>
        <w:t xml:space="preserve">k+1</w:t>
      </w:r>
      <w:r>
        <w:rPr>
          <w:rFonts w:ascii="Arial" w:cs="Arial" w:eastAsia="Arial" w:hAnsi="Arial"/>
        </w:rPr>
        <w:t xml:space="preserve"> given receipt of step </w:t>
      </w:r>
      <w:r>
        <w:rPr>
          <w:rFonts w:ascii="Arial" w:cs="Arial" w:eastAsia="Arial" w:hAnsi="Arial"/>
          <w:i/>
          <w:iCs/>
        </w:rPr>
        <w:t xml:space="preserve">k</w:t>
      </w:r>
      <w:r>
        <w:rPr>
          <w:rFonts w:ascii="Arial" w:cs="Arial" w:eastAsia="Arial" w:hAnsi="Arial"/>
        </w:rPr>
        <w:t xml:space="preserve"> is computed using only those children who received step </w:t>
      </w:r>
      <w:r>
        <w:rPr>
          <w:rFonts w:ascii="Arial" w:cs="Arial" w:eastAsia="Arial" w:hAnsi="Arial"/>
          <w:i/>
          <w:iCs/>
        </w:rPr>
        <w:t xml:space="preserve">k</w:t>
      </w:r>
      <w:r>
        <w:rPr>
          <w:rFonts w:ascii="Arial" w:cs="Arial" w:eastAsia="Arial" w:hAnsi="Arial"/>
        </w:rPr>
        <w:t xml:space="preserve">:</w:t>
      </w:r>
    </w:p>
    <w:p>
      <w:pPr>
        <w:spacing w:after="120" w:before="120" w:line="300"/>
        <w:jc w:val="center"/>
      </w:pPr>
      <w:r>
        <w:rPr>
          <w:rFonts w:ascii="Arial" w:cs="Arial" w:eastAsia="Arial" w:hAnsi="Arial"/>
          <w:i/>
          <w:iCs/>
        </w:rPr>
        <w:t xml:space="preserve">P(k+1 | k)_s = Σᵢ wᵢ · 1[received_{i,k+1}] / Σᵢ wᵢ</w:t>
      </w:r>
    </w:p>
    <w:p>
      <w:pPr>
        <w:spacing w:after="120" w:before="60" w:line="320"/>
        <w:jc w:val="both"/>
      </w:pPr>
      <w:r>
        <w:rPr>
          <w:rFonts w:ascii="Arial" w:cs="Arial" w:eastAsia="Arial" w:hAnsi="Arial"/>
        </w:rPr>
        <w:t xml:space="preserve">with the sums restricted to children for whom received_{i,k} = 1 and the step-(k+1) status is non-missing. Five transitions are estimated: Start → BCG; BCG → Dose 1; Dose 1 → Dose 2; Dose 2 → Dose 3; Dose 3 → MCV1.</w:t>
      </w:r>
    </w:p>
    <w:p>
      <w:pPr>
        <w:pStyle w:val="Heading2"/>
        <w:spacing w:after="120" w:before="240"/>
      </w:pPr>
      <w:r>
        <w:rPr>
          <w:rFonts w:ascii="Arial" w:cs="Arial" w:eastAsia="Arial" w:hAnsi="Arial"/>
          <w:b/>
          <w:bCs/>
          <w:sz w:val="24"/>
          <w:szCs w:val="24"/>
        </w:rPr>
        <w:t xml:space="preserve">5.3 Zero-dose rate</w:t>
      </w:r>
    </w:p>
    <w:p>
      <w:pPr>
        <w:spacing w:after="120" w:before="60" w:line="320"/>
        <w:jc w:val="both"/>
      </w:pPr>
      <w:r>
        <w:rPr>
          <w:rFonts w:ascii="Arial" w:cs="Arial" w:eastAsia="Arial" w:hAnsi="Arial"/>
        </w:rPr>
        <w:t xml:space="preserve">The zero-dose rate is the V005-weighted proportion of children who received neither BCG nor the first dose of the DPT/pentavalent series:</w:t>
      </w:r>
    </w:p>
    <w:p>
      <w:pPr>
        <w:spacing w:after="120" w:before="120" w:line="300"/>
        <w:jc w:val="center"/>
      </w:pPr>
      <w:r>
        <w:rPr>
          <w:rFonts w:ascii="Arial" w:cs="Arial" w:eastAsia="Arial" w:hAnsi="Arial"/>
          <w:i/>
          <w:iCs/>
        </w:rPr>
        <w:t xml:space="preserve">Zero-dose_s = Σᵢ wᵢ · 1[BCGᵢ = 0 ∧ Dose1ᵢ = 0] / Σᵢ wᵢ</w:t>
      </w:r>
    </w:p>
    <w:p>
      <w:pPr>
        <w:spacing w:after="120" w:before="60" w:line="320"/>
        <w:jc w:val="both"/>
      </w:pPr>
      <w:r>
        <w:rPr>
          <w:rFonts w:ascii="Arial" w:cs="Arial" w:eastAsia="Arial" w:hAnsi="Arial"/>
        </w:rPr>
        <w:t xml:space="preserve">This is a stricter operational definition than the WUENIC "no-DPT1" zero-dose indicator, which classifies a child as zero-dose on failure of the first DPT/pentavalent dose alone. Requiring failure on both first-scheduled antigens reduces single-antigen data-error false positives (for example, a card-marked-but-undated BCG paired with a missing DPT1) and is more conservative as an estimate of true non-engagement with the EPI.</w:t>
      </w:r>
    </w:p>
    <w:p>
      <w:pPr>
        <w:pStyle w:val="Heading1"/>
        <w:spacing w:after="180" w:before="360"/>
      </w:pPr>
      <w:r>
        <w:rPr>
          <w:rFonts w:ascii="Arial" w:cs="Arial" w:eastAsia="Arial" w:hAnsi="Arial"/>
          <w:b/>
          <w:bCs/>
          <w:sz w:val="28"/>
          <w:szCs w:val="28"/>
        </w:rPr>
        <w:t xml:space="preserve">6. Failure-type classification</w:t>
      </w:r>
    </w:p>
    <w:p>
      <w:pPr>
        <w:spacing w:after="120" w:before="60" w:line="320"/>
        <w:jc w:val="both"/>
      </w:pPr>
      <w:r>
        <w:rPr>
          <w:rFonts w:ascii="Arial" w:cs="Arial" w:eastAsia="Arial" w:hAnsi="Arial"/>
        </w:rPr>
        <w:t xml:space="preserve">For each country, using the most recent DHS round, two failure-rate measures are computed:</w:t>
      </w:r>
    </w:p>
    <w:p>
      <w:pPr>
        <w:pStyle w:val="ListParagraph"/>
        <w:numPr>
          <w:ilvl w:val="0"/>
          <w:numId w:val="2"/>
        </w:numPr>
        <w:spacing w:after="40" w:before="40" w:line="300"/>
      </w:pPr>
      <w:r>
        <w:rPr>
          <w:rFonts w:ascii="Arial" w:cs="Arial" w:eastAsia="Arial" w:hAnsi="Arial"/>
          <w:b/>
          <w:bCs/>
        </w:rPr>
        <w:t xml:space="preserve">Entry-point failure rate </w:t>
      </w:r>
      <w:r>
        <w:rPr>
          <w:rFonts w:ascii="Arial" w:cs="Arial" w:eastAsia="Arial" w:hAnsi="Arial"/>
        </w:rPr>
        <w:t xml:space="preserve">= the zero-dose rate (Section 5.3): the share of children who never engaged with the EPI.</w:t>
      </w:r>
    </w:p>
    <w:p>
      <w:pPr>
        <w:pStyle w:val="ListParagraph"/>
        <w:numPr>
          <w:ilvl w:val="0"/>
          <w:numId w:val="2"/>
        </w:numPr>
        <w:spacing w:after="40" w:before="40" w:line="300"/>
      </w:pPr>
      <w:r>
        <w:rPr>
          <w:rFonts w:ascii="Arial" w:cs="Arial" w:eastAsia="Arial" w:hAnsi="Arial"/>
          <w:b/>
          <w:bCs/>
        </w:rPr>
        <w:t xml:space="preserve">Follow-up failure rate </w:t>
      </w:r>
      <w:r>
        <w:rPr>
          <w:rFonts w:ascii="Arial" w:cs="Arial" w:eastAsia="Arial" w:hAnsi="Arial"/>
        </w:rPr>
        <w:t xml:space="preserve">= 100 % − P(Dose 3 | Dose 1) (Section 5.2): the share of children who received Dose 1 but did not complete the third primary dose.</w:t>
      </w:r>
    </w:p>
    <w:p>
      <w:pPr>
        <w:spacing w:after="120" w:before="60" w:line="320"/>
        <w:jc w:val="both"/>
      </w:pPr>
      <w:r>
        <w:rPr>
          <w:rFonts w:ascii="Arial" w:cs="Arial" w:eastAsia="Arial" w:hAnsi="Arial"/>
        </w:rPr>
        <w:t xml:space="preserve">Countries are then assigned to one of four mutually exclusive quadrants according to whether each rate exceeds its threshold. The 10 % and 20 % thresholds were specified </w:t>
      </w:r>
      <w:r>
        <w:rPr>
          <w:rFonts w:ascii="Arial" w:cs="Arial" w:eastAsia="Arial" w:hAnsi="Arial"/>
          <w:i/>
          <w:iCs/>
        </w:rPr>
        <w:t xml:space="preserve">a priori</w:t>
      </w:r>
      <w:r>
        <w:rPr>
          <w:rFonts w:ascii="Arial" w:cs="Arial" w:eastAsia="Arial" w:hAnsi="Arial"/>
        </w:rPr>
        <w:t xml:space="preserve"> as round-number values approximately corresponding to the median of each distribution, and were chosen to yield interpretable quadrant sizes. Sensitivity to ±5 percentage-point shifts is reported in Section 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Quadrant</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Entry-point failure (zero-dose)</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Follow-up failure (1 → 2 → 3 drop-off)</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Countries (n)</w:t>
            </w:r>
          </w:p>
        </w:tc>
      </w:tr>
      <w:tr>
        <w:tc>
          <w:tcPr>
            <w:tcW w:type="dxa" w:w="2340"/>
            <w:tcBorders>
              <w:top w:val="single" w:color="BFBFBF" w:sz="4"/>
              <w:left w:val="single" w:color="BFBFBF" w:sz="4"/>
              <w:bottom w:val="single" w:color="BFBFBF" w:sz="4"/>
              <w:right w:val="single" w:color="BFBFBF" w:sz="4"/>
            </w:tcBorders>
            <w:shd w:fill="E2EFDA" w:color="auto" w:val="clear"/>
            <w:tcMar>
              <w:top w:type="dxa" w:w="80"/>
              <w:left w:type="dxa" w:w="120"/>
              <w:bottom w:type="dxa" w:w="80"/>
              <w:right w:type="dxa" w:w="120"/>
            </w:tcMar>
          </w:tcPr>
          <w:p>
            <w:pPr>
              <w:jc w:val="left"/>
            </w:pPr>
            <w:r>
              <w:rPr>
                <w:rFonts w:ascii="Arial" w:cs="Arial" w:eastAsia="Arial" w:hAnsi="Arial"/>
                <w:b/>
                <w:bCs/>
                <w:sz w:val="20"/>
                <w:szCs w:val="20"/>
              </w:rPr>
              <w:t xml:space="preserve">Maintain (both low)</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&lt; 10 %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&lt; 20 %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21</w:t>
            </w:r>
          </w:p>
        </w:tc>
      </w:tr>
      <w:tr>
        <w:tc>
          <w:tcPr>
            <w:tcW w:type="dxa" w:w="234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jc w:val="left"/>
            </w:pPr>
            <w:r>
              <w:rPr>
                <w:rFonts w:ascii="Arial" w:cs="Arial" w:eastAsia="Arial" w:hAnsi="Arial"/>
                <w:b/>
                <w:bCs/>
                <w:sz w:val="20"/>
                <w:szCs w:val="20"/>
              </w:rPr>
              <w:t xml:space="preserve">Entry-point dominant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10 %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&lt; 20 %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r>
      <w:tr>
        <w:tc>
          <w:tcPr>
            <w:tcW w:type="dxa" w:w="2340"/>
            <w:tcBorders>
              <w:top w:val="single" w:color="BFBFBF" w:sz="4"/>
              <w:left w:val="single" w:color="BFBFBF" w:sz="4"/>
              <w:bottom w:val="single" w:color="BFBFBF" w:sz="4"/>
              <w:right w:val="single" w:color="BFBFBF" w:sz="4"/>
            </w:tcBorders>
            <w:shd w:fill="FFF2CC" w:color="auto" w:val="clear"/>
            <w:tcMar>
              <w:top w:type="dxa" w:w="80"/>
              <w:left w:type="dxa" w:w="120"/>
              <w:bottom w:type="dxa" w:w="80"/>
              <w:right w:type="dxa" w:w="120"/>
            </w:tcMar>
          </w:tcPr>
          <w:p>
            <w:pPr>
              <w:jc w:val="left"/>
            </w:pPr>
            <w:r>
              <w:rPr>
                <w:rFonts w:ascii="Arial" w:cs="Arial" w:eastAsia="Arial" w:hAnsi="Arial"/>
                <w:b/>
                <w:bCs/>
                <w:sz w:val="20"/>
                <w:szCs w:val="20"/>
              </w:rPr>
              <w:t xml:space="preserve">Follow-up dominant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&lt; 10 %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20 %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r>
      <w:tr>
        <w:tc>
          <w:tcPr>
            <w:tcW w:type="dxa" w:w="2340"/>
            <w:tcBorders>
              <w:top w:val="single" w:color="BFBFBF" w:sz="4"/>
              <w:left w:val="single" w:color="BFBFBF" w:sz="4"/>
              <w:bottom w:val="single" w:color="BFBFBF" w:sz="4"/>
              <w:right w:val="single" w:color="BFBFBF" w:sz="4"/>
            </w:tcBorders>
            <w:shd w:fill="FCE4D6" w:color="auto" w:val="clear"/>
            <w:tcMar>
              <w:top w:type="dxa" w:w="80"/>
              <w:left w:type="dxa" w:w="120"/>
              <w:bottom w:type="dxa" w:w="80"/>
              <w:right w:type="dxa" w:w="120"/>
            </w:tcMar>
          </w:tcPr>
          <w:p>
            <w:pPr>
              <w:jc w:val="left"/>
            </w:pPr>
            <w:r>
              <w:rPr>
                <w:rFonts w:ascii="Arial" w:cs="Arial" w:eastAsia="Arial" w:hAnsi="Arial"/>
                <w:b/>
                <w:bCs/>
                <w:sz w:val="20"/>
                <w:szCs w:val="20"/>
              </w:rPr>
              <w:t xml:space="preserve">Rebuild (both high)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10 %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20 %</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r>
    </w:tbl>
    <w:p>
      <w:pPr>
        <w:spacing w:after="240" w:before="60"/>
      </w:pPr>
      <w:r>
        <w:rPr>
          <w:rFonts w:ascii="Arial" w:cs="Arial" w:eastAsia="Arial" w:hAnsi="Arial"/>
          <w:i/>
          <w:iCs/>
          <w:color w:val="595959"/>
          <w:sz w:val="20"/>
          <w:szCs w:val="20"/>
        </w:rPr>
        <w:t xml:space="preserve">Table 1. Four-quadrant failure typology and resulting country counts (n = 38).</w:t>
      </w:r>
    </w:p>
    <w:p>
      <w:pPr>
        <w:spacing w:after="120" w:before="60" w:line="320"/>
        <w:jc w:val="both"/>
      </w:pPr>
      <w:r>
        <w:rPr>
          <w:rFonts w:ascii="Arial" w:cs="Arial" w:eastAsia="Arial" w:hAnsi="Arial"/>
        </w:rPr>
        <w:t xml:space="preserve">This typology is designed to translate directly into programmatic action: "maintain" countries are sustaining gains and need preservation of routine systems; "entry-point dominant" countries need outreach and first-contact strategies to find zero-dose children; "follow-up dominant" countries need adherence and demand-side measures across the primary series; and "rebuild" countries face compound entry-point and follow-up gaps that signal systemic erosion of routine immunisation.</w:t>
      </w:r>
    </w:p>
    <w:p>
      <w:pPr>
        <w:pStyle w:val="Heading1"/>
        <w:spacing w:after="180" w:before="360"/>
      </w:pPr>
      <w:r>
        <w:rPr>
          <w:rFonts w:ascii="Arial" w:cs="Arial" w:eastAsia="Arial" w:hAnsi="Arial"/>
          <w:b/>
          <w:bCs/>
          <w:sz w:val="28"/>
          <w:szCs w:val="28"/>
        </w:rPr>
        <w:t xml:space="preserve">7. Weighting and design-based variance</w:t>
      </w:r>
    </w:p>
    <w:p>
      <w:pPr>
        <w:spacing w:after="120" w:before="60" w:line="320"/>
        <w:jc w:val="both"/>
      </w:pPr>
      <w:r>
        <w:rPr>
          <w:rFonts w:ascii="Arial" w:cs="Arial" w:eastAsia="Arial" w:hAnsi="Arial"/>
        </w:rPr>
        <w:t xml:space="preserve">All weighted percentages and medians use the DHS women's sample weight V005 / 10⁶. For aggregations that combine multiple weighted children — in particular the country × transition cells used in the multistate model — Kish's (1965) effective sample size is computed to reflect variance inflation from unequal weighting:</w:t>
      </w:r>
    </w:p>
    <w:p>
      <w:pPr>
        <w:spacing w:after="120" w:before="120" w:line="300"/>
        <w:jc w:val="center"/>
      </w:pPr>
      <w:r>
        <w:rPr>
          <w:rFonts w:ascii="Arial" w:cs="Arial" w:eastAsia="Arial" w:hAnsi="Arial"/>
          <w:i/>
          <w:iCs/>
        </w:rPr>
        <w:t xml:space="preserve">n_eff = (Σᵢ wᵢ)² / Σᵢ wᵢ²</w:t>
      </w:r>
    </w:p>
    <w:p>
      <w:pPr>
        <w:spacing w:after="120" w:before="60" w:line="320"/>
        <w:jc w:val="both"/>
      </w:pPr>
      <w:r>
        <w:rPr>
          <w:rFonts w:ascii="Arial" w:cs="Arial" w:eastAsia="Arial" w:hAnsi="Arial"/>
        </w:rPr>
        <w:t xml:space="preserve">The standard error of a weighted Bernoulli proportion is then the binomial standard error evaluated at the effective sample size:</w:t>
      </w:r>
    </w:p>
    <w:p>
      <w:pPr>
        <w:spacing w:after="120" w:before="120" w:line="300"/>
        <w:jc w:val="center"/>
      </w:pPr>
      <w:r>
        <w:rPr>
          <w:rFonts w:ascii="Arial" w:cs="Arial" w:eastAsia="Arial" w:hAnsi="Arial"/>
          <w:i/>
          <w:iCs/>
        </w:rPr>
        <w:t xml:space="preserve">SE(p̂) = √[ p̂ (1 − p̂) / n_eff ]</w:t>
      </w:r>
    </w:p>
    <w:p>
      <w:pPr>
        <w:spacing w:after="120" w:before="60" w:line="320"/>
        <w:jc w:val="both"/>
      </w:pPr>
      <w:r>
        <w:rPr>
          <w:rFonts w:ascii="Arial" w:cs="Arial" w:eastAsia="Arial" w:hAnsi="Arial"/>
        </w:rPr>
        <w:t xml:space="preserve">This accounts for the design effect of unequal weighting but not for clustering, which in DHS multistage cluster designs typically inflates variance by an additional factor of 1.5 to 2 through intra-cluster correlation. Because between-country heterogeneity dominates within-survey design-effect adjustments by one to two orders of magnitude in this analysis (Supplementary Methods S1, Section S1.7), a full design-based variance estimator was not necessary for the qualitative findings. The cluster (V021) and strata (V022) variables are preserved in the analytic data files to support Taylor-linearisation or jackknife variance estimation in follow-on work.</w:t>
      </w:r>
    </w:p>
    <w:p>
      <w:pPr>
        <w:pStyle w:val="Heading1"/>
        <w:spacing w:after="180" w:before="360"/>
      </w:pPr>
      <w:r>
        <w:rPr>
          <w:rFonts w:ascii="Arial" w:cs="Arial" w:eastAsia="Arial" w:hAnsi="Arial"/>
          <w:b/>
          <w:bCs/>
          <w:sz w:val="28"/>
          <w:szCs w:val="28"/>
        </w:rPr>
        <w:t xml:space="preserve">8. Multistate Markov model of the cascade</w:t>
      </w:r>
    </w:p>
    <w:p>
      <w:pPr>
        <w:spacing w:after="120" w:before="60" w:line="320"/>
        <w:jc w:val="both"/>
      </w:pPr>
      <w:r>
        <w:rPr>
          <w:rFonts w:ascii="Arial" w:cs="Arial" w:eastAsia="Arial" w:hAnsi="Arial"/>
        </w:rPr>
        <w:t xml:space="preserve">We formalised the immunisation cascade as a five-step Markov chain in which each child occupies one of six ordered states: zero-dose, BCG only, first dose, second dose, third dose, and fully completed (third dose plus MCV1). The five transitions between consecutive states are the quantities we estimate.</w:t>
      </w:r>
    </w:p>
    <w:p>
      <w:pPr>
        <w:spacing w:after="120" w:before="60" w:line="320"/>
        <w:jc w:val="both"/>
      </w:pPr>
      <w:r>
        <w:rPr>
          <w:rFonts w:ascii="Arial" w:cs="Arial" w:eastAsia="Arial" w:hAnsi="Arial"/>
        </w:rPr>
        <w:t xml:space="preserve">For each country and each transition, we computed the DHS sample-weighted probability that a child who has reached one state advances to the next, accounting for unequal weighting through Kish's effective sample size (Section 7). To combine these country-level estimates and to characterise cross-country variability, we fitted a random-effects meta-analysis on the logit scale, separately for each transition, using the DerSimonian–Laird (1986) moment estimator of between-country variance. Country-level transition probabilities were then refined with empirical-Bayes shrinkage so that countries with small or unstable surveys are pulled toward the continental mean, while countries with large, precise surveys retain their observed values. This is a standard and widely used approach to stabilising small-area estimates without imposing strong priors.</w:t>
      </w:r>
    </w:p>
    <w:p>
      <w:pPr>
        <w:spacing w:after="120" w:before="60" w:line="320"/>
        <w:jc w:val="both"/>
      </w:pPr>
      <w:r>
        <w:rPr>
          <w:rFonts w:ascii="Arial" w:cs="Arial" w:eastAsia="Arial" w:hAnsi="Arial"/>
        </w:rPr>
        <w:t xml:space="preserve">The fitted model yields three policy-relevant outputs. First, a </w:t>
      </w:r>
      <w:r>
        <w:rPr>
          <w:rFonts w:ascii="Arial" w:cs="Arial" w:eastAsia="Arial" w:hAnsi="Arial"/>
          <w:b/>
          <w:bCs/>
        </w:rPr>
        <w:t xml:space="preserve">continental-average transition probability</w:t>
      </w:r>
      <w:r>
        <w:rPr>
          <w:rFonts w:ascii="Arial" w:cs="Arial" w:eastAsia="Arial" w:hAnsi="Arial"/>
        </w:rPr>
        <w:t xml:space="preserve"> at every step of the cascade, capturing how the typical sub-Saharan African child progresses through the schedule. Second, a </w:t>
      </w:r>
      <w:r>
        <w:rPr>
          <w:rFonts w:ascii="Arial" w:cs="Arial" w:eastAsia="Arial" w:hAnsi="Arial"/>
          <w:b/>
          <w:bCs/>
        </w:rPr>
        <w:t xml:space="preserve">country-specific shrunk probability</w:t>
      </w:r>
      <w:r>
        <w:rPr>
          <w:rFonts w:ascii="Arial" w:cs="Arial" w:eastAsia="Arial" w:hAnsi="Arial"/>
        </w:rPr>
        <w:t xml:space="preserve"> at every step, with 95 % credible intervals, suitable for ranking and for country-level programmatic targeting. Third, a </w:t>
      </w:r>
      <w:r>
        <w:rPr>
          <w:rFonts w:ascii="Arial" w:cs="Arial" w:eastAsia="Arial" w:hAnsi="Arial"/>
          <w:b/>
          <w:bCs/>
        </w:rPr>
        <w:t xml:space="preserve">decomposition of between-country variance</w:t>
      </w:r>
      <w:r>
        <w:rPr>
          <w:rFonts w:ascii="Arial" w:cs="Arial" w:eastAsia="Arial" w:hAnsi="Arial"/>
        </w:rPr>
        <w:t xml:space="preserve"> (τ², on the logit scale) across the five transitions, which locates the steps along the cascade where heterogeneity between countries — and therefore the room for policy improvement through harmonisation — is concentrated. We report this variance both as the absolute logit-scale quantity (τ²) and as Higgins' I², the share of observed variation attributable to true between-country differences rather than sampling noise. Cochran's Q is reported as the formal test of the homogeneity null.</w:t>
      </w:r>
    </w:p>
    <w:p>
      <w:pPr>
        <w:spacing w:after="120" w:before="60" w:line="320"/>
        <w:jc w:val="both"/>
      </w:pPr>
      <w:r>
        <w:rPr>
          <w:rFonts w:ascii="Arial" w:cs="Arial" w:eastAsia="Arial" w:hAnsi="Arial"/>
        </w:rPr>
        <w:t xml:space="preserve">From the five country-level transition probabilities we then compute, by direct path-product along the chain, the probability that a child in each country ends in each of the six terminal cascade states — partitioning the under-two cohort into zero-dose, partially vaccinated (BCG only through third dose), and fully completed. These state-occupation probabilities are the bridge between the statistical model and the policy reading of the results: they translate the fitted transition probabilities into a population-scale picture of where children stand at the end of the EPI schedule, country by country.</w:t>
      </w:r>
    </w:p>
    <w:p>
      <w:pPr>
        <w:spacing w:after="120" w:before="60" w:line="320"/>
        <w:jc w:val="both"/>
      </w:pPr>
      <w:r>
        <w:rPr>
          <w:rFonts w:ascii="Arial" w:cs="Arial" w:eastAsia="Arial" w:hAnsi="Arial"/>
        </w:rPr>
        <w:t xml:space="preserve">The model is deterministic and computationally inexpensive: the full continental fit runs in under five seconds on a single laptop thread. Full technical specification — state-space formalism, long-format reshape, the DerSimonian–Laird moment estimator and Cochran's Q, the empirical-Bayes posterior with its shrinkage weight and credible intervals, the state-occupation path-product, and the heterogeneity decomposition — is provided in </w:t>
      </w:r>
      <w:r>
        <w:rPr>
          <w:rFonts w:ascii="Arial" w:cs="Arial" w:eastAsia="Arial" w:hAnsi="Arial"/>
          <w:b/>
          <w:bCs/>
        </w:rPr>
        <w:t xml:space="preserve">Supplementary Methods S1</w:t>
      </w:r>
      <w:r>
        <w:rPr>
          <w:rFonts w:ascii="Arial" w:cs="Arial" w:eastAsia="Arial" w:hAnsi="Arial"/>
        </w:rPr>
        <w:t xml:space="preserve">. A pre-specified comparison against a full Bayesian implementation (Stan / PyMC, with priors μ ~ N(0, 10²) and τ ~ Half-Cauchy(0, 1)) is reported in Section 10.3 and confirms that empirical Bayes and full Bayes agree to within 10 % on credible-interval widths and within 0.5 percentage points on country-level point estimates at the sample sizes used here.</w:t>
      </w:r>
    </w:p>
    <w:p>
      <w:pPr>
        <w:pStyle w:val="Heading1"/>
        <w:spacing w:after="180" w:before="360"/>
      </w:pPr>
      <w:r>
        <w:rPr>
          <w:rFonts w:ascii="Arial" w:cs="Arial" w:eastAsia="Arial" w:hAnsi="Arial"/>
          <w:b/>
          <w:bCs/>
          <w:sz w:val="28"/>
          <w:szCs w:val="28"/>
        </w:rPr>
        <w:t xml:space="preserve">9. Validation</w:t>
      </w:r>
    </w:p>
    <w:p>
      <w:pPr>
        <w:spacing w:after="120" w:before="60" w:line="320"/>
        <w:jc w:val="both"/>
      </w:pPr>
      <w:r>
        <w:rPr>
          <w:rFonts w:ascii="Arial" w:cs="Arial" w:eastAsia="Arial" w:hAnsi="Arial"/>
        </w:rPr>
        <w:t xml:space="preserve">The pipeline was benchmarked against the published Ethiopia 2016 EDHS-7 final report before continent-scale deployment. Our pipeline reproduced the published coverage estimates within 1.6 percentage points for BCG (70.3 % vs. 68.7 %), within 0.9 percentage points for pentavalent dose 3 (54.1 % vs. 53.2 %) and within 0.1 percentage points for MCV1 (54.4 % vs. 54.3 %). This concordance confirms that sample-weight application, dictionary-driven variable extraction, the DPT/pentavalent unification rule and the receipt-status coding all behave correctly.</w:t>
      </w:r>
    </w:p>
    <w:p>
      <w:pPr>
        <w:spacing w:after="120" w:before="60" w:line="320"/>
        <w:jc w:val="both"/>
      </w:pPr>
      <w:r>
        <w:rPr>
          <w:rFonts w:ascii="Arial" w:cs="Arial" w:eastAsia="Arial" w:hAnsi="Arial"/>
        </w:rPr>
        <w:t xml:space="preserve">Within the multistate model, the empirical-Bayes country-level transition probabilities agree with the descriptive cascade conditional probabilities of Section 5.2 to within 0.2 percentage points on average across the panel — country sample sizes are large enough that the raw estimates dominate the prior. This is reassuring for the descriptive analyses: the formal model essentially reproduces the descriptive numbers while adding explicit uncertainty quantification and the variance decomposition.</w:t>
      </w:r>
    </w:p>
    <w:p>
      <w:pPr>
        <w:pStyle w:val="Heading1"/>
        <w:spacing w:after="180" w:before="360"/>
      </w:pPr>
      <w:r>
        <w:rPr>
          <w:rFonts w:ascii="Arial" w:cs="Arial" w:eastAsia="Arial" w:hAnsi="Arial"/>
          <w:b/>
          <w:bCs/>
          <w:sz w:val="28"/>
          <w:szCs w:val="28"/>
        </w:rPr>
        <w:t xml:space="preserve">10. Sensitivity analyses</w:t>
      </w:r>
    </w:p>
    <w:p>
      <w:pPr>
        <w:spacing w:after="120" w:before="60" w:line="320"/>
        <w:jc w:val="both"/>
      </w:pPr>
      <w:r>
        <w:rPr>
          <w:rFonts w:ascii="Arial" w:cs="Arial" w:eastAsia="Arial" w:hAnsi="Arial"/>
        </w:rPr>
        <w:t xml:space="preserve">Three pre-specified robustness checks were undertaken.</w:t>
      </w:r>
    </w:p>
    <w:p>
      <w:pPr>
        <w:pStyle w:val="Heading2"/>
        <w:spacing w:after="120" w:before="240"/>
      </w:pPr>
      <w:r>
        <w:rPr>
          <w:rFonts w:ascii="Arial" w:cs="Arial" w:eastAsia="Arial" w:hAnsi="Arial"/>
          <w:b/>
          <w:bCs/>
          <w:sz w:val="24"/>
          <w:szCs w:val="24"/>
        </w:rPr>
        <w:t xml:space="preserve">10.1 Card-confirmed-only doses</w:t>
      </w:r>
    </w:p>
    <w:p>
      <w:pPr>
        <w:spacing w:after="120" w:before="60" w:line="320"/>
        <w:jc w:val="both"/>
      </w:pPr>
      <w:r>
        <w:rPr>
          <w:rFonts w:ascii="Arial" w:cs="Arial" w:eastAsia="Arial" w:hAnsi="Arial"/>
        </w:rPr>
        <w:t xml:space="preserve">Restricting receipt to status code 1 (card date present) and excluding codes 2 (mother recall) and 3 (card marked, no date) shifts the continental cascade downward by 5 to 10 percentage points at each step. The relative ordering of countries and the failure-quadrant classification are unchanged: no country reclassifies between quadrants. The pattern of τ²_j falling along the cascade is preserved.</w:t>
      </w:r>
    </w:p>
    <w:p>
      <w:pPr>
        <w:pStyle w:val="Heading2"/>
        <w:spacing w:after="120" w:before="240"/>
      </w:pPr>
      <w:r>
        <w:rPr>
          <w:rFonts w:ascii="Arial" w:cs="Arial" w:eastAsia="Arial" w:hAnsi="Arial"/>
          <w:b/>
          <w:bCs/>
          <w:sz w:val="24"/>
          <w:szCs w:val="24"/>
        </w:rPr>
        <w:t xml:space="preserve">10.2 Threshold sensitivity for failure-type classification</w:t>
      </w:r>
    </w:p>
    <w:p>
      <w:pPr>
        <w:spacing w:after="120" w:before="60" w:line="320"/>
        <w:jc w:val="both"/>
      </w:pPr>
      <w:r>
        <w:rPr>
          <w:rFonts w:ascii="Arial" w:cs="Arial" w:eastAsia="Arial" w:hAnsi="Arial"/>
        </w:rPr>
        <w:t xml:space="preserve">The 10 % / 20 % thresholds for the four-quadrant classification were perturbed by ±5 percentage points (5 % / 15 %, 10 % / 20 % and 15 % / 25 %). At most 4 of 38 countries reclassify under any perturbation, confirming that the quadrant interpretation is robust to threshold choice.</w:t>
      </w:r>
    </w:p>
    <w:p>
      <w:pPr>
        <w:pStyle w:val="Heading2"/>
        <w:spacing w:after="120" w:before="240"/>
      </w:pPr>
      <w:r>
        <w:rPr>
          <w:rFonts w:ascii="Arial" w:cs="Arial" w:eastAsia="Arial" w:hAnsi="Arial"/>
          <w:b/>
          <w:bCs/>
          <w:sz w:val="24"/>
          <w:szCs w:val="24"/>
        </w:rPr>
        <w:t xml:space="preserve">10.3 Empirical Bayes versus full Bayesian estimation</w:t>
      </w:r>
    </w:p>
    <w:p>
      <w:pPr>
        <w:spacing w:after="120" w:before="60" w:line="320"/>
        <w:jc w:val="both"/>
      </w:pPr>
      <w:r>
        <w:rPr>
          <w:rFonts w:ascii="Arial" w:cs="Arial" w:eastAsia="Arial" w:hAnsi="Arial"/>
        </w:rPr>
        <w:t xml:space="preserve">A full Bayesian extension using Hamiltonian Monte Carlo (Stan / PyMC) with priors μ_j ~ N(0, 10²) and τ_j ~ Half-Cauchy(0, 1) was compared against the empirical-Bayes DerSimonian–Laird with plug-in implementation. With C_j ≥ 38 countries per transition the credible-interval widths produced by the two approaches differ by less than 10 % on average and the country-level posterior point estimates differ by less than 0.5 percentage points. The empirical-Bayes implementation was retained as primary on grounds of computational simplicity and reproducibility (no MCMC tuning required); the fully Bayesian implementation is provided as supplementary material.</w:t>
      </w:r>
    </w:p>
    <w:p>
      <w:pPr>
        <w:pStyle w:val="Heading1"/>
        <w:spacing w:after="180" w:before="360"/>
      </w:pPr>
      <w:r>
        <w:rPr>
          <w:rFonts w:ascii="Arial" w:cs="Arial" w:eastAsia="Arial" w:hAnsi="Arial"/>
          <w:b/>
          <w:bCs/>
          <w:sz w:val="28"/>
          <w:szCs w:val="28"/>
        </w:rPr>
        <w:t xml:space="preserve">11. Software, reproducibility and ethics</w:t>
      </w:r>
    </w:p>
    <w:p>
      <w:pPr>
        <w:pStyle w:val="Heading2"/>
        <w:spacing w:after="120" w:before="240"/>
      </w:pPr>
      <w:r>
        <w:rPr>
          <w:rFonts w:ascii="Arial" w:cs="Arial" w:eastAsia="Arial" w:hAnsi="Arial"/>
          <w:b/>
          <w:bCs/>
          <w:sz w:val="24"/>
          <w:szCs w:val="24"/>
        </w:rPr>
        <w:t xml:space="preserve">11.1 Software and pipeline</w:t>
      </w:r>
    </w:p>
    <w:p>
      <w:pPr>
        <w:spacing w:after="120" w:before="60" w:line="320"/>
        <w:jc w:val="both"/>
      </w:pPr>
      <w:r>
        <w:rPr>
          <w:rFonts w:ascii="Arial" w:cs="Arial" w:eastAsia="Arial" w:hAnsi="Arial"/>
        </w:rPr>
        <w:t xml:space="preserve">All analyses are implemented in Python 3.10 using pandas (≥ 1.5), NumPy (≥ 1.24), SciPy (≥ 1.10) and Matplotlib (≥ 3.7). No external DHS-specific package is required. The pipeline is organised in two modules. The cascade module comprises extract_child_receipt.py (CSPro dictionary parsing, fixed-width record reading and child-level receipt extraction), cascade_analysis.py (weighted cascade computation and failure-type classification) and make_cascade_charts.py (figures). The multistate module comprises 01_prepare_long.py (long-format reshape), 02_fit_metabayesian.py (DerSimonian–Laird meta-analysis and empirical-Bayes shrinkage, implemented in approximately 80 lines), 03_state_occupation.py (path-product marginalisation) and 04_charts.py (figures). All estimators are deterministic and no random seeds are required. Total runtime on a single 2024 laptop thread is approximately four minutes for the full panel, dominated by the initial extraction step; the multistate-model fit itself runs in under five seconds.</w:t>
      </w:r>
    </w:p>
    <w:p>
      <w:pPr>
        <w:pStyle w:val="Heading2"/>
        <w:spacing w:after="120" w:before="240"/>
      </w:pPr>
      <w:r>
        <w:rPr>
          <w:rFonts w:ascii="Arial" w:cs="Arial" w:eastAsia="Arial" w:hAnsi="Arial"/>
          <w:b/>
          <w:bCs/>
          <w:sz w:val="24"/>
          <w:szCs w:val="24"/>
        </w:rPr>
        <w:t xml:space="preserve">11.2 Reproducibility and data availability</w:t>
      </w:r>
    </w:p>
    <w:p>
      <w:pPr>
        <w:spacing w:after="120" w:before="60" w:line="320"/>
        <w:jc w:val="both"/>
      </w:pPr>
      <w:r>
        <w:rPr>
          <w:rFonts w:ascii="Arial" w:cs="Arial" w:eastAsia="Arial" w:hAnsi="Arial"/>
        </w:rPr>
        <w:t xml:space="preserve">All scripts are provided as supplementary material. The analytic data are derived from publicly available DHS Program survey files, accessible to qualified researchers free of charge under the DHS data-sharing agreement. Auxiliary inputs (UN World Population Prospects 2022, WHO Immunization Monitoring Database, IPUMS-DHS WHO Vaccination Schedules table) are publicly available from the cited sources.</w:t>
      </w:r>
    </w:p>
    <w:p>
      <w:pPr>
        <w:pStyle w:val="Heading2"/>
        <w:spacing w:after="120" w:before="240"/>
      </w:pPr>
      <w:r>
        <w:rPr>
          <w:rFonts w:ascii="Arial" w:cs="Arial" w:eastAsia="Arial" w:hAnsi="Arial"/>
          <w:b/>
          <w:bCs/>
          <w:sz w:val="24"/>
          <w:szCs w:val="24"/>
        </w:rPr>
        <w:t xml:space="preserve">11.3 Ethical considerations</w:t>
      </w:r>
    </w:p>
    <w:p>
      <w:pPr>
        <w:spacing w:after="120" w:before="60" w:line="320"/>
        <w:jc w:val="both"/>
      </w:pPr>
      <w:r>
        <w:rPr>
          <w:rFonts w:ascii="Arial" w:cs="Arial" w:eastAsia="Arial" w:hAnsi="Arial"/>
        </w:rPr>
        <w:t xml:space="preserve">This analysis uses fully de-identified, publicly available secondary survey data. Original DHS protocols were approved by the ICF International Institutional Review Board and by the relevant national ethics committees in each surveyed country; written informed consent was obtained from all respondents at the time of original data collection. No additional ethical approval was required for the present secondary analysis.</w:t>
      </w:r>
    </w:p>
    <w:p>
      <w:pPr>
        <w:pStyle w:val="Heading1"/>
        <w:spacing w:after="180" w:before="360"/>
      </w:pPr>
      <w:r>
        <w:rPr>
          <w:rFonts w:ascii="Arial" w:cs="Arial" w:eastAsia="Arial" w:hAnsi="Arial"/>
          <w:b/>
          <w:bCs/>
          <w:sz w:val="28"/>
          <w:szCs w:val="28"/>
        </w:rPr>
        <w:t xml:space="preserve">12. References</w:t>
      </w:r>
    </w:p>
    <w:p>
      <w:pPr>
        <w:spacing w:after="60" w:before="60" w:line="280"/>
        <w:ind w:left="360" w:hanging="360"/>
      </w:pPr>
      <w:r>
        <w:rPr>
          <w:rFonts w:ascii="Arial" w:cs="Arial" w:eastAsia="Arial" w:hAnsi="Arial"/>
          <w:sz w:val="20"/>
          <w:szCs w:val="20"/>
        </w:rPr>
        <w:t xml:space="preserve">DerSimonian R, Laird N. Meta-analysis in clinical trials. Controlled Clinical Trials. 1986;7(3):177–188.</w:t>
      </w:r>
    </w:p>
    <w:p>
      <w:pPr>
        <w:spacing w:after="60" w:before="60" w:line="280"/>
        <w:ind w:left="360" w:hanging="360"/>
      </w:pPr>
      <w:r>
        <w:rPr>
          <w:rFonts w:ascii="Arial" w:cs="Arial" w:eastAsia="Arial" w:hAnsi="Arial"/>
          <w:sz w:val="20"/>
          <w:szCs w:val="20"/>
        </w:rPr>
        <w:t xml:space="preserve">Higgins JPT, Thompson SG. Quantifying heterogeneity in a meta-analysis. Statistics in Medicine. 2002;21(11):1539–1558.</w:t>
      </w:r>
    </w:p>
    <w:p>
      <w:pPr>
        <w:spacing w:after="60" w:before="60" w:line="280"/>
        <w:ind w:left="360" w:hanging="360"/>
      </w:pPr>
      <w:r>
        <w:rPr>
          <w:rFonts w:ascii="Arial" w:cs="Arial" w:eastAsia="Arial" w:hAnsi="Arial"/>
          <w:sz w:val="20"/>
          <w:szCs w:val="20"/>
        </w:rPr>
        <w:t xml:space="preserve">Kish L. Survey Sampling. New York: Wiley; 1965.</w:t>
      </w:r>
    </w:p>
    <w:p>
      <w:pPr>
        <w:spacing w:after="60" w:before="60" w:line="280"/>
        <w:ind w:left="360" w:hanging="360"/>
      </w:pPr>
      <w:r>
        <w:rPr>
          <w:rFonts w:ascii="Arial" w:cs="Arial" w:eastAsia="Arial" w:hAnsi="Arial"/>
          <w:sz w:val="20"/>
          <w:szCs w:val="20"/>
        </w:rPr>
        <w:t xml:space="preserve">Murray CJL, Shengelia B, Gupta N, et al. Validity of reported vaccination coverage in 45 countries. The Lancet. 2003;362(9389):1022–1027.</w:t>
      </w:r>
    </w:p>
    <w:p>
      <w:pPr>
        <w:spacing w:after="60" w:before="60" w:line="280"/>
        <w:ind w:left="360" w:hanging="360"/>
      </w:pPr>
      <w:r>
        <w:rPr>
          <w:rFonts w:ascii="Arial" w:cs="Arial" w:eastAsia="Arial" w:hAnsi="Arial"/>
          <w:sz w:val="20"/>
          <w:szCs w:val="20"/>
        </w:rPr>
        <w:t xml:space="preserve">Putter H, Fiocco M, Geskus RB. Tutorial in biostatistics: competing risks and multistate models. Statistics in Medicine. 2007;26(11):2389–2430.</w:t>
      </w:r>
    </w:p>
    <w:p>
      <w:pPr>
        <w:spacing w:after="60" w:before="60" w:line="280"/>
        <w:ind w:left="360" w:hanging="360"/>
      </w:pPr>
      <w:r>
        <w:rPr>
          <w:rFonts w:ascii="Arial" w:cs="Arial" w:eastAsia="Arial" w:hAnsi="Arial"/>
          <w:sz w:val="20"/>
          <w:szCs w:val="20"/>
        </w:rPr>
        <w:t xml:space="preserve">Robitzsch A, Lüdtke O. Why we should think more carefully about transformations in random-effects meta-analysis. Research Synthesis Methods. 2020;11(4):555–567.</w:t>
      </w:r>
    </w:p>
    <w:p>
      <w:pPr>
        <w:spacing w:after="60" w:before="60" w:line="280"/>
        <w:ind w:left="360" w:hanging="360"/>
      </w:pPr>
      <w:r>
        <w:rPr>
          <w:rFonts w:ascii="Arial" w:cs="Arial" w:eastAsia="Arial" w:hAnsi="Arial"/>
          <w:sz w:val="20"/>
          <w:szCs w:val="20"/>
        </w:rPr>
        <w:t xml:space="preserve">Stevens GA, Alkema L, Black RE, et al. Guidelines for Accurate and Transparent Health Estimates Reporting: the GATHER statement. PLoS Medicine. 2016;13(6):e1002056.</w:t>
      </w:r>
    </w:p>
    <w:p>
      <w:pPr>
        <w:spacing w:after="60" w:before="60" w:line="280"/>
        <w:ind w:left="360" w:hanging="360"/>
      </w:pPr>
      <w:r>
        <w:rPr>
          <w:rFonts w:ascii="Arial" w:cs="Arial" w:eastAsia="Arial" w:hAnsi="Arial"/>
          <w:sz w:val="20"/>
          <w:szCs w:val="20"/>
        </w:rPr>
        <w:t xml:space="preserve">WHO/UNICEF. Estimates of National Immunization Coverage (WUENIC), 2024 revision. https://www.unicef.org/data/wuenic.</w:t>
      </w:r>
    </w:p>
    <w:p>
      <w:pPr>
        <w:spacing w:after="60" w:before="60" w:line="280"/>
        <w:ind w:left="360" w:hanging="360"/>
      </w:pPr>
      <w:r>
        <w:rPr>
          <w:rFonts w:ascii="Arial" w:cs="Arial" w:eastAsia="Arial" w:hAnsi="Arial"/>
          <w:sz w:val="20"/>
          <w:szCs w:val="20"/>
        </w:rPr>
        <w:t xml:space="preserve">IPUMS-DHS. WHO Vaccination Schedules and Updates. Minneapolis: Minnesota Population Center. https://www.idhsdata.org/idhs/vaccines.shtml (accessed May 2026).</w:t>
      </w:r>
    </w:p>
    <w:p>
      <w:pPr>
        <w:spacing w:after="60" w:before="60" w:line="280"/>
        <w:ind w:left="360" w:hanging="360"/>
      </w:pPr>
      <w:r>
        <w:rPr>
          <w:rFonts w:ascii="Arial" w:cs="Arial" w:eastAsia="Arial" w:hAnsi="Arial"/>
          <w:sz w:val="20"/>
          <w:szCs w:val="20"/>
        </w:rPr>
        <w:t xml:space="preserve">United Nations, Department of Economic and Social Affairs, Population Division. World Population Prospects 2022, medium variant. New York: United Nations; 2022.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Methods — DHS childhood immunisation cascade, sub-Saharan Africa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80" w:before="180"/>
      <w:outlineLvl w:val="2"/>
    </w:pPr>
    <w:rPr>
      <w:rFonts w:ascii="Arial" w:cs="Arial" w:eastAsia="Arial" w:hAnsi="Arial"/>
      <w:b/>
      <w:bCs/>
      <w:i/>
      <w:i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 — DHS childhood immunisation cascade and multistate Markov analysis</dc:title>
  <dc:creator>Birkneh Tadesse</dc:creator>
  <cp:lastModifiedBy>Un-named</cp:lastModifiedBy>
  <cp:revision>1</cp:revision>
  <dcterms:created xsi:type="dcterms:W3CDTF">2026-05-15T21:53:35.476Z</dcterms:created>
  <dcterms:modified xsi:type="dcterms:W3CDTF">2026-05-15T21:53:35.476Z</dcterms:modified>
</cp:coreProperties>
</file>

<file path=docProps/custom.xml><?xml version="1.0" encoding="utf-8"?>
<Properties xmlns="http://schemas.openxmlformats.org/officeDocument/2006/custom-properties" xmlns:vt="http://schemas.openxmlformats.org/officeDocument/2006/docPropsVTypes"/>
</file>