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Calibri" w:cs="Calibri" w:eastAsia="Calibri" w:hAnsi="Calibri"/>
          <w:b/>
          <w:bCs/>
          <w:color w:val="1a3b6e"/>
          <w:sz w:val="34"/>
          <w:szCs w:val="34"/>
        </w:rPr>
        <w:t xml:space="preserve">Detailed Methods — Research 2</w:t>
      </w:r>
    </w:p>
    <w:p>
      <w:pPr>
        <w:spacing w:after="280"/>
        <w:jc w:val="center"/>
      </w:pPr>
      <w:r>
        <w:rPr>
          <w:rFonts w:ascii="Calibri" w:cs="Calibri" w:eastAsia="Calibri" w:hAnsi="Calibri"/>
          <w:b/>
          <w:bCs/>
          <w:i/>
          <w:iCs/>
          <w:color w:val="1a3b6e"/>
          <w:sz w:val="24"/>
          <w:szCs w:val="24"/>
        </w:rPr>
        <w:t xml:space="preserve">Where the EPI cascade breaks: separating entry-point from follow-up failure across 38 sub-Saharan African countries</w:t>
      </w:r>
    </w:p>
    <w:p>
      <w:pPr>
        <w:spacing w:after="320"/>
        <w:jc w:val="center"/>
      </w:pPr>
      <w:r>
        <w:rPr>
          <w:rFonts w:ascii="Calibri" w:cs="Calibri" w:eastAsia="Calibri" w:hAnsi="Calibri"/>
          <w:color w:val="888888"/>
          <w:sz w:val="18"/>
          <w:szCs w:val="18"/>
        </w:rPr>
        <w:t xml:space="preserve">Stand-alone methods document (Detailed) · Companion to the manuscript outline</w:t>
      </w:r>
    </w:p>
    <w:p>
      <w:pPr>
        <w:pStyle w:val="Heading1"/>
        <w:spacing w:after="220" w:before="400"/>
      </w:pPr>
      <w:r>
        <w:rPr>
          <w:rFonts w:ascii="Calibri" w:cs="Calibri" w:eastAsia="Calibri" w:hAnsi="Calibri"/>
          <w:b/>
          <w:bCs/>
          <w:color w:val="1a3b6e"/>
          <w:sz w:val="34"/>
          <w:szCs w:val="34"/>
        </w:rPr>
        <w:t xml:space="preserve">1. Overview of the analytical approach</w:t>
      </w:r>
    </w:p>
    <w:p>
      <w:pPr>
        <w:spacing w:after="160" w:line="320"/>
        <w:jc w:val="both"/>
      </w:pPr>
      <w:r>
        <w:rPr>
          <w:rFonts w:ascii="Calibri" w:cs="Calibri" w:eastAsia="Calibri" w:hAnsi="Calibri"/>
          <w:sz w:val="22"/>
          <w:szCs w:val="22"/>
        </w:rPr>
        <w:t xml:space="preserve">This document specifies, in detail sufficient for independent replication, the analytical methods used in Research 2. The analysis proceeds in three layered stages. First, a descriptive cascade analysis computes weighted marginal coverage and conditional dose-completion probabilities along the WHO/EPI childhood immunization schedule, by country and by survey, using all available Demographic and Health Surveys (DHS) Individual Recode files for sub-Saharan Africa. Second, a country classification stage decomposes missed vaccinations into entry-point failure (zero-dose) and follow-up failure (started but did not complete the third primary dose), producing a four-quadrant policy typology. Third, a formal multistate Markov model is fitted across the cascade, with country-specific transition probabilities estimated by random-effects meta-analysis on the logit scale and shrunk toward the continent mean via empirical Bayes; the model then predicts terminal-state occupation per country and quantifies how between-country variance distributes across the cascade's five transitions. Each stage adds analytical depth without modifying the underlying data.</w:t>
      </w:r>
    </w:p>
    <w:p>
      <w:pPr>
        <w:pStyle w:val="Heading1"/>
        <w:spacing w:after="220" w:before="400"/>
      </w:pPr>
      <w:r>
        <w:rPr>
          <w:rFonts w:ascii="Calibri" w:cs="Calibri" w:eastAsia="Calibri" w:hAnsi="Calibri"/>
          <w:b/>
          <w:bCs/>
          <w:color w:val="1a3b6e"/>
          <w:sz w:val="34"/>
          <w:szCs w:val="34"/>
        </w:rPr>
        <w:t xml:space="preserve">2. Data sources</w:t>
      </w:r>
    </w:p>
    <w:p>
      <w:pPr>
        <w:pStyle w:val="Heading3"/>
        <w:spacing w:after="100" w:before="220"/>
      </w:pPr>
      <w:r>
        <w:rPr>
          <w:rFonts w:ascii="Calibri" w:cs="Calibri" w:eastAsia="Calibri" w:hAnsi="Calibri"/>
          <w:b/>
          <w:bCs/>
          <w:color w:val="33567a"/>
          <w:sz w:val="22"/>
          <w:szCs w:val="22"/>
        </w:rPr>
        <w:t xml:space="preserve">2.1 Primary data</w:t>
      </w:r>
    </w:p>
    <w:p>
      <w:pPr>
        <w:spacing w:after="160" w:line="320"/>
        <w:jc w:val="both"/>
      </w:pPr>
      <w:r>
        <w:rPr>
          <w:rFonts w:ascii="Calibri" w:cs="Calibri" w:eastAsia="Calibri" w:hAnsi="Calibri"/>
          <w:sz w:val="22"/>
          <w:szCs w:val="22"/>
        </w:rPr>
        <w:t xml:space="preserve">The primary data are DHS Program Individual Recode (IR) hierarchical files in CSPro "no-format-indicator" format. These files contain woman-level records with embedded birth-history (W21 / 21) and child-vaccination (W43 / 43) sub-records. We screened all 210 IR surveys present in the archive for sub-Saharan Africa, 1989–2024, and retained the 163 surveys with ≥30 dated dose-3 records per survey. Excluded surveys (n = 47) were predominantly AIDS Indicator Surveys (AIS), Malaria Indicator Surveys (MIS), and special-edition rounds that did not collect a full childhood vaccination module. The retained panel covers 38 sub-Saharan African countries and approximately 263,385 children aged 12–23 months at the date of interview.</w:t>
      </w:r>
    </w:p>
    <w:p>
      <w:pPr>
        <w:pStyle w:val="Heading3"/>
        <w:spacing w:after="100" w:before="220"/>
      </w:pPr>
      <w:r>
        <w:rPr>
          <w:rFonts w:ascii="Calibri" w:cs="Calibri" w:eastAsia="Calibri" w:hAnsi="Calibri"/>
          <w:b/>
          <w:bCs/>
          <w:color w:val="33567a"/>
          <w:sz w:val="22"/>
          <w:szCs w:val="22"/>
        </w:rPr>
        <w:t xml:space="preserve">2.2 Auxiliary data</w:t>
      </w:r>
    </w:p>
    <w:p>
      <w:pPr>
        <w:spacing w:after="160" w:line="320"/>
        <w:jc w:val="both"/>
      </w:pPr>
      <w:r>
        <w:rPr>
          <w:rFonts w:ascii="Calibri" w:cs="Calibri" w:eastAsia="Calibri" w:hAnsi="Calibri"/>
          <w:sz w:val="22"/>
          <w:szCs w:val="22"/>
        </w:rPr>
        <w:t xml:space="preserve">Under-five population estimates per country (used for the burden-weighted analyses) were drawn from the United Nations Population Division's World Population Prospects 2022 revision, medium variant, accessed for the year corresponding to each country's latest DHS survey. Pentavalent introduction years per country were sourced from the WHO Immunization Monitoring Database via the IPUMS-DHS WHO Vaccination Schedules table (https://www.idhsdata.org/idhs/vaccines.shtml).</w:t>
      </w:r>
    </w:p>
    <w:p>
      <w:pPr>
        <w:pStyle w:val="Heading1"/>
        <w:spacing w:after="220" w:before="400"/>
      </w:pPr>
      <w:r>
        <w:rPr>
          <w:rFonts w:ascii="Calibri" w:cs="Calibri" w:eastAsia="Calibri" w:hAnsi="Calibri"/>
          <w:b/>
          <w:bCs/>
          <w:color w:val="1a3b6e"/>
          <w:sz w:val="34"/>
          <w:szCs w:val="34"/>
        </w:rPr>
        <w:t xml:space="preserve">3. Study population</w:t>
      </w:r>
    </w:p>
    <w:p>
      <w:pPr>
        <w:spacing w:after="160" w:line="320"/>
        <w:jc w:val="both"/>
      </w:pPr>
      <w:r>
        <w:rPr>
          <w:rFonts w:ascii="Calibri" w:cs="Calibri" w:eastAsia="Calibri" w:hAnsi="Calibri"/>
          <w:sz w:val="22"/>
          <w:szCs w:val="22"/>
        </w:rPr>
        <w:t xml:space="preserve">The analytic cohort is children aged 12 to 23 months at the date of the DHS interview, born to women aged 15–49. This is the conventional DHS vaccination-analysis cohort: it is wide enough that all WHO-scheduled doses through measles-containing vaccine 1 (MCV1, target age 9 months) should have been received, but narrow enough to limit maternal-recall bias on dates that occurred years earlier. Children whose birth-history record could not be linked to a vaccination record (i.e., for whom only one of the two record types was present in the survey file) were excluded from the analytic sample but retained for descriptive sample-size reporting. After all exclusions, the analytic n is 263,385 children across 163 surveys and 38 countries.</w:t>
      </w:r>
    </w:p>
    <w:p>
      <w:pPr>
        <w:pStyle w:val="Heading1"/>
        <w:spacing w:after="220" w:before="400"/>
      </w:pPr>
      <w:r>
        <w:rPr>
          <w:rFonts w:ascii="Calibri" w:cs="Calibri" w:eastAsia="Calibri" w:hAnsi="Calibri"/>
          <w:b/>
          <w:bCs/>
          <w:color w:val="1a3b6e"/>
          <w:sz w:val="34"/>
          <w:szCs w:val="34"/>
        </w:rPr>
        <w:t xml:space="preserve">4. Variable extraction</w:t>
      </w:r>
    </w:p>
    <w:p>
      <w:pPr>
        <w:pStyle w:val="Heading3"/>
        <w:spacing w:after="100" w:before="220"/>
      </w:pPr>
      <w:r>
        <w:rPr>
          <w:rFonts w:ascii="Calibri" w:cs="Calibri" w:eastAsia="Calibri" w:hAnsi="Calibri"/>
          <w:b/>
          <w:bCs/>
          <w:color w:val="33567a"/>
          <w:sz w:val="22"/>
          <w:szCs w:val="22"/>
        </w:rPr>
        <w:t xml:space="preserve">4.1 DCF-driven extraction</w:t>
      </w:r>
    </w:p>
    <w:p>
      <w:pPr>
        <w:spacing w:after="160" w:line="320"/>
        <w:jc w:val="both"/>
      </w:pPr>
      <w:r>
        <w:rPr>
          <w:rFonts w:ascii="Calibri" w:cs="Calibri" w:eastAsia="Calibri" w:hAnsi="Calibri"/>
          <w:sz w:val="22"/>
          <w:szCs w:val="22"/>
        </w:rPr>
        <w:t xml:space="preserve">The CSPro data dictionary (.DCF) for each survey was parsed programmatically to identify the byte positions of each variable within fixed-width records. This auto-detection avoided hard-coding survey-specific positions and made the pipeline portable across DHS phases (the variable layout changes between phases as new antigens are added).</w:t>
      </w:r>
    </w:p>
    <w:p>
      <w:pPr>
        <w:pStyle w:val="Heading3"/>
        <w:spacing w:after="100" w:before="220"/>
      </w:pPr>
      <w:r>
        <w:rPr>
          <w:rFonts w:ascii="Calibri" w:cs="Calibri" w:eastAsia="Calibri" w:hAnsi="Calibri"/>
          <w:b/>
          <w:bCs/>
          <w:color w:val="33567a"/>
          <w:sz w:val="22"/>
          <w:szCs w:val="22"/>
        </w:rPr>
        <w:t xml:space="preserve">4.2 Vaccine receipt status</w:t>
      </w:r>
    </w:p>
    <w:p>
      <w:pPr>
        <w:spacing w:after="160" w:line="320"/>
        <w:jc w:val="both"/>
      </w:pPr>
      <w:r>
        <w:rPr>
          <w:rFonts w:ascii="Calibri" w:cs="Calibri" w:eastAsia="Calibri" w:hAnsi="Calibri"/>
          <w:sz w:val="22"/>
          <w:szCs w:val="22"/>
        </w:rPr>
        <w:t xml:space="preserve">For each antigen, the DHS status variable (e.g., H2 for BCG, H3/H5/H7 for DPT 1/2/3, H51/H52/H53 for Penta 1/2/3, H9 for MCV1) takes one of the following values:</w:t>
      </w:r>
    </w:p>
    <w:p>
      <w:pPr>
        <w:pStyle w:val="ListParagraph"/>
        <w:numPr>
          <w:ilvl w:val="0"/>
          <w:numId w:val="2"/>
        </w:numPr>
        <w:spacing w:after="80" w:line="300"/>
      </w:pPr>
      <w:r>
        <w:rPr>
          <w:rFonts w:ascii="Calibri" w:cs="Calibri" w:eastAsia="Calibri" w:hAnsi="Calibri"/>
          <w:sz w:val="22"/>
          <w:szCs w:val="22"/>
        </w:rPr>
        <w:t xml:space="preserve">Code 0 = no vaccination recorded</w:t>
      </w:r>
    </w:p>
    <w:p>
      <w:pPr>
        <w:pStyle w:val="ListParagraph"/>
        <w:numPr>
          <w:ilvl w:val="0"/>
          <w:numId w:val="2"/>
        </w:numPr>
        <w:spacing w:after="80" w:line="300"/>
      </w:pPr>
      <w:r>
        <w:rPr>
          <w:rFonts w:ascii="Calibri" w:cs="Calibri" w:eastAsia="Calibri" w:hAnsi="Calibri"/>
          <w:sz w:val="22"/>
          <w:szCs w:val="22"/>
        </w:rPr>
        <w:t xml:space="preserve">Code 1 = vaccination date present on health card</w:t>
      </w:r>
    </w:p>
    <w:p>
      <w:pPr>
        <w:pStyle w:val="ListParagraph"/>
        <w:numPr>
          <w:ilvl w:val="0"/>
          <w:numId w:val="2"/>
        </w:numPr>
        <w:spacing w:after="80" w:line="300"/>
      </w:pPr>
      <w:r>
        <w:rPr>
          <w:rFonts w:ascii="Calibri" w:cs="Calibri" w:eastAsia="Calibri" w:hAnsi="Calibri"/>
          <w:sz w:val="22"/>
          <w:szCs w:val="22"/>
        </w:rPr>
        <w:t xml:space="preserve">Code 2 = vaccination reported by mother (no card date)</w:t>
      </w:r>
    </w:p>
    <w:p>
      <w:pPr>
        <w:pStyle w:val="ListParagraph"/>
        <w:numPr>
          <w:ilvl w:val="0"/>
          <w:numId w:val="2"/>
        </w:numPr>
        <w:spacing w:after="80" w:line="300"/>
      </w:pPr>
      <w:r>
        <w:rPr>
          <w:rFonts w:ascii="Calibri" w:cs="Calibri" w:eastAsia="Calibri" w:hAnsi="Calibri"/>
          <w:sz w:val="22"/>
          <w:szCs w:val="22"/>
        </w:rPr>
        <w:t xml:space="preserve">Code 3 = card marked but no date present</w:t>
      </w:r>
    </w:p>
    <w:p>
      <w:pPr>
        <w:pStyle w:val="ListParagraph"/>
        <w:numPr>
          <w:ilvl w:val="0"/>
          <w:numId w:val="2"/>
        </w:numPr>
        <w:spacing w:after="80" w:line="300"/>
      </w:pPr>
      <w:r>
        <w:rPr>
          <w:rFonts w:ascii="Calibri" w:cs="Calibri" w:eastAsia="Calibri" w:hAnsi="Calibri"/>
          <w:sz w:val="22"/>
          <w:szCs w:val="22"/>
        </w:rPr>
        <w:t xml:space="preserve">Codes 8 / 9 = don't know / missing</w:t>
      </w:r>
    </w:p>
    <w:p>
      <w:pPr>
        <w:spacing w:after="160" w:line="320"/>
        <w:jc w:val="both"/>
      </w:pPr>
      <w:r>
        <w:rPr>
          <w:rFonts w:ascii="Calibri" w:cs="Calibri" w:eastAsia="Calibri" w:hAnsi="Calibri"/>
          <w:sz w:val="22"/>
          <w:szCs w:val="22"/>
        </w:rPr>
        <w:t xml:space="preserve">In the primary analysis a dose counted as "received" if the status code was 1, 2, or 3. Codes 0 counted as not received. Codes 8 and 9 were excluded from both numerator and denominator. The decision to include codes 2 and 3 alongside card-confirmed (code 1) doses follows DHS Program standard practice and is consistent with WUENIC and the published DHS country reports against which our pipeline was validated (Section 11). A card-confirmed-only sensitivity restricting to code 1 is supported by the underlying data and is reported as a robustness check.</w:t>
      </w:r>
    </w:p>
    <w:p>
      <w:pPr>
        <w:pStyle w:val="Heading3"/>
        <w:spacing w:after="100" w:before="220"/>
      </w:pPr>
      <w:r>
        <w:rPr>
          <w:rFonts w:ascii="Calibri" w:cs="Calibri" w:eastAsia="Calibri" w:hAnsi="Calibri"/>
          <w:b/>
          <w:bCs/>
          <w:color w:val="33567a"/>
          <w:sz w:val="22"/>
          <w:szCs w:val="22"/>
        </w:rPr>
        <w:t xml:space="preserve">4.3 Unification of DPT and Pentavalent</w:t>
      </w:r>
    </w:p>
    <w:p>
      <w:pPr>
        <w:spacing w:after="160" w:line="320"/>
        <w:jc w:val="both"/>
      </w:pPr>
      <w:r>
        <w:rPr>
          <w:rFonts w:ascii="Calibri" w:cs="Calibri" w:eastAsia="Calibri" w:hAnsi="Calibri"/>
          <w:sz w:val="22"/>
          <w:szCs w:val="22"/>
        </w:rPr>
        <w:t xml:space="preserve">Around 2010, most sub-Saharan African countries switched their third primary immunization dose from DPT (diphtheria-tetanus-pertussis only, recorded in DHS variables H3, H5, H7) to Pentavalent (DPT plus Hib and Hep B, recorded in H51, H52, H53). The DHS questionnaire records whichever formulation was on the national schedule at the time of vaccination; the other variable is marked "Not Applicable." For each child i and dose d ∈ {1, 2, 3} we define the unified dose variable:</w:t>
      </w:r>
    </w:p>
    <w:p>
      <w:pPr>
        <w:spacing w:after="200" w:before="180"/>
        <w:jc w:val="center"/>
      </w:pPr>
      <w:r>
        <w:rPr>
          <w:rFonts w:ascii="Cambria" w:cs="Cambria" w:eastAsia="Cambria" w:hAnsi="Cambria"/>
          <w:color w:val="1a3b6e"/>
          <w:sz w:val="24"/>
          <w:szCs w:val="24"/>
        </w:rPr>
        <w:t xml:space="preserve">doseᵈ(i) = DPTᵈ(i) if DPTᵈ(i) ∈ {0, 1}, otherwise Pentaᵈ(i)</w:t>
      </w:r>
    </w:p>
    <w:p>
      <w:pPr>
        <w:spacing w:after="160" w:line="320"/>
        <w:jc w:val="both"/>
      </w:pPr>
      <w:r>
        <w:rPr>
          <w:rFonts w:ascii="Calibri" w:cs="Calibri" w:eastAsia="Calibri" w:hAnsi="Calibri"/>
          <w:sz w:val="22"/>
          <w:szCs w:val="22"/>
        </w:rPr>
        <w:t xml:space="preserve">In practice the two variables are mutually exclusive within any single child record, so the unified series is well defined. This unification places pre-2010 and post-2010 surveys on a common dose-1/2/3 axis, which is essential for the cross-survey cascade analysis.</w:t>
      </w:r>
    </w:p>
    <w:p>
      <w:pPr>
        <w:pStyle w:val="Heading3"/>
        <w:spacing w:after="100" w:before="220"/>
      </w:pPr>
      <w:r>
        <w:rPr>
          <w:rFonts w:ascii="Calibri" w:cs="Calibri" w:eastAsia="Calibri" w:hAnsi="Calibri"/>
          <w:b/>
          <w:bCs/>
          <w:color w:val="33567a"/>
          <w:sz w:val="22"/>
          <w:szCs w:val="22"/>
        </w:rPr>
        <w:t xml:space="preserve">4.4 Date of birth and date of vaccination</w:t>
      </w:r>
    </w:p>
    <w:p>
      <w:pPr>
        <w:spacing w:after="160" w:line="320"/>
        <w:jc w:val="both"/>
      </w:pPr>
      <w:r>
        <w:rPr>
          <w:rFonts w:ascii="Calibri" w:cs="Calibri" w:eastAsia="Calibri" w:hAnsi="Calibri"/>
          <w:sz w:val="22"/>
          <w:szCs w:val="22"/>
        </w:rPr>
        <w:t xml:space="preserve">Although the descriptive cascade analysis in Sections 5 and 6 does not require dose-level dates, the multistate Markov model in Section 8 uses age at interview to define the analytic cohort, and the timeliness component (covered in Research 1) uses vaccination dates. For completeness, child date of birth was constructed from DHS variable B3 (century-month code, defined as months since January 1900) combined with B17 (day of birth) where present; missing B17 was imputed to the 15th of the indicated month. Vaccination date for each dose was constructed from the H?D / H?M / H?Y triple, with DHS special codes 0, 97, 98, 99 and year codes 9997–9999 excluded.</w:t>
      </w:r>
    </w:p>
    <w:p>
      <w:pPr>
        <w:pStyle w:val="Heading3"/>
        <w:spacing w:after="100" w:before="220"/>
      </w:pPr>
      <w:r>
        <w:rPr>
          <w:rFonts w:ascii="Calibri" w:cs="Calibri" w:eastAsia="Calibri" w:hAnsi="Calibri"/>
          <w:b/>
          <w:bCs/>
          <w:color w:val="33567a"/>
          <w:sz w:val="22"/>
          <w:szCs w:val="22"/>
        </w:rPr>
        <w:t xml:space="preserve">4.5 Sampling design variables</w:t>
      </w:r>
    </w:p>
    <w:p>
      <w:pPr>
        <w:spacing w:after="160" w:line="320"/>
        <w:jc w:val="both"/>
      </w:pPr>
      <w:r>
        <w:rPr>
          <w:rFonts w:ascii="Calibri" w:cs="Calibri" w:eastAsia="Calibri" w:hAnsi="Calibri"/>
          <w:sz w:val="22"/>
          <w:szCs w:val="22"/>
        </w:rPr>
        <w:t xml:space="preserve">DHS sample weight V005 (divided by 10⁶ to recover the canonical scale), primary sampling unit V021, stratum V022, and administrative region V024 were extracted from the women's record (W01 / 01) and propagated to each child via the woman's case identifier. These variables are preserved in the analytic CSVs for downstream variance estimation and sub-national analysis.</w:t>
      </w:r>
    </w:p>
    <w:p>
      <w:pPr>
        <w:pStyle w:val="Heading1"/>
        <w:spacing w:after="220" w:before="400"/>
      </w:pPr>
      <w:r>
        <w:rPr>
          <w:rFonts w:ascii="Calibri" w:cs="Calibri" w:eastAsia="Calibri" w:hAnsi="Calibri"/>
          <w:b/>
          <w:bCs/>
          <w:color w:val="1a3b6e"/>
          <w:sz w:val="34"/>
          <w:szCs w:val="34"/>
        </w:rPr>
        <w:t xml:space="preserve">5. Cascade metrics</w:t>
      </w:r>
    </w:p>
    <w:p>
      <w:pPr>
        <w:pStyle w:val="Heading3"/>
        <w:spacing w:after="100" w:before="220"/>
      </w:pPr>
      <w:r>
        <w:rPr>
          <w:rFonts w:ascii="Calibri" w:cs="Calibri" w:eastAsia="Calibri" w:hAnsi="Calibri"/>
          <w:b/>
          <w:bCs/>
          <w:color w:val="33567a"/>
          <w:sz w:val="22"/>
          <w:szCs w:val="22"/>
        </w:rPr>
        <w:t xml:space="preserve">5.1 Marginal coverage at each step</w:t>
      </w:r>
    </w:p>
    <w:p>
      <w:pPr>
        <w:spacing w:after="160" w:line="320"/>
        <w:jc w:val="both"/>
      </w:pPr>
      <w:r>
        <w:rPr>
          <w:rFonts w:ascii="Calibri" w:cs="Calibri" w:eastAsia="Calibri" w:hAnsi="Calibri"/>
          <w:sz w:val="22"/>
          <w:szCs w:val="22"/>
        </w:rPr>
        <w:t xml:space="preserve">For each survey s and each cascade step k ∈ {BCG, dose 1, dose 2, dose 3, MCV1}, the survey-level marginal coverage is the V005-weighted proportion of children in the cohort with code 1, 2, or 3 on the corresponding DHS variable:</w:t>
      </w:r>
    </w:p>
    <w:p>
      <w:pPr>
        <w:spacing w:after="200" w:before="180"/>
        <w:jc w:val="center"/>
      </w:pPr>
      <w:r>
        <w:rPr>
          <w:rFonts w:ascii="Cambria" w:cs="Cambria" w:eastAsia="Cambria" w:hAnsi="Cambria"/>
          <w:color w:val="1a3b6e"/>
          <w:sz w:val="24"/>
          <w:szCs w:val="24"/>
        </w:rPr>
        <w:t xml:space="preserve">Coverageₛ,ₖ = Σᵢ wᵢ · 1[received_{i,k}] / Σᵢ wᵢ</w:t>
      </w:r>
    </w:p>
    <w:p>
      <w:pPr>
        <w:spacing w:after="160" w:line="320"/>
        <w:jc w:val="both"/>
      </w:pPr>
      <w:r>
        <w:rPr>
          <w:rFonts w:ascii="Calibri" w:cs="Calibri" w:eastAsia="Calibri" w:hAnsi="Calibri"/>
          <w:sz w:val="22"/>
          <w:szCs w:val="22"/>
        </w:rPr>
        <w:t xml:space="preserve">where wᵢ = V005ᵢ / 10⁶ and the sum runs over all children i in the survey's 12–23-month cohort whose receipt status for step k is non-missing (codes 8 and 9 excluded).</w:t>
      </w:r>
    </w:p>
    <w:p>
      <w:pPr>
        <w:pStyle w:val="Heading3"/>
        <w:spacing w:after="100" w:before="220"/>
      </w:pPr>
      <w:r>
        <w:rPr>
          <w:rFonts w:ascii="Calibri" w:cs="Calibri" w:eastAsia="Calibri" w:hAnsi="Calibri"/>
          <w:b/>
          <w:bCs/>
          <w:color w:val="33567a"/>
          <w:sz w:val="22"/>
          <w:szCs w:val="22"/>
        </w:rPr>
        <w:t xml:space="preserve">5.2 Conditional dose-completion probability</w:t>
      </w:r>
    </w:p>
    <w:p>
      <w:pPr>
        <w:spacing w:after="160" w:line="320"/>
        <w:jc w:val="both"/>
      </w:pPr>
      <w:r>
        <w:rPr>
          <w:rFonts w:ascii="Calibri" w:cs="Calibri" w:eastAsia="Calibri" w:hAnsi="Calibri"/>
          <w:sz w:val="22"/>
          <w:szCs w:val="22"/>
        </w:rPr>
        <w:t xml:space="preserve">For each transition (step k → step k+1), the conditional probability that a child reaches step k+1 given that they received step k is computed using only children who received step k:</w:t>
      </w:r>
    </w:p>
    <w:p>
      <w:pPr>
        <w:spacing w:after="200" w:before="180"/>
        <w:jc w:val="center"/>
      </w:pPr>
      <w:r>
        <w:rPr>
          <w:rFonts w:ascii="Cambria" w:cs="Cambria" w:eastAsia="Cambria" w:hAnsi="Cambria"/>
          <w:color w:val="1a3b6e"/>
          <w:sz w:val="24"/>
          <w:szCs w:val="24"/>
        </w:rPr>
        <w:t xml:space="preserve">P(k+1 | k)ₛ = Σᵢ wᵢ · 1[received_{i,k+1}] / Σᵢ wᵢ</w:t>
      </w:r>
    </w:p>
    <w:p>
      <w:pPr>
        <w:spacing w:after="160" w:line="320"/>
        <w:jc w:val="both"/>
      </w:pPr>
      <w:r>
        <w:rPr>
          <w:rFonts w:ascii="Calibri" w:cs="Calibri" w:eastAsia="Calibri" w:hAnsi="Calibri"/>
          <w:sz w:val="22"/>
          <w:szCs w:val="22"/>
        </w:rPr>
        <w:t xml:space="preserve">where the sums run over children with received_{i,k} = 1 and a non-missing value at step k+1. The five transitions analyzed are Start→BCG (denominator = all children with BCG status non-missing), BCG→Dose 1, Dose 1→Dose 2, Dose 2→Dose 3, and Dose 3→MCV1.</w:t>
      </w:r>
    </w:p>
    <w:p>
      <w:pPr>
        <w:pStyle w:val="Heading3"/>
        <w:spacing w:after="100" w:before="220"/>
      </w:pPr>
      <w:r>
        <w:rPr>
          <w:rFonts w:ascii="Calibri" w:cs="Calibri" w:eastAsia="Calibri" w:hAnsi="Calibri"/>
          <w:b/>
          <w:bCs/>
          <w:color w:val="33567a"/>
          <w:sz w:val="22"/>
          <w:szCs w:val="22"/>
        </w:rPr>
        <w:t xml:space="preserve">5.3 Zero-dose rate</w:t>
      </w:r>
    </w:p>
    <w:p>
      <w:pPr>
        <w:spacing w:after="160" w:line="320"/>
        <w:jc w:val="both"/>
      </w:pPr>
      <w:r>
        <w:rPr>
          <w:rFonts w:ascii="Calibri" w:cs="Calibri" w:eastAsia="Calibri" w:hAnsi="Calibri"/>
          <w:sz w:val="22"/>
          <w:szCs w:val="22"/>
        </w:rPr>
        <w:t xml:space="preserve">The zero-dose rate is the V005-weighted proportion of children who received neither BCG nor Dose 1 of the DPT/Penta cascade:</w:t>
      </w:r>
    </w:p>
    <w:p>
      <w:pPr>
        <w:spacing w:after="200" w:before="180"/>
        <w:jc w:val="center"/>
      </w:pPr>
      <w:r>
        <w:rPr>
          <w:rFonts w:ascii="Cambria" w:cs="Cambria" w:eastAsia="Cambria" w:hAnsi="Cambria"/>
          <w:color w:val="1a3b6e"/>
          <w:sz w:val="24"/>
          <w:szCs w:val="24"/>
        </w:rPr>
        <w:t xml:space="preserve">Zero-doseₛ = Σᵢ wᵢ · 1[BCGᵢ = 0 ∧ Dose1ᵢ = 0] / Σᵢ wᵢ</w:t>
      </w:r>
    </w:p>
    <w:p>
      <w:pPr>
        <w:spacing w:after="160" w:line="320"/>
        <w:jc w:val="both"/>
      </w:pPr>
      <w:r>
        <w:rPr>
          <w:rFonts w:ascii="Calibri" w:cs="Calibri" w:eastAsia="Calibri" w:hAnsi="Calibri"/>
          <w:sz w:val="22"/>
          <w:szCs w:val="22"/>
        </w:rPr>
        <w:t xml:space="preserve">This is a stricter definition than the WUENIC "no DPT1" zero-dose, which classifies a child as zero-dose if they have not received DPT1 alone. Requiring failure on both first scheduled antigens reduces false positives that arise from single-antigen data error (e.g., a card-marked-but-no-date BCG with a missing DPT1) and is more conservative as an estimate of true non-engagement with EPI.</w:t>
      </w:r>
    </w:p>
    <w:p>
      <w:pPr>
        <w:pStyle w:val="Heading1"/>
        <w:spacing w:after="220" w:before="400"/>
      </w:pPr>
      <w:r>
        <w:rPr>
          <w:rFonts w:ascii="Calibri" w:cs="Calibri" w:eastAsia="Calibri" w:hAnsi="Calibri"/>
          <w:b/>
          <w:bCs/>
          <w:color w:val="1a3b6e"/>
          <w:sz w:val="34"/>
          <w:szCs w:val="34"/>
        </w:rPr>
        <w:t xml:space="preserve">6. Failure-type classification</w:t>
      </w:r>
    </w:p>
    <w:p>
      <w:pPr>
        <w:spacing w:after="160" w:line="320"/>
        <w:jc w:val="both"/>
      </w:pPr>
      <w:r>
        <w:rPr>
          <w:rFonts w:ascii="Calibri" w:cs="Calibri" w:eastAsia="Calibri" w:hAnsi="Calibri"/>
          <w:sz w:val="22"/>
          <w:szCs w:val="22"/>
        </w:rPr>
        <w:t xml:space="preserve">Per country, using the most recent DHS round, two failure-rate measures are computed:</w:t>
      </w:r>
    </w:p>
    <w:p>
      <w:pPr>
        <w:pStyle w:val="ListParagraph"/>
        <w:numPr>
          <w:ilvl w:val="0"/>
          <w:numId w:val="2"/>
        </w:numPr>
        <w:spacing w:after="80" w:line="300"/>
      </w:pPr>
      <w:r>
        <w:rPr>
          <w:rFonts w:ascii="Calibri" w:cs="Calibri" w:eastAsia="Calibri" w:hAnsi="Calibri"/>
          <w:b/>
          <w:bCs/>
          <w:sz w:val="22"/>
          <w:szCs w:val="22"/>
        </w:rPr>
        <w:t xml:space="preserve">Entry-point failure rate </w:t>
      </w:r>
      <w:r>
        <w:rPr>
          <w:rFonts w:ascii="Calibri" w:cs="Calibri" w:eastAsia="Calibri" w:hAnsi="Calibri"/>
          <w:sz w:val="22"/>
          <w:szCs w:val="22"/>
        </w:rPr>
        <w:t xml:space="preserve">= zero-dose rate (Section 5.3) — the percentage of children who never engaged with EPI.</w:t>
      </w:r>
    </w:p>
    <w:p>
      <w:pPr>
        <w:pStyle w:val="ListParagraph"/>
        <w:numPr>
          <w:ilvl w:val="0"/>
          <w:numId w:val="2"/>
        </w:numPr>
        <w:spacing w:after="80" w:line="300"/>
      </w:pPr>
      <w:r>
        <w:rPr>
          <w:rFonts w:ascii="Calibri" w:cs="Calibri" w:eastAsia="Calibri" w:hAnsi="Calibri"/>
          <w:b/>
          <w:bCs/>
          <w:sz w:val="22"/>
          <w:szCs w:val="22"/>
        </w:rPr>
        <w:t xml:space="preserve">Follow-up failure rate </w:t>
      </w:r>
      <w:r>
        <w:rPr>
          <w:rFonts w:ascii="Calibri" w:cs="Calibri" w:eastAsia="Calibri" w:hAnsi="Calibri"/>
          <w:sz w:val="22"/>
          <w:szCs w:val="22"/>
        </w:rPr>
        <w:t xml:space="preserve">= 100% − P(Dose 3 | Dose 1) (Section 5.2) — the percentage of children who received Dose 1 but did not complete Dose 3.</w:t>
      </w:r>
    </w:p>
    <w:p>
      <w:pPr>
        <w:spacing w:after="160" w:line="320"/>
        <w:jc w:val="both"/>
      </w:pPr>
      <w:r>
        <w:rPr>
          <w:rFonts w:ascii="Calibri" w:cs="Calibri" w:eastAsia="Calibri" w:hAnsi="Calibri"/>
          <w:sz w:val="22"/>
          <w:szCs w:val="22"/>
        </w:rPr>
        <w:t xml:space="preserve">Each country is then assigned to one of four mutually exclusive failure quadrants based on whether each rate exceeds its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560"/>
      </w:tblGrid>
      <w:tr>
        <w:trPr>
          <w:tblHeader/>
        </w:trPr>
        <w:tc>
          <w:tcPr>
            <w:tcW w:type="dxa" w:w="3000"/>
            <w:tcBorders>
              <w:top w:val="single" w:color="AAAAAA" w:sz="1"/>
              <w:left w:val="single" w:color="AAAAAA" w:sz="1"/>
              <w:bottom w:val="single" w:color="AAAAAA" w:sz="1"/>
              <w:right w:val="single" w:color="AAAAAA" w:sz="1"/>
            </w:tcBorders>
            <w:shd w:fill="E6EEF7" w:val="clear"/>
            <w:tcMar>
              <w:top w:type="dxa" w:w="80"/>
              <w:left w:type="dxa" w:w="120"/>
              <w:bottom w:type="dxa" w:w="80"/>
              <w:right w:type="dxa" w:w="120"/>
            </w:tcMar>
          </w:tcPr>
          <w:p>
            <w:pPr>
              <w:jc w:val="left"/>
            </w:pPr>
            <w:r>
              <w:rPr>
                <w:rFonts w:ascii="Calibri" w:cs="Calibri" w:eastAsia="Calibri" w:hAnsi="Calibri"/>
                <w:b/>
                <w:bCs/>
                <w:sz w:val="18"/>
                <w:szCs w:val="18"/>
              </w:rPr>
              <w:t xml:space="preserve">Quadrant</w:t>
            </w:r>
          </w:p>
        </w:tc>
        <w:tc>
          <w:tcPr>
            <w:tcW w:type="dxa" w:w="2400"/>
            <w:tcBorders>
              <w:top w:val="single" w:color="AAAAAA" w:sz="1"/>
              <w:left w:val="single" w:color="AAAAAA" w:sz="1"/>
              <w:bottom w:val="single" w:color="AAAAAA" w:sz="1"/>
              <w:right w:val="single" w:color="AAAAAA" w:sz="1"/>
            </w:tcBorders>
            <w:shd w:fill="E6EEF7" w:val="clear"/>
            <w:tcMar>
              <w:top w:type="dxa" w:w="80"/>
              <w:left w:type="dxa" w:w="120"/>
              <w:bottom w:type="dxa" w:w="80"/>
              <w:right w:type="dxa" w:w="120"/>
            </w:tcMar>
          </w:tcPr>
          <w:p>
            <w:pPr>
              <w:jc w:val="center"/>
            </w:pPr>
            <w:r>
              <w:rPr>
                <w:rFonts w:ascii="Calibri" w:cs="Calibri" w:eastAsia="Calibri" w:hAnsi="Calibri"/>
                <w:b/>
                <w:bCs/>
                <w:sz w:val="18"/>
                <w:szCs w:val="18"/>
              </w:rPr>
              <w:t xml:space="preserve">Entry-point failure</w:t>
            </w:r>
          </w:p>
        </w:tc>
        <w:tc>
          <w:tcPr>
            <w:tcW w:type="dxa" w:w="2400"/>
            <w:tcBorders>
              <w:top w:val="single" w:color="AAAAAA" w:sz="1"/>
              <w:left w:val="single" w:color="AAAAAA" w:sz="1"/>
              <w:bottom w:val="single" w:color="AAAAAA" w:sz="1"/>
              <w:right w:val="single" w:color="AAAAAA" w:sz="1"/>
            </w:tcBorders>
            <w:shd w:fill="E6EEF7" w:val="clear"/>
            <w:tcMar>
              <w:top w:type="dxa" w:w="80"/>
              <w:left w:type="dxa" w:w="120"/>
              <w:bottom w:type="dxa" w:w="80"/>
              <w:right w:type="dxa" w:w="120"/>
            </w:tcMar>
          </w:tcPr>
          <w:p>
            <w:pPr>
              <w:jc w:val="center"/>
            </w:pPr>
            <w:r>
              <w:rPr>
                <w:rFonts w:ascii="Calibri" w:cs="Calibri" w:eastAsia="Calibri" w:hAnsi="Calibri"/>
                <w:b/>
                <w:bCs/>
                <w:sz w:val="18"/>
                <w:szCs w:val="18"/>
              </w:rPr>
              <w:t xml:space="preserve">Follow-up failure</w:t>
            </w:r>
          </w:p>
        </w:tc>
        <w:tc>
          <w:tcPr>
            <w:tcW w:type="dxa" w:w="1560"/>
            <w:tcBorders>
              <w:top w:val="single" w:color="AAAAAA" w:sz="1"/>
              <w:left w:val="single" w:color="AAAAAA" w:sz="1"/>
              <w:bottom w:val="single" w:color="AAAAAA" w:sz="1"/>
              <w:right w:val="single" w:color="AAAAAA" w:sz="1"/>
            </w:tcBorders>
            <w:shd w:fill="E6EEF7" w:val="clear"/>
            <w:tcMar>
              <w:top w:type="dxa" w:w="80"/>
              <w:left w:type="dxa" w:w="120"/>
              <w:bottom w:type="dxa" w:w="80"/>
              <w:right w:type="dxa" w:w="120"/>
            </w:tcMar>
          </w:tcPr>
          <w:p>
            <w:pPr>
              <w:jc w:val="center"/>
            </w:pPr>
            <w:r>
              <w:rPr>
                <w:rFonts w:ascii="Calibri" w:cs="Calibri" w:eastAsia="Calibri" w:hAnsi="Calibri"/>
                <w:b/>
                <w:bCs/>
                <w:sz w:val="18"/>
                <w:szCs w:val="18"/>
              </w:rPr>
              <w:t xml:space="preserve">n countries</w:t>
            </w:r>
          </w:p>
        </w:tc>
      </w:tr>
      <w:tr>
        <w:trPr>
          <w:tblHeader w:val="false"/>
        </w:trP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Both low (maintain)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Calibri" w:cs="Calibri" w:eastAsia="Calibri" w:hAnsi="Calibri"/>
                <w:sz w:val="18"/>
                <w:szCs w:val="18"/>
              </w:rPr>
              <w:t xml:space="preserve">&lt; 10%</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Calibri" w:cs="Calibri" w:eastAsia="Calibri" w:hAnsi="Calibri"/>
                <w:sz w:val="18"/>
                <w:szCs w:val="18"/>
              </w:rPr>
              <w:t xml:space="preserve">&lt; 20%</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Calibri" w:cs="Calibri" w:eastAsia="Calibri" w:hAnsi="Calibri"/>
                <w:sz w:val="18"/>
                <w:szCs w:val="18"/>
              </w:rPr>
              <w:t xml:space="preserve">21</w:t>
            </w:r>
          </w:p>
        </w:tc>
      </w:tr>
      <w:tr>
        <w:trPr>
          <w:tblHeader w:val="false"/>
        </w:trP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Entry-point dominant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Calibri" w:cs="Calibri" w:eastAsia="Calibri" w:hAnsi="Calibri"/>
                <w:sz w:val="18"/>
                <w:szCs w:val="18"/>
              </w:rPr>
              <w:t xml:space="preserve">≥ 10%</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Calibri" w:cs="Calibri" w:eastAsia="Calibri" w:hAnsi="Calibri"/>
                <w:sz w:val="18"/>
                <w:szCs w:val="18"/>
              </w:rPr>
              <w:t xml:space="preserve">&lt; 20%</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Calibri" w:cs="Calibri" w:eastAsia="Calibri" w:hAnsi="Calibri"/>
                <w:sz w:val="18"/>
                <w:szCs w:val="18"/>
              </w:rPr>
              <w:t xml:space="preserve">6</w:t>
            </w:r>
          </w:p>
        </w:tc>
      </w:tr>
      <w:tr>
        <w:trPr>
          <w:tblHeader w:val="false"/>
        </w:trP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Follow-up dominant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Calibri" w:cs="Calibri" w:eastAsia="Calibri" w:hAnsi="Calibri"/>
                <w:sz w:val="18"/>
                <w:szCs w:val="18"/>
              </w:rPr>
              <w:t xml:space="preserve">&lt; 10%</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Calibri" w:cs="Calibri" w:eastAsia="Calibri" w:hAnsi="Calibri"/>
                <w:sz w:val="18"/>
                <w:szCs w:val="18"/>
              </w:rPr>
              <w:t xml:space="preserve">≥ 20%</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Calibri" w:cs="Calibri" w:eastAsia="Calibri" w:hAnsi="Calibri"/>
                <w:sz w:val="18"/>
                <w:szCs w:val="18"/>
              </w:rPr>
              <w:t xml:space="preserve">4</w:t>
            </w:r>
          </w:p>
        </w:tc>
      </w:tr>
      <w:tr>
        <w:trPr>
          <w:tblHeader w:val="false"/>
        </w:trP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alibri" w:cs="Calibri" w:eastAsia="Calibri" w:hAnsi="Calibri"/>
                <w:sz w:val="18"/>
                <w:szCs w:val="18"/>
              </w:rPr>
              <w:t xml:space="preserve">Both high (rebuild)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Calibri" w:cs="Calibri" w:eastAsia="Calibri" w:hAnsi="Calibri"/>
                <w:sz w:val="18"/>
                <w:szCs w:val="18"/>
              </w:rPr>
              <w:t xml:space="preserve">≥ 10%</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Calibri" w:cs="Calibri" w:eastAsia="Calibri" w:hAnsi="Calibri"/>
                <w:sz w:val="18"/>
                <w:szCs w:val="18"/>
              </w:rPr>
              <w:t xml:space="preserve">≥ 20%</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Calibri" w:cs="Calibri" w:eastAsia="Calibri" w:hAnsi="Calibri"/>
                <w:sz w:val="18"/>
                <w:szCs w:val="18"/>
              </w:rPr>
              <w:t xml:space="preserve">7</w:t>
            </w:r>
          </w:p>
        </w:tc>
      </w:tr>
    </w:tbl>
    <w:p>
      <w:pPr>
        <w:spacing w:after="200" w:before="120"/>
      </w:pPr>
      <w:r>
        <w:t xml:space="preserve"/>
      </w:r>
    </w:p>
    <w:p>
      <w:pPr>
        <w:spacing w:after="160" w:line="320"/>
        <w:jc w:val="both"/>
      </w:pPr>
      <w:r>
        <w:rPr>
          <w:rFonts w:ascii="Calibri" w:cs="Calibri" w:eastAsia="Calibri" w:hAnsi="Calibri"/>
          <w:sz w:val="22"/>
          <w:szCs w:val="22"/>
        </w:rPr>
        <w:t xml:space="preserve">The 10% and 20% thresholds were chosen a priori as round-number values that approximately correspond to the median of each distribution and that yield interpretable quadrant sizes; sensitivity to ±5 percentage point shifts in either threshold was checked and re-classifies at most 4 countries (≤ 11 % of the panel).</w:t>
      </w:r>
    </w:p>
    <w:p>
      <w:pPr>
        <w:pStyle w:val="Heading1"/>
        <w:spacing w:after="220" w:before="400"/>
      </w:pPr>
      <w:r>
        <w:rPr>
          <w:rFonts w:ascii="Calibri" w:cs="Calibri" w:eastAsia="Calibri" w:hAnsi="Calibri"/>
          <w:b/>
          <w:bCs/>
          <w:color w:val="1a3b6e"/>
          <w:sz w:val="34"/>
          <w:szCs w:val="34"/>
        </w:rPr>
        <w:t xml:space="preserve">7. Sample weights and design-based variance</w:t>
      </w:r>
    </w:p>
    <w:p>
      <w:pPr>
        <w:spacing w:after="160" w:line="320"/>
        <w:jc w:val="both"/>
      </w:pPr>
      <w:r>
        <w:rPr>
          <w:rFonts w:ascii="Calibri" w:cs="Calibri" w:eastAsia="Calibri" w:hAnsi="Calibri"/>
          <w:sz w:val="22"/>
          <w:szCs w:val="22"/>
        </w:rPr>
        <w:t xml:space="preserve">All weighted percentages and medians use the DHS women's sample weight V005 / 10⁶. For cells that combine multiple weighted children (e.g., the country × transition cells used in the multistate model, Section 8), we additionally compute Kish's effective sample size to reflect the variance inflation from unequal weighting:</w:t>
      </w:r>
    </w:p>
    <w:p>
      <w:pPr>
        <w:spacing w:after="200" w:before="180"/>
        <w:jc w:val="center"/>
      </w:pPr>
      <w:r>
        <w:rPr>
          <w:rFonts w:ascii="Cambria" w:cs="Cambria" w:eastAsia="Cambria" w:hAnsi="Cambria"/>
          <w:color w:val="1a3b6e"/>
          <w:sz w:val="24"/>
          <w:szCs w:val="24"/>
        </w:rPr>
        <w:t xml:space="preserve">nᵉᶠᶠ = (Σᵢ wᵢ)² / Σᵢ wᵢ²</w:t>
      </w:r>
    </w:p>
    <w:p>
      <w:pPr>
        <w:spacing w:after="160" w:line="320"/>
        <w:jc w:val="both"/>
      </w:pPr>
      <w:r>
        <w:rPr>
          <w:rFonts w:ascii="Calibri" w:cs="Calibri" w:eastAsia="Calibri" w:hAnsi="Calibri"/>
          <w:sz w:val="22"/>
          <w:szCs w:val="22"/>
        </w:rPr>
        <w:t xml:space="preserve">The resulting standard error for a weighted Bernoulli proportion p̂ is the conventional binomial SE evaluated at nᵉᶠᶠ:</w:t>
      </w:r>
    </w:p>
    <w:p>
      <w:pPr>
        <w:spacing w:after="200" w:before="180"/>
        <w:jc w:val="center"/>
      </w:pPr>
      <w:r>
        <w:rPr>
          <w:rFonts w:ascii="Cambria" w:cs="Cambria" w:eastAsia="Cambria" w:hAnsi="Cambria"/>
          <w:color w:val="1a3b6e"/>
          <w:sz w:val="24"/>
          <w:szCs w:val="24"/>
        </w:rPr>
        <w:t xml:space="preserve">ŜE(p̂) = √[p̂(1−p̂) / nᵉᶠᶠ]</w:t>
      </w:r>
    </w:p>
    <w:p>
      <w:pPr>
        <w:spacing w:after="160" w:line="320"/>
        <w:jc w:val="both"/>
      </w:pPr>
      <w:r>
        <w:rPr>
          <w:rFonts w:ascii="Calibri" w:cs="Calibri" w:eastAsia="Calibri" w:hAnsi="Calibri"/>
          <w:sz w:val="22"/>
          <w:szCs w:val="22"/>
        </w:rPr>
        <w:t xml:space="preserve">This treats the design effect from unequal weights but not from clustering (the DHS multistage cluster design typically inflates variance by a further 1.5×–2× through intra-cluster correlation). For the present analysis the between-country heterogeneity dominates the within-survey design-effect adjustments by 1–2 orders of magnitude (Section 9.3), so a full design-based variance estimator was not necessary for the qualitative findings. Cluster (V021) and strata (V022) variables are preserved in the analytic CSVs to support full Taylor-linearization or jackknife variance estimation in follow-on work.</w:t>
      </w:r>
    </w:p>
    <w:p>
      <w:pPr>
        <w:pStyle w:val="Heading1"/>
        <w:spacing w:after="220" w:before="400"/>
      </w:pPr>
      <w:r>
        <w:rPr>
          <w:rFonts w:ascii="Calibri" w:cs="Calibri" w:eastAsia="Calibri" w:hAnsi="Calibri"/>
          <w:b/>
          <w:bCs/>
          <w:color w:val="1a3b6e"/>
          <w:sz w:val="34"/>
          <w:szCs w:val="34"/>
        </w:rPr>
        <w:t xml:space="preserve">8. Multistate Markov model</w:t>
      </w:r>
    </w:p>
    <w:p>
      <w:pPr>
        <w:pStyle w:val="Heading3"/>
        <w:spacing w:after="100" w:before="220"/>
      </w:pPr>
      <w:r>
        <w:rPr>
          <w:rFonts w:ascii="Calibri" w:cs="Calibri" w:eastAsia="Calibri" w:hAnsi="Calibri"/>
          <w:b/>
          <w:bCs/>
          <w:color w:val="33567a"/>
          <w:sz w:val="22"/>
          <w:szCs w:val="22"/>
        </w:rPr>
        <w:t xml:space="preserve">8.1 State space</w:t>
      </w:r>
    </w:p>
    <w:p>
      <w:pPr>
        <w:spacing w:after="160" w:line="320"/>
        <w:jc w:val="both"/>
      </w:pPr>
      <w:r>
        <w:rPr>
          <w:rFonts w:ascii="Calibri" w:cs="Calibri" w:eastAsia="Calibri" w:hAnsi="Calibri"/>
          <w:sz w:val="22"/>
          <w:szCs w:val="22"/>
        </w:rPr>
        <w:t xml:space="preserve">The cascade is formalized as a discrete-state Markov chain in observed (snapshot) time. The state space is:</w:t>
      </w:r>
    </w:p>
    <w:p>
      <w:pPr>
        <w:spacing w:after="200" w:before="180"/>
        <w:jc w:val="center"/>
      </w:pPr>
      <w:r>
        <w:rPr>
          <w:rFonts w:ascii="Cambria" w:cs="Cambria" w:eastAsia="Cambria" w:hAnsi="Cambria"/>
          <w:color w:val="1a3b6e"/>
          <w:sz w:val="24"/>
          <w:szCs w:val="24"/>
        </w:rPr>
        <w:t xml:space="preserve">S = { s₀ = zero-dose; s₁ = BCG only; s₂ = +Dose 1; s₃ = +Dose 2; s₄ = +Dose 3; s₅ = +MCV1 (complete) }</w:t>
      </w:r>
    </w:p>
    <w:p>
      <w:pPr>
        <w:spacing w:after="160" w:line="320"/>
        <w:jc w:val="both"/>
      </w:pPr>
      <w:r>
        <w:rPr>
          <w:rFonts w:ascii="Calibri" w:cs="Calibri" w:eastAsia="Calibri" w:hAnsi="Calibri"/>
          <w:sz w:val="22"/>
          <w:szCs w:val="22"/>
        </w:rPr>
        <w:t xml:space="preserve">Each child is assigned to the most advanced state for which they have evidence of receipt. States are absorbing in the sense that receipt of dose k implies receipt of all prior doses for the purposes of cascade classification (we follow standard practice in cascade analysis here; out-of-order receipt is rare in DHS data and does not change the qualitative findings). The transition graph is the directed path s₀ → s₁ → s₂ → s₃ → s₄ → s₅. For each transition j ∈ {0, 1, 2, 3, 4} we estimate the conditional transition probability:</w:t>
      </w:r>
    </w:p>
    <w:p>
      <w:pPr>
        <w:spacing w:after="200" w:before="180"/>
        <w:jc w:val="center"/>
      </w:pPr>
      <w:r>
        <w:rPr>
          <w:rFonts w:ascii="Cambria" w:cs="Cambria" w:eastAsia="Cambria" w:hAnsi="Cambria"/>
          <w:color w:val="1a3b6e"/>
          <w:sz w:val="24"/>
          <w:szCs w:val="24"/>
        </w:rPr>
        <w:t xml:space="preserve">qⱼ = P[ S_{i,t+1} = sⱼ₊₁ | S_{i,t} = sⱼ ]</w:t>
      </w:r>
    </w:p>
    <w:p>
      <w:pPr>
        <w:spacing w:after="160" w:line="320"/>
        <w:jc w:val="both"/>
      </w:pPr>
      <w:r>
        <w:rPr>
          <w:rFonts w:ascii="Calibri" w:cs="Calibri" w:eastAsia="Calibri" w:hAnsi="Calibri"/>
          <w:sz w:val="22"/>
          <w:szCs w:val="22"/>
        </w:rPr>
        <w:t xml:space="preserve">These five probabilities fully parameterize the chain given an exogenous starting cohort at s₀.</w:t>
      </w:r>
    </w:p>
    <w:p>
      <w:pPr>
        <w:pStyle w:val="Heading3"/>
        <w:spacing w:after="100" w:before="220"/>
      </w:pPr>
      <w:r>
        <w:rPr>
          <w:rFonts w:ascii="Calibri" w:cs="Calibri" w:eastAsia="Calibri" w:hAnsi="Calibri"/>
          <w:b/>
          <w:bCs/>
          <w:color w:val="33567a"/>
          <w:sz w:val="22"/>
          <w:szCs w:val="22"/>
        </w:rPr>
        <w:t xml:space="preserve">8.2 Long-format reshape</w:t>
      </w:r>
    </w:p>
    <w:p>
      <w:pPr>
        <w:spacing w:after="160" w:line="320"/>
        <w:jc w:val="both"/>
      </w:pPr>
      <w:r>
        <w:rPr>
          <w:rFonts w:ascii="Calibri" w:cs="Calibri" w:eastAsia="Calibri" w:hAnsi="Calibri"/>
          <w:sz w:val="22"/>
          <w:szCs w:val="22"/>
        </w:rPr>
        <w:t xml:space="preserve">From the wide child-level dataset (one row per child) we reshape to a long-format table with one row per child × transition (up to five rows per child). For each child i and each transition tⱼ, the row records yᵢ = 1 if the child reached the next state, conditional on having reached the prior state; children who had not reached the prior state are excluded from that transition's observations but remain in the analysis for upstream transitions. This produces 987,045 child-transition observations across 163 surveys × 38 countries × 5 transitions.</w:t>
      </w:r>
    </w:p>
    <w:p>
      <w:pPr>
        <w:pStyle w:val="Heading3"/>
        <w:spacing w:after="100" w:before="220"/>
      </w:pPr>
      <w:r>
        <w:rPr>
          <w:rFonts w:ascii="Calibri" w:cs="Calibri" w:eastAsia="Calibri" w:hAnsi="Calibri"/>
          <w:b/>
          <w:bCs/>
          <w:color w:val="33567a"/>
          <w:sz w:val="22"/>
          <w:szCs w:val="22"/>
        </w:rPr>
        <w:t xml:space="preserve">8.3 Country-level weighted Bernoulli summaries</w:t>
      </w:r>
    </w:p>
    <w:p>
      <w:pPr>
        <w:spacing w:after="160" w:line="320"/>
        <w:jc w:val="both"/>
      </w:pPr>
      <w:r>
        <w:rPr>
          <w:rFonts w:ascii="Calibri" w:cs="Calibri" w:eastAsia="Calibri" w:hAnsi="Calibri"/>
          <w:sz w:val="22"/>
          <w:szCs w:val="22"/>
        </w:rPr>
        <w:t xml:space="preserve">For each country c and transition tⱼ, the V005-weighted Bernoulli proportion of successful transitions is:</w:t>
      </w:r>
    </w:p>
    <w:p>
      <w:pPr>
        <w:spacing w:after="200" w:before="180"/>
        <w:jc w:val="center"/>
      </w:pPr>
      <w:r>
        <w:rPr>
          <w:rFonts w:ascii="Cambria" w:cs="Cambria" w:eastAsia="Cambria" w:hAnsi="Cambria"/>
          <w:color w:val="1a3b6e"/>
          <w:sz w:val="24"/>
          <w:szCs w:val="24"/>
        </w:rPr>
        <w:t xml:space="preserve">p̂_{c,j} = Σᵢ wᵢ · yᵢ / Σᵢ wᵢ</w:t>
      </w:r>
    </w:p>
    <w:p>
      <w:pPr>
        <w:spacing w:after="160" w:line="320"/>
        <w:jc w:val="both"/>
      </w:pPr>
      <w:r>
        <w:rPr>
          <w:rFonts w:ascii="Calibri" w:cs="Calibri" w:eastAsia="Calibri" w:hAnsi="Calibri"/>
          <w:sz w:val="22"/>
          <w:szCs w:val="22"/>
        </w:rPr>
        <w:t xml:space="preserve">with effective sample size nᵉᶠᶠ as in Section 7. Country × transition cells with nᵉᶠᶠ &lt; 5 or p̂ ∈ {0, 1} exactly were excluded from the meta-analysis (the latter to avoid degenerate logit transforms).</w:t>
      </w:r>
    </w:p>
    <w:p>
      <w:pPr>
        <w:pStyle w:val="Heading3"/>
        <w:spacing w:after="100" w:before="220"/>
      </w:pPr>
      <w:r>
        <w:rPr>
          <w:rFonts w:ascii="Calibri" w:cs="Calibri" w:eastAsia="Calibri" w:hAnsi="Calibri"/>
          <w:b/>
          <w:bCs/>
          <w:color w:val="33567a"/>
          <w:sz w:val="22"/>
          <w:szCs w:val="22"/>
        </w:rPr>
        <w:t xml:space="preserve">8.4 Random-effects meta-analysis (DerSimonian-Laird)</w:t>
      </w:r>
    </w:p>
    <w:p>
      <w:pPr>
        <w:spacing w:after="160" w:line="320"/>
        <w:jc w:val="both"/>
      </w:pPr>
      <w:r>
        <w:rPr>
          <w:rFonts w:ascii="Calibri" w:cs="Calibri" w:eastAsia="Calibri" w:hAnsi="Calibri"/>
          <w:sz w:val="22"/>
          <w:szCs w:val="22"/>
        </w:rPr>
        <w:t xml:space="preserve">For each transition j separately, we model the country-level estimates as draws from a normal-normal hierarchical model on the logit scale:</w:t>
      </w:r>
    </w:p>
    <w:p>
      <w:pPr>
        <w:spacing w:after="200" w:before="180"/>
        <w:jc w:val="center"/>
      </w:pPr>
      <w:r>
        <w:rPr>
          <w:rFonts w:ascii="Cambria" w:cs="Cambria" w:eastAsia="Cambria" w:hAnsi="Cambria"/>
          <w:color w:val="1a3b6e"/>
          <w:sz w:val="24"/>
          <w:szCs w:val="24"/>
        </w:rPr>
        <w:t xml:space="preserve">θ̂_{c,j} = θ_{c,j} + η_{c,j},   η_{c,j} ~ N(0, s²_{c,j})</w:t>
      </w:r>
    </w:p>
    <w:p>
      <w:pPr>
        <w:spacing w:after="200" w:before="180"/>
        <w:jc w:val="center"/>
      </w:pPr>
      <w:r>
        <w:rPr>
          <w:rFonts w:ascii="Cambria" w:cs="Cambria" w:eastAsia="Cambria" w:hAnsi="Cambria"/>
          <w:color w:val="1a3b6e"/>
          <w:sz w:val="24"/>
          <w:szCs w:val="24"/>
        </w:rPr>
        <w:t xml:space="preserve">θ_{c,j} = μⱼ + u_{c,j},   u_{c,j} ~ N(0, τ²ⱼ)</w:t>
      </w:r>
    </w:p>
    <w:p>
      <w:pPr>
        <w:spacing w:after="160" w:line="320"/>
        <w:jc w:val="both"/>
      </w:pPr>
      <w:r>
        <w:rPr>
          <w:rFonts w:ascii="Calibri" w:cs="Calibri" w:eastAsia="Calibri" w:hAnsi="Calibri"/>
          <w:sz w:val="22"/>
          <w:szCs w:val="22"/>
        </w:rPr>
        <w:t xml:space="preserve">where θ̂_{c,j} = logit(p̂_{c,j}) is the observed transformed estimate; s²_{c,j} = ŜE(p̂_{c,j})² / [p̂_{c,j}(1−p̂_{c,j})]² is the variance on the logit scale (delta method); μⱼ is the continent-level (population-average) transition log-odds; and τ²ⱼ is the between-country variance on the logit scale — the parameter of policy interest, as it quantifies cross-country heterogeneity in each transition.</w:t>
      </w:r>
    </w:p>
    <w:p>
      <w:pPr>
        <w:spacing w:after="160" w:line="320"/>
        <w:jc w:val="both"/>
      </w:pPr>
      <w:r>
        <w:rPr>
          <w:rFonts w:ascii="Calibri" w:cs="Calibri" w:eastAsia="Calibri" w:hAnsi="Calibri"/>
          <w:sz w:val="22"/>
          <w:szCs w:val="22"/>
        </w:rPr>
        <w:t xml:space="preserve">τ²ⱼ is estimated using the DerSimonian-Laird (1986) moment estimator:</w:t>
      </w:r>
    </w:p>
    <w:p>
      <w:pPr>
        <w:spacing w:after="200" w:before="180"/>
        <w:jc w:val="center"/>
      </w:pPr>
      <w:r>
        <w:rPr>
          <w:rFonts w:ascii="Cambria" w:cs="Cambria" w:eastAsia="Cambria" w:hAnsi="Cambria"/>
          <w:color w:val="1a3b6e"/>
          <w:sz w:val="24"/>
          <w:szCs w:val="24"/>
        </w:rPr>
        <w:t xml:space="preserve">τ̂²ⱼ = max { 0, [Qⱼ − (Cⱼ − 1)] / [Σ_c 1/s²_{c,j} − Σ_c 1/s⁴_{c,j} / Σ_c 1/s²_{c,j}] }</w:t>
      </w:r>
    </w:p>
    <w:p>
      <w:pPr>
        <w:spacing w:after="160" w:line="320"/>
        <w:jc w:val="both"/>
      </w:pPr>
      <w:r>
        <w:rPr>
          <w:rFonts w:ascii="Calibri" w:cs="Calibri" w:eastAsia="Calibri" w:hAnsi="Calibri"/>
          <w:sz w:val="22"/>
          <w:szCs w:val="22"/>
        </w:rPr>
        <w:t xml:space="preserve">where Cⱼ is the number of countries with valid estimates for transition j, and Qⱼ is Cochran's heterogeneity statistic:</w:t>
      </w:r>
    </w:p>
    <w:p>
      <w:pPr>
        <w:spacing w:after="200" w:before="180"/>
        <w:jc w:val="center"/>
      </w:pPr>
      <w:r>
        <w:rPr>
          <w:rFonts w:ascii="Cambria" w:cs="Cambria" w:eastAsia="Cambria" w:hAnsi="Cambria"/>
          <w:color w:val="1a3b6e"/>
          <w:sz w:val="24"/>
          <w:szCs w:val="24"/>
        </w:rPr>
        <w:t xml:space="preserve">Qⱼ = Σ_c (1/s²_{c,j}) · (θ̂_{c,j} − μ̃ⱼ_FE)²</w:t>
      </w:r>
    </w:p>
    <w:p>
      <w:pPr>
        <w:spacing w:after="160" w:line="320"/>
        <w:jc w:val="both"/>
      </w:pPr>
      <w:r>
        <w:rPr>
          <w:rFonts w:ascii="Calibri" w:cs="Calibri" w:eastAsia="Calibri" w:hAnsi="Calibri"/>
          <w:sz w:val="22"/>
          <w:szCs w:val="22"/>
        </w:rPr>
        <w:t xml:space="preserve">with μ̃ⱼ_FE = Σ_c θ̂_{c,j}/s²_{c,j} / Σ_c 1/s²_{c,j} being the fixed-effect (inverse-variance) average.</w:t>
      </w:r>
    </w:p>
    <w:p>
      <w:pPr>
        <w:spacing w:after="160" w:line="320"/>
        <w:jc w:val="both"/>
      </w:pPr>
      <w:r>
        <w:rPr>
          <w:rFonts w:ascii="Calibri" w:cs="Calibri" w:eastAsia="Calibri" w:hAnsi="Calibri"/>
          <w:sz w:val="22"/>
          <w:szCs w:val="22"/>
        </w:rPr>
        <w:t xml:space="preserve">The pooled random-effects estimate uses inverse-variance weights that include between-country variance:</w:t>
      </w:r>
    </w:p>
    <w:p>
      <w:pPr>
        <w:spacing w:after="200" w:before="180"/>
        <w:jc w:val="center"/>
      </w:pPr>
      <w:r>
        <w:rPr>
          <w:rFonts w:ascii="Cambria" w:cs="Cambria" w:eastAsia="Cambria" w:hAnsi="Cambria"/>
          <w:color w:val="1a3b6e"/>
          <w:sz w:val="24"/>
          <w:szCs w:val="24"/>
        </w:rPr>
        <w:t xml:space="preserve">μ̂ⱼ = Σ_c θ̂_{c,j}/(s²_{c,j} + τ̂²ⱼ) / Σ_c 1/(s²_{c,j} + τ̂²ⱼ)</w:t>
      </w:r>
    </w:p>
    <w:p>
      <w:pPr>
        <w:spacing w:after="200" w:before="180"/>
        <w:jc w:val="center"/>
      </w:pPr>
      <w:r>
        <w:rPr>
          <w:rFonts w:ascii="Cambria" w:cs="Cambria" w:eastAsia="Cambria" w:hAnsi="Cambria"/>
          <w:color w:val="1a3b6e"/>
          <w:sz w:val="24"/>
          <w:szCs w:val="24"/>
        </w:rPr>
        <w:t xml:space="preserve">ŜE(μ̂ⱼ) = 1 / √[ Σ_c 1/(s²_{c,j} + τ̂²ⱼ) ]</w:t>
      </w:r>
    </w:p>
    <w:p>
      <w:pPr>
        <w:spacing w:after="160" w:line="320"/>
        <w:jc w:val="both"/>
      </w:pPr>
      <w:r>
        <w:rPr>
          <w:rFonts w:ascii="Calibri" w:cs="Calibri" w:eastAsia="Calibri" w:hAnsi="Calibri"/>
          <w:sz w:val="22"/>
          <w:szCs w:val="22"/>
        </w:rPr>
        <w:t xml:space="preserve">The continent-mean transition probability is recovered by inverse logit: p̂ⱼ_cont = 1 / (1 + exp(−μ̂ⱼ)).</w:t>
      </w:r>
    </w:p>
    <w:p>
      <w:pPr>
        <w:pStyle w:val="Heading3"/>
        <w:spacing w:after="100" w:before="220"/>
      </w:pPr>
      <w:r>
        <w:rPr>
          <w:rFonts w:ascii="Calibri" w:cs="Calibri" w:eastAsia="Calibri" w:hAnsi="Calibri"/>
          <w:b/>
          <w:bCs/>
          <w:color w:val="33567a"/>
          <w:sz w:val="22"/>
          <w:szCs w:val="22"/>
        </w:rPr>
        <w:t xml:space="preserve">8.5 Empirical Bayes shrinkage</w:t>
      </w:r>
    </w:p>
    <w:p>
      <w:pPr>
        <w:spacing w:after="160" w:line="320"/>
        <w:jc w:val="both"/>
      </w:pPr>
      <w:r>
        <w:rPr>
          <w:rFonts w:ascii="Calibri" w:cs="Calibri" w:eastAsia="Calibri" w:hAnsi="Calibri"/>
          <w:sz w:val="22"/>
          <w:szCs w:val="22"/>
        </w:rPr>
        <w:t xml:space="preserve">The posterior mean of θ_{c,j} given the data and the estimated hyperparameters is the classical normal-normal Stein-type shrinkage estimator:</w:t>
      </w:r>
    </w:p>
    <w:p>
      <w:pPr>
        <w:spacing w:after="200" w:before="180"/>
        <w:jc w:val="center"/>
      </w:pPr>
      <w:r>
        <w:rPr>
          <w:rFonts w:ascii="Cambria" w:cs="Cambria" w:eastAsia="Cambria" w:hAnsi="Cambria"/>
          <w:color w:val="1a3b6e"/>
          <w:sz w:val="24"/>
          <w:szCs w:val="24"/>
        </w:rPr>
        <w:t xml:space="preserve">θ̂_{c,j}^EB = (1 − B_{c,j}) · θ̂_{c,j} + B_{c,j} · μ̂ⱼ</w:t>
      </w:r>
    </w:p>
    <w:p>
      <w:pPr>
        <w:spacing w:after="200" w:before="180"/>
        <w:jc w:val="center"/>
      </w:pPr>
      <w:r>
        <w:rPr>
          <w:rFonts w:ascii="Cambria" w:cs="Cambria" w:eastAsia="Cambria" w:hAnsi="Cambria"/>
          <w:color w:val="1a3b6e"/>
          <w:sz w:val="24"/>
          <w:szCs w:val="24"/>
        </w:rPr>
        <w:t xml:space="preserve">B_{c,j} = s²_{c,j} / (s²_{c,j} + τ̂²ⱼ)</w:t>
      </w:r>
    </w:p>
    <w:p>
      <w:pPr>
        <w:spacing w:after="160" w:line="320"/>
        <w:jc w:val="both"/>
      </w:pPr>
      <w:r>
        <w:rPr>
          <w:rFonts w:ascii="Calibri" w:cs="Calibri" w:eastAsia="Calibri" w:hAnsi="Calibri"/>
          <w:sz w:val="22"/>
          <w:szCs w:val="22"/>
        </w:rPr>
        <w:t xml:space="preserve">Countries with smaller sampling variance (larger nᵉᶠᶠ) receive smaller shrinkage weight B_{c,j} — their data dominate, and the EB estimate is close to the raw p̂_{c,j}. Countries with larger sampling variance (small surveys, near-degenerate proportions) receive larger B_{c,j} and are pulled toward the continent mean μ̂ⱼ. The EB posterior variance is:</w:t>
      </w:r>
    </w:p>
    <w:p>
      <w:pPr>
        <w:spacing w:after="200" w:before="180"/>
        <w:jc w:val="center"/>
      </w:pPr>
      <w:r>
        <w:rPr>
          <w:rFonts w:ascii="Cambria" w:cs="Cambria" w:eastAsia="Cambria" w:hAnsi="Cambria"/>
          <w:color w:val="1a3b6e"/>
          <w:sz w:val="24"/>
          <w:szCs w:val="24"/>
        </w:rPr>
        <w:t xml:space="preserve">V̂ar(θ_{c,j} | data) = 1 / (1/τ̂²ⱼ + 1/s²_{c,j})</w:t>
      </w:r>
    </w:p>
    <w:p>
      <w:pPr>
        <w:spacing w:after="160" w:line="320"/>
        <w:jc w:val="both"/>
      </w:pPr>
      <w:r>
        <w:rPr>
          <w:rFonts w:ascii="Calibri" w:cs="Calibri" w:eastAsia="Calibri" w:hAnsi="Calibri"/>
          <w:sz w:val="22"/>
          <w:szCs w:val="22"/>
        </w:rPr>
        <w:t xml:space="preserve">95% credible intervals are computed on the logit scale as θ̂_{c,j}^EB ± 1.96 · √V̂ar and back-transformed to probability via the inverse logit. This is empirical Bayes rather than full Bayes: μ̂ⱼ and τ̂²ⱼ are plugged in as point estimates rather than propagated as posteriors. Under the panel sample size of ≥ 38 countries per transition, the difference between EB and full Bayes credible interval widths is &lt; 10% (Section 12).</w:t>
      </w:r>
    </w:p>
    <w:p>
      <w:pPr>
        <w:pStyle w:val="Heading3"/>
        <w:spacing w:after="100" w:before="220"/>
      </w:pPr>
      <w:r>
        <w:rPr>
          <w:rFonts w:ascii="Calibri" w:cs="Calibri" w:eastAsia="Calibri" w:hAnsi="Calibri"/>
          <w:b/>
          <w:bCs/>
          <w:color w:val="33567a"/>
          <w:sz w:val="22"/>
          <w:szCs w:val="22"/>
        </w:rPr>
        <w:t xml:space="preserve">8.6 State-occupation probabilities</w:t>
      </w:r>
    </w:p>
    <w:p>
      <w:pPr>
        <w:spacing w:after="160" w:line="320"/>
        <w:jc w:val="both"/>
      </w:pPr>
      <w:r>
        <w:rPr>
          <w:rFonts w:ascii="Calibri" w:cs="Calibri" w:eastAsia="Calibri" w:hAnsi="Calibri"/>
          <w:sz w:val="22"/>
          <w:szCs w:val="22"/>
        </w:rPr>
        <w:t xml:space="preserve">Given the five Bayes-shrunk transition probabilities for country c, the probability that a child in country c ends in each terminal state is computed by direct path-product along the Markov chain:</w:t>
      </w:r>
    </w:p>
    <w:p>
      <w:pPr>
        <w:spacing w:after="200" w:before="180"/>
        <w:jc w:val="center"/>
      </w:pPr>
      <w:r>
        <w:rPr>
          <w:rFonts w:ascii="Cambria" w:cs="Cambria" w:eastAsia="Cambria" w:hAnsi="Cambria"/>
          <w:color w:val="1a3b6e"/>
          <w:sz w:val="24"/>
          <w:szCs w:val="24"/>
        </w:rPr>
        <w:t xml:space="preserve">Pr(state = s₅) = ∏ⱼ₌₀⁴ p̂_{c,j}^EB    (full schedule completed)</w:t>
      </w:r>
    </w:p>
    <w:p>
      <w:pPr>
        <w:spacing w:after="200" w:before="180"/>
        <w:jc w:val="center"/>
      </w:pPr>
      <w:r>
        <w:rPr>
          <w:rFonts w:ascii="Cambria" w:cs="Cambria" w:eastAsia="Cambria" w:hAnsi="Cambria"/>
          <w:color w:val="1a3b6e"/>
          <w:sz w:val="24"/>
          <w:szCs w:val="24"/>
        </w:rPr>
        <w:t xml:space="preserve">Pr(state = s_k) = ∏ⱼ₌₀^{k−1} p̂_{c,j}^EB · (1 − p̂_{c,k}^EB),    k = 1, …, 4</w:t>
      </w:r>
    </w:p>
    <w:p>
      <w:pPr>
        <w:spacing w:after="200" w:before="180"/>
        <w:jc w:val="center"/>
      </w:pPr>
      <w:r>
        <w:rPr>
          <w:rFonts w:ascii="Cambria" w:cs="Cambria" w:eastAsia="Cambria" w:hAnsi="Cambria"/>
          <w:color w:val="1a3b6e"/>
          <w:sz w:val="24"/>
          <w:szCs w:val="24"/>
        </w:rPr>
        <w:t xml:space="preserve">Pr(state = s₀) = 1 − p̂_{c,0}^EB    (zero-dose)</w:t>
      </w:r>
    </w:p>
    <w:p>
      <w:pPr>
        <w:spacing w:after="160" w:line="320"/>
        <w:jc w:val="both"/>
      </w:pPr>
      <w:r>
        <w:rPr>
          <w:rFonts w:ascii="Calibri" w:cs="Calibri" w:eastAsia="Calibri" w:hAnsi="Calibri"/>
          <w:sz w:val="22"/>
          <w:szCs w:val="22"/>
        </w:rPr>
        <w:t xml:space="preserve">These probabilities sum to 1 by construction. Continent-level averages are arithmetic means across countries (unweighted, treating each country as one observation; a population-weighted version using UN under-1 estimates is supplied for the burden-relevant interpretation). Uncertainty in the predicted state probabilities can be propagated via the delta method on the path-product or by Monte Carlo simulation from the EB posteriors of the transition probabilities; the present analysis reports point estimates.</w:t>
      </w:r>
    </w:p>
    <w:p>
      <w:pPr>
        <w:pStyle w:val="Heading3"/>
        <w:spacing w:after="100" w:before="220"/>
      </w:pPr>
      <w:r>
        <w:rPr>
          <w:rFonts w:ascii="Calibri" w:cs="Calibri" w:eastAsia="Calibri" w:hAnsi="Calibri"/>
          <w:b/>
          <w:bCs/>
          <w:color w:val="33567a"/>
          <w:sz w:val="22"/>
          <w:szCs w:val="22"/>
        </w:rPr>
        <w:t xml:space="preserve">8.7 Heterogeneity decomposition</w:t>
      </w:r>
    </w:p>
    <w:p>
      <w:pPr>
        <w:spacing w:after="160" w:line="320"/>
        <w:jc w:val="both"/>
      </w:pPr>
      <w:r>
        <w:rPr>
          <w:rFonts w:ascii="Calibri" w:cs="Calibri" w:eastAsia="Calibri" w:hAnsi="Calibri"/>
          <w:sz w:val="22"/>
          <w:szCs w:val="22"/>
        </w:rPr>
        <w:t xml:space="preserve">For each transition we report three measures of heterogeneity:</w:t>
      </w:r>
    </w:p>
    <w:p>
      <w:pPr>
        <w:pStyle w:val="ListParagraph"/>
        <w:numPr>
          <w:ilvl w:val="0"/>
          <w:numId w:val="2"/>
        </w:numPr>
        <w:spacing w:after="80" w:line="300"/>
      </w:pPr>
      <w:r>
        <w:rPr>
          <w:rFonts w:ascii="Calibri" w:cs="Calibri" w:eastAsia="Calibri" w:hAnsi="Calibri"/>
          <w:b/>
          <w:bCs/>
          <w:sz w:val="22"/>
          <w:szCs w:val="22"/>
        </w:rPr>
        <w:t xml:space="preserve">τ²ⱼ </w:t>
      </w:r>
      <w:r>
        <w:rPr>
          <w:rFonts w:ascii="Calibri" w:cs="Calibri" w:eastAsia="Calibri" w:hAnsi="Calibri"/>
          <w:sz w:val="22"/>
          <w:szCs w:val="22"/>
        </w:rPr>
        <w:t xml:space="preserve">(logit scale): the absolute between-country variance. Directly interpretable on the latent logit scale.</w:t>
      </w:r>
    </w:p>
    <w:p>
      <w:pPr>
        <w:pStyle w:val="ListParagraph"/>
        <w:numPr>
          <w:ilvl w:val="0"/>
          <w:numId w:val="2"/>
        </w:numPr>
        <w:spacing w:after="80" w:line="300"/>
      </w:pPr>
      <w:r>
        <w:rPr>
          <w:rFonts w:ascii="Calibri" w:cs="Calibri" w:eastAsia="Calibri" w:hAnsi="Calibri"/>
          <w:b/>
          <w:bCs/>
          <w:sz w:val="22"/>
          <w:szCs w:val="22"/>
        </w:rPr>
        <w:t xml:space="preserve">Cochran's Qⱼ</w:t>
      </w:r>
      <w:r>
        <w:rPr>
          <w:rFonts w:ascii="Calibri" w:cs="Calibri" w:eastAsia="Calibri" w:hAnsi="Calibri"/>
          <w:sz w:val="22"/>
          <w:szCs w:val="22"/>
        </w:rPr>
        <w:t xml:space="preserve">: distributed as χ²_{Cⱼ−1} under the homogeneity null (τ²ⱼ = 0). Tests whether between-country heterogeneity is statistically distinguishable from sampling variance.</w:t>
      </w:r>
    </w:p>
    <w:p>
      <w:pPr>
        <w:pStyle w:val="ListParagraph"/>
        <w:numPr>
          <w:ilvl w:val="0"/>
          <w:numId w:val="2"/>
        </w:numPr>
        <w:spacing w:after="80" w:line="300"/>
      </w:pPr>
      <w:r>
        <w:rPr>
          <w:rFonts w:ascii="Calibri" w:cs="Calibri" w:eastAsia="Calibri" w:hAnsi="Calibri"/>
          <w:b/>
          <w:bCs/>
          <w:sz w:val="22"/>
          <w:szCs w:val="22"/>
        </w:rPr>
        <w:t xml:space="preserve">Higgins' I²ⱼ </w:t>
      </w:r>
      <w:r>
        <w:rPr>
          <w:rFonts w:ascii="Calibri" w:cs="Calibri" w:eastAsia="Calibri" w:hAnsi="Calibri"/>
          <w:sz w:val="22"/>
          <w:szCs w:val="22"/>
        </w:rPr>
        <w:t xml:space="preserve">= max{ 0, (Qⱼ − (Cⱼ − 1)) / Qⱼ }: the fraction of total observed variation attributable to true between-country differences (rather than sampling error). Bounded in [0, 1].</w:t>
      </w:r>
    </w:p>
    <w:p>
      <w:pPr>
        <w:spacing w:after="160" w:line="320"/>
        <w:jc w:val="both"/>
      </w:pPr>
      <w:r>
        <w:rPr>
          <w:rFonts w:ascii="Calibri" w:cs="Calibri" w:eastAsia="Calibri" w:hAnsi="Calibri"/>
          <w:sz w:val="22"/>
          <w:szCs w:val="22"/>
        </w:rPr>
        <w:t xml:space="preserve">τ²ⱼ is the policy-relevant measure for the variance decomposition (because it locates where between-country heterogeneity sits along the cascade); I²ⱼ is the more familiar meta-analytic statistic for comparison with the wider literature. The decomposition of τ²ⱼ across the five transitions is the multistate model's distinctive contribution and is discussed in detail in the Results.</w:t>
      </w:r>
    </w:p>
    <w:p>
      <w:pPr>
        <w:pStyle w:val="Heading1"/>
        <w:spacing w:after="220" w:before="400"/>
      </w:pPr>
      <w:r>
        <w:rPr>
          <w:rFonts w:ascii="Calibri" w:cs="Calibri" w:eastAsia="Calibri" w:hAnsi="Calibri"/>
          <w:b/>
          <w:bCs/>
          <w:color w:val="1a3b6e"/>
          <w:sz w:val="34"/>
          <w:szCs w:val="34"/>
        </w:rPr>
        <w:t xml:space="preserve">9. Software and implementation</w:t>
      </w:r>
    </w:p>
    <w:p>
      <w:pPr>
        <w:spacing w:after="160" w:line="320"/>
        <w:jc w:val="both"/>
      </w:pPr>
      <w:r>
        <w:rPr>
          <w:rFonts w:ascii="Calibri" w:cs="Calibri" w:eastAsia="Calibri" w:hAnsi="Calibri"/>
          <w:sz w:val="22"/>
          <w:szCs w:val="22"/>
        </w:rPr>
        <w:t xml:space="preserve">All analyses are implemented in Python 3.10 using pandas (1.5+), numpy (1.24+), scipy (1.10+), and matplotlib (3.7+). No external DHS-specific package is required. The pipeline is organized in two modules:</w:t>
      </w:r>
    </w:p>
    <w:p>
      <w:pPr>
        <w:pStyle w:val="ListParagraph"/>
        <w:numPr>
          <w:ilvl w:val="0"/>
          <w:numId w:val="2"/>
        </w:numPr>
        <w:spacing w:after="80" w:line="300"/>
      </w:pPr>
      <w:r>
        <w:rPr>
          <w:rFonts w:ascii="Calibri" w:cs="Calibri" w:eastAsia="Calibri" w:hAnsi="Calibri"/>
          <w:b/>
          <w:bCs/>
          <w:sz w:val="22"/>
          <w:szCs w:val="22"/>
        </w:rPr>
        <w:t xml:space="preserve">Cascade analysis: </w:t>
      </w:r>
      <w:r>
        <w:rPr>
          <w:rFonts w:ascii="Calibri" w:cs="Calibri" w:eastAsia="Calibri" w:hAnsi="Calibri"/>
          <w:sz w:val="22"/>
          <w:szCs w:val="22"/>
        </w:rPr>
        <w:t xml:space="preserve">extract_child_receipt.py (DCF parsing + DAT reading + child-level receipt extraction), cascade_analysis.py (weighted cascade computation + failure-type classification), make_cascade_charts.py (figures).</w:t>
      </w:r>
    </w:p>
    <w:p>
      <w:pPr>
        <w:pStyle w:val="ListParagraph"/>
        <w:numPr>
          <w:ilvl w:val="0"/>
          <w:numId w:val="2"/>
        </w:numPr>
        <w:spacing w:after="80" w:line="300"/>
      </w:pPr>
      <w:r>
        <w:rPr>
          <w:rFonts w:ascii="Calibri" w:cs="Calibri" w:eastAsia="Calibri" w:hAnsi="Calibri"/>
          <w:b/>
          <w:bCs/>
          <w:sz w:val="22"/>
          <w:szCs w:val="22"/>
        </w:rPr>
        <w:t xml:space="preserve">Multistate model: </w:t>
      </w:r>
      <w:r>
        <w:rPr>
          <w:rFonts w:ascii="Calibri" w:cs="Calibri" w:eastAsia="Calibri" w:hAnsi="Calibri"/>
          <w:sz w:val="22"/>
          <w:szCs w:val="22"/>
        </w:rPr>
        <w:t xml:space="preserve">01_prepare_long.py (long-format reshape), 02_fit_metabayesian.py (DerSimonian-Laird random-effects meta-analysis and EB shrinkage, implemented from scratch in ~80 lines), 03_state_occupation.py (path-product marginalization), 04_charts.py (figures).</w:t>
      </w:r>
    </w:p>
    <w:p>
      <w:pPr>
        <w:spacing w:after="160" w:line="320"/>
        <w:jc w:val="both"/>
      </w:pPr>
      <w:r>
        <w:rPr>
          <w:rFonts w:ascii="Calibri" w:cs="Calibri" w:eastAsia="Calibri" w:hAnsi="Calibri"/>
          <w:sz w:val="22"/>
          <w:szCs w:val="22"/>
        </w:rPr>
        <w:t xml:space="preserve">All estimators are deterministic — no random seeds are required. Total runtime on a single 2024 laptop thread is approximately 4 minutes for the full panel (dominated by the initial extraction of 38 country × 5 antigen × 163 survey records from the underlying DHS files); the multistate-model step itself runs in under 5 seconds. All scripts are provided as supplementary material.</w:t>
      </w:r>
    </w:p>
    <w:p>
      <w:pPr>
        <w:pStyle w:val="Heading1"/>
        <w:spacing w:after="220" w:before="400"/>
      </w:pPr>
      <w:r>
        <w:rPr>
          <w:rFonts w:ascii="Calibri" w:cs="Calibri" w:eastAsia="Calibri" w:hAnsi="Calibri"/>
          <w:b/>
          <w:bCs/>
          <w:color w:val="1a3b6e"/>
          <w:sz w:val="34"/>
          <w:szCs w:val="34"/>
        </w:rPr>
        <w:t xml:space="preserve">10. Validation</w:t>
      </w:r>
    </w:p>
    <w:p>
      <w:pPr>
        <w:spacing w:after="160" w:line="320"/>
        <w:jc w:val="both"/>
      </w:pPr>
      <w:r>
        <w:rPr>
          <w:rFonts w:ascii="Calibri" w:cs="Calibri" w:eastAsia="Calibri" w:hAnsi="Calibri"/>
          <w:sz w:val="22"/>
          <w:szCs w:val="22"/>
        </w:rPr>
        <w:t xml:space="preserve">The pipeline was validated against the published Ethiopia 2016 EDHS-7 final report before scaling to the continent. Coverage estimates produced by our pipeline reproduced the published numbers within 1.6 percentage points for BCG (70.3% vs published 68.7%), 0.9 percentage points for Penta3 (54.1% vs 53.2%), and 0.1 percentage points for MCV1 (54.4% vs 54.3%). This confirms weight application, the variable extraction, the unification of DPT and Penta, and the receipt-status coding.</w:t>
      </w:r>
    </w:p>
    <w:p>
      <w:pPr>
        <w:spacing w:after="160" w:line="320"/>
        <w:jc w:val="both"/>
      </w:pPr>
      <w:r>
        <w:rPr>
          <w:rFonts w:ascii="Calibri" w:cs="Calibri" w:eastAsia="Calibri" w:hAnsi="Calibri"/>
          <w:sz w:val="22"/>
          <w:szCs w:val="22"/>
        </w:rPr>
        <w:t xml:space="preserve">Within the multistate model, the Bayes-shrunk transition probabilities at the country level match the descriptive cascade conditional probabilities (Section 5.2) to within 0.2 percentage points on average across the panel — the country sample sizes are large enough that the raw estimates already dominate the prior. This is reassuring for the descriptive analysis in Sections 5 and 6: the formal model would essentially reproduce the descriptive numbers, while adding explicit uncertainty quantification and the variance decomposition.</w:t>
      </w:r>
    </w:p>
    <w:p>
      <w:pPr>
        <w:pStyle w:val="Heading1"/>
        <w:spacing w:after="220" w:before="400"/>
      </w:pPr>
      <w:r>
        <w:rPr>
          <w:rFonts w:ascii="Calibri" w:cs="Calibri" w:eastAsia="Calibri" w:hAnsi="Calibri"/>
          <w:b/>
          <w:bCs/>
          <w:color w:val="1a3b6e"/>
          <w:sz w:val="34"/>
          <w:szCs w:val="34"/>
        </w:rPr>
        <w:t xml:space="preserve">11. Sensitivity and robustness</w:t>
      </w:r>
    </w:p>
    <w:p>
      <w:pPr>
        <w:spacing w:after="160" w:line="320"/>
        <w:jc w:val="both"/>
      </w:pPr>
      <w:r>
        <w:rPr>
          <w:rFonts w:ascii="Calibri" w:cs="Calibri" w:eastAsia="Calibri" w:hAnsi="Calibri"/>
          <w:sz w:val="22"/>
          <w:szCs w:val="22"/>
        </w:rPr>
        <w:t xml:space="preserve">Three pre-specified robustness checks were undertaken.</w:t>
      </w:r>
    </w:p>
    <w:p>
      <w:pPr>
        <w:pStyle w:val="Heading3"/>
        <w:spacing w:after="100" w:before="220"/>
      </w:pPr>
      <w:r>
        <w:rPr>
          <w:rFonts w:ascii="Calibri" w:cs="Calibri" w:eastAsia="Calibri" w:hAnsi="Calibri"/>
          <w:b/>
          <w:bCs/>
          <w:color w:val="33567a"/>
          <w:sz w:val="22"/>
          <w:szCs w:val="22"/>
        </w:rPr>
        <w:t xml:space="preserve">11.1 Card-confirmed-only doses</w:t>
      </w:r>
    </w:p>
    <w:p>
      <w:pPr>
        <w:spacing w:after="160" w:line="320"/>
        <w:jc w:val="both"/>
      </w:pPr>
      <w:r>
        <w:rPr>
          <w:rFonts w:ascii="Calibri" w:cs="Calibri" w:eastAsia="Calibri" w:hAnsi="Calibri"/>
          <w:sz w:val="22"/>
          <w:szCs w:val="22"/>
        </w:rPr>
        <w:t xml:space="preserve">Restricting the receipt-status definition to code 1 (card date present) only, and excluding codes 2 (mother recall) and 3 (card marked, no date), shifts the continent cascade downward by 5–10 percentage points at each step (recall doses contribute approximately a fifth of the marginal coverage at each step). However, the relative ordering of countries and the failure-quadrant classification are unchanged — no country re-classifies between quadrants. The qualitative findings of Sections 5 and 6 are robust to this restriction. The heterogeneity decomposition (τ²ⱼ pattern of falling along the cascade) is also unchanged in card-only restriction.</w:t>
      </w:r>
    </w:p>
    <w:p>
      <w:pPr>
        <w:pStyle w:val="Heading3"/>
        <w:spacing w:after="100" w:before="220"/>
      </w:pPr>
      <w:r>
        <w:rPr>
          <w:rFonts w:ascii="Calibri" w:cs="Calibri" w:eastAsia="Calibri" w:hAnsi="Calibri"/>
          <w:b/>
          <w:bCs/>
          <w:color w:val="33567a"/>
          <w:sz w:val="22"/>
          <w:szCs w:val="22"/>
        </w:rPr>
        <w:t xml:space="preserve">11.2 Threshold sensitivity for failure-type classification</w:t>
      </w:r>
    </w:p>
    <w:p>
      <w:pPr>
        <w:spacing w:after="160" w:line="320"/>
        <w:jc w:val="both"/>
      </w:pPr>
      <w:r>
        <w:rPr>
          <w:rFonts w:ascii="Calibri" w:cs="Calibri" w:eastAsia="Calibri" w:hAnsi="Calibri"/>
          <w:sz w:val="22"/>
          <w:szCs w:val="22"/>
        </w:rPr>
        <w:t xml:space="preserve">The 10% / 20% thresholds used for the four-quadrant classification (Section 6) were perturbed by ±5 percentage points (5%/15%, 10%/20%, 15%/25%). At most 4 of 38 countries reclassify under any perturbation. The four-quadrant interpretation is robust to threshold choice.</w:t>
      </w:r>
    </w:p>
    <w:p>
      <w:pPr>
        <w:pStyle w:val="Heading3"/>
        <w:spacing w:after="100" w:before="220"/>
      </w:pPr>
      <w:r>
        <w:rPr>
          <w:rFonts w:ascii="Calibri" w:cs="Calibri" w:eastAsia="Calibri" w:hAnsi="Calibri"/>
          <w:b/>
          <w:bCs/>
          <w:color w:val="33567a"/>
          <w:sz w:val="22"/>
          <w:szCs w:val="22"/>
        </w:rPr>
        <w:t xml:space="preserve">11.3 Empirical Bayes vs full Bayesian estimation</w:t>
      </w:r>
    </w:p>
    <w:p>
      <w:pPr>
        <w:spacing w:after="160" w:line="320"/>
        <w:jc w:val="both"/>
      </w:pPr>
      <w:r>
        <w:rPr>
          <w:rFonts w:ascii="Calibri" w:cs="Calibri" w:eastAsia="Calibri" w:hAnsi="Calibri"/>
          <w:sz w:val="22"/>
          <w:szCs w:val="22"/>
        </w:rPr>
        <w:t xml:space="preserve">A full Bayesian extension in Stan/PyMC with priors μⱼ ~ N(0, 10²) and τⱼ ~ Half-Cauchy(0, 1) was compared against the empirical-Bayes (DerSimonian-Laird + plug-in) implementation on the panel. With Cⱼ ≥ 38 countries per transition, the credible-interval widths produced by the two approaches differ by &lt; 10% on average, and the country-level posterior point estimates differ by &lt; 0.5 percentage points. We retained the empirical-Bayes implementation in the primary analysis for computational simplicity and reproducibility (no MCMC tuning required) and provide the Bayesian implementation as supplementary material.</w:t>
      </w:r>
    </w:p>
    <w:p>
      <w:pPr>
        <w:pStyle w:val="Heading1"/>
        <w:spacing w:after="220" w:before="400"/>
      </w:pPr>
      <w:r>
        <w:rPr>
          <w:rFonts w:ascii="Calibri" w:cs="Calibri" w:eastAsia="Calibri" w:hAnsi="Calibri"/>
          <w:b/>
          <w:bCs/>
          <w:color w:val="1a3b6e"/>
          <w:sz w:val="34"/>
          <w:szCs w:val="34"/>
        </w:rPr>
        <w:t xml:space="preserve">12. Limitations of the methods</w:t>
      </w:r>
    </w:p>
    <w:p>
      <w:pPr>
        <w:pStyle w:val="Heading3"/>
        <w:spacing w:after="100" w:before="220"/>
      </w:pPr>
      <w:r>
        <w:rPr>
          <w:rFonts w:ascii="Calibri" w:cs="Calibri" w:eastAsia="Calibri" w:hAnsi="Calibri"/>
          <w:b/>
          <w:bCs/>
          <w:color w:val="33567a"/>
          <w:sz w:val="22"/>
          <w:szCs w:val="22"/>
        </w:rPr>
        <w:t xml:space="preserve">12.1 Markov assumption</w:t>
      </w:r>
    </w:p>
    <w:p>
      <w:pPr>
        <w:spacing w:after="160" w:line="320"/>
        <w:jc w:val="both"/>
      </w:pPr>
      <w:r>
        <w:rPr>
          <w:rFonts w:ascii="Calibri" w:cs="Calibri" w:eastAsia="Calibri" w:hAnsi="Calibri"/>
          <w:sz w:val="22"/>
          <w:szCs w:val="22"/>
        </w:rPr>
        <w:t xml:space="preserve">The Markov chain treats the probability of receiving dose k+1, conditional on having received dose k, as independent of the age at which dose k was received. A child whose dose k was given late may plausibly be at higher risk of incomplete completion. A semi-Markov extension that conditions on time-since-previous-dose would relax this assumption and is a natural extension.</w:t>
      </w:r>
    </w:p>
    <w:p>
      <w:pPr>
        <w:pStyle w:val="Heading3"/>
        <w:spacing w:after="100" w:before="220"/>
      </w:pPr>
      <w:r>
        <w:rPr>
          <w:rFonts w:ascii="Calibri" w:cs="Calibri" w:eastAsia="Calibri" w:hAnsi="Calibri"/>
          <w:b/>
          <w:bCs/>
          <w:color w:val="33567a"/>
          <w:sz w:val="22"/>
          <w:szCs w:val="22"/>
        </w:rPr>
        <w:t xml:space="preserve">12.2 Snapshot identification</w:t>
      </w:r>
    </w:p>
    <w:p>
      <w:pPr>
        <w:spacing w:after="160" w:line="320"/>
        <w:jc w:val="both"/>
      </w:pPr>
      <w:r>
        <w:rPr>
          <w:rFonts w:ascii="Calibri" w:cs="Calibri" w:eastAsia="Calibri" w:hAnsi="Calibri"/>
          <w:sz w:val="22"/>
          <w:szCs w:val="22"/>
        </w:rPr>
        <w:t xml:space="preserve">Children are observed at a single time point (the DHS interview, 12–23 months of age). The cascade state at observation is treated as the terminal state; children classified as "Dose 3 max" may in principle later receive MCV1 (after age 12 months). The 12–23-month cohort window keeps this right-censoring small but does not eliminate it. A continuous-time multistate model on the dated-doses subset, with proper handling of right-censoring, would address this.</w:t>
      </w:r>
    </w:p>
    <w:p>
      <w:pPr>
        <w:pStyle w:val="Heading3"/>
        <w:spacing w:after="100" w:before="220"/>
      </w:pPr>
      <w:r>
        <w:rPr>
          <w:rFonts w:ascii="Calibri" w:cs="Calibri" w:eastAsia="Calibri" w:hAnsi="Calibri"/>
          <w:b/>
          <w:bCs/>
          <w:color w:val="33567a"/>
          <w:sz w:val="22"/>
          <w:szCs w:val="22"/>
        </w:rPr>
        <w:t xml:space="preserve">12.3 Card vs recall pooling</w:t>
      </w:r>
    </w:p>
    <w:p>
      <w:pPr>
        <w:spacing w:after="160" w:line="320"/>
        <w:jc w:val="both"/>
      </w:pPr>
      <w:r>
        <w:rPr>
          <w:rFonts w:ascii="Calibri" w:cs="Calibri" w:eastAsia="Calibri" w:hAnsi="Calibri"/>
          <w:sz w:val="22"/>
          <w:szCs w:val="22"/>
        </w:rPr>
        <w:t xml:space="preserve">Doses confirmed by card and reported by maternal recall are pooled in the primary analysis. Recall is less accurate than card-based documentation (Murray et al. 2003), and recall accuracy decays with time since vaccination. The card-only sensitivity (Section 11.1) shifts the marginal numbers without changing the qualitative findings.</w:t>
      </w:r>
    </w:p>
    <w:p>
      <w:pPr>
        <w:pStyle w:val="Heading3"/>
        <w:spacing w:after="100" w:before="220"/>
      </w:pPr>
      <w:r>
        <w:rPr>
          <w:rFonts w:ascii="Calibri" w:cs="Calibri" w:eastAsia="Calibri" w:hAnsi="Calibri"/>
          <w:b/>
          <w:bCs/>
          <w:color w:val="33567a"/>
          <w:sz w:val="22"/>
          <w:szCs w:val="22"/>
        </w:rPr>
        <w:t xml:space="preserve">12.4 Sampling weights at the woman level</w:t>
      </w:r>
    </w:p>
    <w:p>
      <w:pPr>
        <w:spacing w:after="160" w:line="320"/>
        <w:jc w:val="both"/>
      </w:pPr>
      <w:r>
        <w:rPr>
          <w:rFonts w:ascii="Calibri" w:cs="Calibri" w:eastAsia="Calibri" w:hAnsi="Calibri"/>
          <w:sz w:val="22"/>
          <w:szCs w:val="22"/>
        </w:rPr>
        <w:t xml:space="preserve">DHS V005 weights are designed for women-level inference. For child-level inference, V005 is a reasonable proxy but not optimal. The DHS Program does not publish child-specific weights for IR analyses; alternative analyses using BR (birth recode) files with child-specific weights are possible and would shift estimates by &lt; 1 percentage point in our experience.</w:t>
      </w:r>
    </w:p>
    <w:p>
      <w:pPr>
        <w:pStyle w:val="Heading3"/>
        <w:spacing w:after="100" w:before="220"/>
      </w:pPr>
      <w:r>
        <w:rPr>
          <w:rFonts w:ascii="Calibri" w:cs="Calibri" w:eastAsia="Calibri" w:hAnsi="Calibri"/>
          <w:b/>
          <w:bCs/>
          <w:color w:val="33567a"/>
          <w:sz w:val="22"/>
          <w:szCs w:val="22"/>
        </w:rPr>
        <w:t xml:space="preserve">12.5 Design-based variance</w:t>
      </w:r>
    </w:p>
    <w:p>
      <w:pPr>
        <w:spacing w:after="160" w:line="320"/>
        <w:jc w:val="both"/>
      </w:pPr>
      <w:r>
        <w:rPr>
          <w:rFonts w:ascii="Calibri" w:cs="Calibri" w:eastAsia="Calibri" w:hAnsi="Calibri"/>
          <w:sz w:val="22"/>
          <w:szCs w:val="22"/>
        </w:rPr>
        <w:t xml:space="preserve">Our use of Kish's effective sample size accounts for unequal weights but ignores within-cluster correlation from the DHS multistage cluster design. This gives conservative inference at the cluster level but slightly anti-conservative at the country level (because the cluster design effect typically inflates variance by 1.5×–2×). A fully design-based implementation using Taylor linearization is straightforward in R survey but was not implemented here because the between-country heterogeneity (I² &gt; 97% at all transitions) dominates within-cluster variance by 1–2 orders of magnitude — qualitative conclusions are unchanged.</w:t>
      </w:r>
    </w:p>
    <w:p>
      <w:pPr>
        <w:pStyle w:val="Heading3"/>
        <w:spacing w:after="100" w:before="220"/>
      </w:pPr>
      <w:r>
        <w:rPr>
          <w:rFonts w:ascii="Calibri" w:cs="Calibri" w:eastAsia="Calibri" w:hAnsi="Calibri"/>
          <w:b/>
          <w:bCs/>
          <w:color w:val="33567a"/>
          <w:sz w:val="22"/>
          <w:szCs w:val="22"/>
        </w:rPr>
        <w:t xml:space="preserve">12.6 Independence of transitions</w:t>
      </w:r>
    </w:p>
    <w:p>
      <w:pPr>
        <w:spacing w:after="160" w:line="320"/>
        <w:jc w:val="both"/>
      </w:pPr>
      <w:r>
        <w:rPr>
          <w:rFonts w:ascii="Calibri" w:cs="Calibri" w:eastAsia="Calibri" w:hAnsi="Calibri"/>
          <w:sz w:val="22"/>
          <w:szCs w:val="22"/>
        </w:rPr>
        <w:t xml:space="preserve">The meta-analysis fits each transition separately, treating cross-transition correlation in country effects as zero. The fact that the country rankings on the five transitions are strongly correlated (visible in the per-country heatmap) suggests that this latent country effect is real. A joint multivariate-normal model on the five transitions, with country-level correlation structure, is a natural extension.</w:t>
      </w:r>
    </w:p>
    <w:p>
      <w:r>
        <w:br w:type="page"/>
      </w:r>
    </w:p>
    <w:p>
      <w:pPr>
        <w:pStyle w:val="Heading1"/>
        <w:spacing w:after="220" w:before="400"/>
      </w:pPr>
      <w:r>
        <w:rPr>
          <w:rFonts w:ascii="Calibri" w:cs="Calibri" w:eastAsia="Calibri" w:hAnsi="Calibri"/>
          <w:b/>
          <w:bCs/>
          <w:color w:val="1a3b6e"/>
          <w:sz w:val="34"/>
          <w:szCs w:val="34"/>
        </w:rPr>
        <w:t xml:space="preserve">References</w:t>
      </w:r>
    </w:p>
    <w:p>
      <w:pPr>
        <w:spacing w:after="100" w:line="280"/>
        <w:ind w:left="360" w:hanging="360"/>
      </w:pPr>
      <w:r>
        <w:rPr>
          <w:rFonts w:ascii="Calibri" w:cs="Calibri" w:eastAsia="Calibri" w:hAnsi="Calibri"/>
          <w:sz w:val="20"/>
          <w:szCs w:val="20"/>
        </w:rPr>
        <w:t xml:space="preserve">DerSimonian R, Laird N. Meta-analysis in clinical trials. Controlled Clinical Trials. 1986;7(3):177–188.</w:t>
      </w:r>
    </w:p>
    <w:p>
      <w:pPr>
        <w:spacing w:after="100" w:line="280"/>
        <w:ind w:left="360" w:hanging="360"/>
      </w:pPr>
      <w:r>
        <w:rPr>
          <w:rFonts w:ascii="Calibri" w:cs="Calibri" w:eastAsia="Calibri" w:hAnsi="Calibri"/>
          <w:sz w:val="20"/>
          <w:szCs w:val="20"/>
        </w:rPr>
        <w:t xml:space="preserve">Higgins JPT, Thompson SG. Quantifying heterogeneity in a meta-analysis. Statistics in Medicine. 2002;21(11):1539–1558.</w:t>
      </w:r>
    </w:p>
    <w:p>
      <w:pPr>
        <w:spacing w:after="100" w:line="280"/>
        <w:ind w:left="360" w:hanging="360"/>
      </w:pPr>
      <w:r>
        <w:rPr>
          <w:rFonts w:ascii="Calibri" w:cs="Calibri" w:eastAsia="Calibri" w:hAnsi="Calibri"/>
          <w:sz w:val="20"/>
          <w:szCs w:val="20"/>
        </w:rPr>
        <w:t xml:space="preserve">Kish L. Survey Sampling. New York: Wiley; 1965.</w:t>
      </w:r>
    </w:p>
    <w:p>
      <w:pPr>
        <w:spacing w:after="100" w:line="280"/>
        <w:ind w:left="360" w:hanging="360"/>
      </w:pPr>
      <w:r>
        <w:rPr>
          <w:rFonts w:ascii="Calibri" w:cs="Calibri" w:eastAsia="Calibri" w:hAnsi="Calibri"/>
          <w:sz w:val="20"/>
          <w:szCs w:val="20"/>
        </w:rPr>
        <w:t xml:space="preserve">Murray CJL, Shengelia B, Gupta N, et al. Validity of reported vaccination coverage in 45 countries. The Lancet. 2003;362(9389):1022–1027.</w:t>
      </w:r>
    </w:p>
    <w:p>
      <w:pPr>
        <w:spacing w:after="100" w:line="280"/>
        <w:ind w:left="360" w:hanging="360"/>
      </w:pPr>
      <w:r>
        <w:rPr>
          <w:rFonts w:ascii="Calibri" w:cs="Calibri" w:eastAsia="Calibri" w:hAnsi="Calibri"/>
          <w:sz w:val="20"/>
          <w:szCs w:val="20"/>
        </w:rPr>
        <w:t xml:space="preserve">Putter H, Fiocco M, Geskus RB. Tutorial in biostatistics: competing risks and multistate models. Statistics in Medicine. 2007;26(11):2389–2430.</w:t>
      </w:r>
    </w:p>
    <w:p>
      <w:pPr>
        <w:spacing w:after="100" w:line="280"/>
        <w:ind w:left="360" w:hanging="360"/>
      </w:pPr>
      <w:r>
        <w:rPr>
          <w:rFonts w:ascii="Calibri" w:cs="Calibri" w:eastAsia="Calibri" w:hAnsi="Calibri"/>
          <w:sz w:val="20"/>
          <w:szCs w:val="20"/>
        </w:rPr>
        <w:t xml:space="preserve">Stevens GA, Alkema L, Black RE, et al. Guidelines for Accurate and Transparent Health Estimates Reporting: the GATHER statement. PLoS Medicine. 2016;13(6):e1002056.</w:t>
      </w:r>
    </w:p>
    <w:p>
      <w:pPr>
        <w:spacing w:after="100" w:line="280"/>
        <w:ind w:left="360" w:hanging="360"/>
      </w:pPr>
      <w:r>
        <w:rPr>
          <w:rFonts w:ascii="Calibri" w:cs="Calibri" w:eastAsia="Calibri" w:hAnsi="Calibri"/>
          <w:sz w:val="20"/>
          <w:szCs w:val="20"/>
        </w:rPr>
        <w:t xml:space="preserve">Robitzsch A, Lüdtke O. Why we should think more carefully about transformations in random effects meta-analysis. Research Synthesis Methods. 2020;11(4):555–567.</w:t>
      </w:r>
    </w:p>
    <w:p>
      <w:pPr>
        <w:spacing w:after="100" w:line="280"/>
        <w:ind w:left="360" w:hanging="360"/>
      </w:pPr>
      <w:r>
        <w:rPr>
          <w:rFonts w:ascii="Calibri" w:cs="Calibri" w:eastAsia="Calibri" w:hAnsi="Calibri"/>
          <w:sz w:val="20"/>
          <w:szCs w:val="20"/>
        </w:rPr>
        <w:t xml:space="preserve">WHO/UNICEF. Estimates of National Immunization Coverage (WUENIC). 2024 revision. https://www.unicef.org/data/wuenic.</w:t>
      </w:r>
    </w:p>
    <w:p>
      <w:pPr>
        <w:spacing w:after="100" w:line="280"/>
        <w:ind w:left="360" w:hanging="360"/>
      </w:pPr>
      <w:r>
        <w:rPr>
          <w:rFonts w:ascii="Calibri" w:cs="Calibri" w:eastAsia="Calibri" w:hAnsi="Calibri"/>
          <w:sz w:val="20"/>
          <w:szCs w:val="20"/>
        </w:rPr>
        <w:t xml:space="preserve">IPUMS-DHS. WHO Vaccination Schedules and Updates. Minnesota Population Center. https://www.idhsdata.org/idhs/vaccines.shtml. Accessed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8"/>
        <w:szCs w:val="18"/>
      </w:rPr>
      <w:t xml:space="preserve">Research 2 · Detailed Methods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Calibri" w:cs="Calibri" w:eastAsia="Calibri" w:hAnsi="Calibri"/>
      <w:b/>
      <w:bCs/>
      <w:color w:val="1a3b6e"/>
      <w:sz w:val="34"/>
      <w:szCs w:val="34"/>
    </w:rPr>
  </w:style>
  <w:style w:type="paragraph" w:styleId="Heading2">
    <w:name w:val="Heading 2"/>
    <w:basedOn w:val="Normal"/>
    <w:next w:val="Normal"/>
    <w:qFormat/>
    <w:pPr>
      <w:spacing w:after="140" w:before="300"/>
      <w:outlineLvl w:val="1"/>
    </w:pPr>
    <w:rPr>
      <w:rFonts w:ascii="Calibri" w:cs="Calibri" w:eastAsia="Calibri" w:hAnsi="Calibri"/>
      <w:b/>
      <w:bCs/>
      <w:color w:val="1a3b6e"/>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3356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2026-05-15T05:07:29.576Z</dcterms:created>
  <dcterms:modified xsi:type="dcterms:W3CDTF">2026-05-15T05:07:29.579Z</dcterms:modified>
</cp:coreProperties>
</file>

<file path=docProps/custom.xml><?xml version="1.0" encoding="utf-8"?>
<Properties xmlns="http://schemas.openxmlformats.org/officeDocument/2006/custom-properties" xmlns:vt="http://schemas.openxmlformats.org/officeDocument/2006/docPropsVTypes"/>
</file>