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Supplementary Methods S1</w:t>
      </w:r>
    </w:p>
    <w:p>
      <w:pPr>
        <w:spacing w:after="240"/>
      </w:pPr>
      <w:r>
        <w:rPr>
          <w:rFonts w:ascii="Arial" w:cs="Arial" w:eastAsia="Arial" w:hAnsi="Arial"/>
          <w:i/>
          <w:iCs/>
          <w:color w:val="595959"/>
          <w:sz w:val="24"/>
          <w:szCs w:val="24"/>
        </w:rPr>
        <w:t xml:space="preserve">Full technical specification of the multistate Markov model of the childhood immunisation cascade</w:t>
      </w:r>
    </w:p>
    <w:p>
      <w:pPr>
        <w:spacing w:after="120" w:before="60" w:line="320"/>
        <w:jc w:val="both"/>
      </w:pPr>
      <w:r>
        <w:rPr>
          <w:rFonts w:ascii="Arial" w:cs="Arial" w:eastAsia="Arial" w:hAnsi="Arial"/>
        </w:rPr>
        <w:t xml:space="preserve">This supplement provides the complete technical specification of the multistate Markov model summarised in Section 8 of the main Methods. It is intended for methodologically oriented readers and for direct replication. Section numbers (S1.1 through S1.7) correspond to the analytic stages of the fitted model. Notation follows the main text. All estimators are deterministic and require no random seeds.</w:t>
      </w:r>
    </w:p>
    <w:p>
      <w:pPr>
        <w:pStyle w:val="Heading1"/>
        <w:spacing w:after="180" w:before="360"/>
      </w:pPr>
      <w:r>
        <w:rPr>
          <w:rFonts w:ascii="Arial" w:cs="Arial" w:eastAsia="Arial" w:hAnsi="Arial"/>
          <w:b/>
          <w:bCs/>
          <w:sz w:val="28"/>
          <w:szCs w:val="28"/>
        </w:rPr>
        <w:t xml:space="preserve">S1.1 State space and transition graph</w:t>
      </w:r>
    </w:p>
    <w:p>
      <w:pPr>
        <w:spacing w:after="120" w:before="60" w:line="320"/>
        <w:jc w:val="both"/>
      </w:pPr>
      <w:r>
        <w:rPr>
          <w:rFonts w:ascii="Arial" w:cs="Arial" w:eastAsia="Arial" w:hAnsi="Arial"/>
        </w:rPr>
        <w:t xml:space="preserve">The cascade is formalised as a discrete-state Markov chain in observed (snapshot) time. The state space is:</w:t>
      </w:r>
    </w:p>
    <w:p>
      <w:pPr>
        <w:spacing w:after="120" w:before="120" w:line="300"/>
        <w:jc w:val="center"/>
      </w:pPr>
      <w:r>
        <w:rPr>
          <w:rFonts w:ascii="Arial" w:cs="Arial" w:eastAsia="Arial" w:hAnsi="Arial"/>
          <w:i/>
          <w:iCs/>
        </w:rPr>
        <w:t xml:space="preserve">S = { s₀ zero-dose ;  s₁ BCG ;  s₂ +Dose 1 ;  s₃ +Dose 2 ;  s₄ +Dose 3 ;  s₅ +MCV1 (complete) }</w:t>
      </w:r>
    </w:p>
    <w:p>
      <w:pPr>
        <w:spacing w:after="120" w:before="60" w:line="320"/>
        <w:jc w:val="both"/>
      </w:pPr>
      <w:r>
        <w:rPr>
          <w:rFonts w:ascii="Arial" w:cs="Arial" w:eastAsia="Arial" w:hAnsi="Arial"/>
        </w:rPr>
        <w:t xml:space="preserve">Each child is assigned to the most advanced state for which there is evidence of receipt. States are treated as nested: receipt of dose </w:t>
      </w:r>
      <w:r>
        <w:rPr>
          <w:rFonts w:ascii="Arial" w:cs="Arial" w:eastAsia="Arial" w:hAnsi="Arial"/>
          <w:i/>
          <w:iCs/>
        </w:rPr>
        <w:t xml:space="preserve">k</w:t>
      </w:r>
      <w:r>
        <w:rPr>
          <w:rFonts w:ascii="Arial" w:cs="Arial" w:eastAsia="Arial" w:hAnsi="Arial"/>
        </w:rPr>
        <w:t xml:space="preserve"> implies receipt of all prior doses for cascade-classification purposes, following standard practice in cascade analysis (Putter et al., 2007). Out-of-order receipt is rare in DHS data and does not affect the qualitative findings. The transition graph is the directed path s₀ → s₁ → s₂ → s₃ → s₄ → s₅. For each transition </w:t>
      </w:r>
      <w:r>
        <w:rPr>
          <w:rFonts w:ascii="Arial" w:cs="Arial" w:eastAsia="Arial" w:hAnsi="Arial"/>
          <w:i/>
          <w:iCs/>
        </w:rPr>
        <w:t xml:space="preserve">j</w:t>
      </w:r>
      <w:r>
        <w:rPr>
          <w:rFonts w:ascii="Arial" w:cs="Arial" w:eastAsia="Arial" w:hAnsi="Arial"/>
        </w:rPr>
        <w:t xml:space="preserve"> ∈ {0, 1, 2, 3, 4} we estimate the conditional transition probability:</w:t>
      </w:r>
    </w:p>
    <w:p>
      <w:pPr>
        <w:spacing w:after="120" w:before="120" w:line="300"/>
        <w:jc w:val="center"/>
      </w:pPr>
      <w:r>
        <w:rPr>
          <w:rFonts w:ascii="Arial" w:cs="Arial" w:eastAsia="Arial" w:hAnsi="Arial"/>
          <w:i/>
          <w:iCs/>
        </w:rPr>
        <w:t xml:space="preserve">q_j = P[ S_{i,t+1} = s_{j+1} | S_{i,t} = s_j ]</w:t>
      </w:r>
    </w:p>
    <w:p>
      <w:pPr>
        <w:spacing w:after="120" w:before="60" w:line="320"/>
        <w:jc w:val="both"/>
      </w:pPr>
      <w:r>
        <w:rPr>
          <w:rFonts w:ascii="Arial" w:cs="Arial" w:eastAsia="Arial" w:hAnsi="Arial"/>
        </w:rPr>
        <w:t xml:space="preserve">These five probabilities, together with an exogenous starting cohort at s₀, fully parameterise the chain.</w:t>
      </w:r>
    </w:p>
    <w:p>
      <w:pPr>
        <w:pStyle w:val="Heading1"/>
        <w:spacing w:after="180" w:before="360"/>
      </w:pPr>
      <w:r>
        <w:rPr>
          <w:rFonts w:ascii="Arial" w:cs="Arial" w:eastAsia="Arial" w:hAnsi="Arial"/>
          <w:b/>
          <w:bCs/>
          <w:sz w:val="28"/>
          <w:szCs w:val="28"/>
        </w:rPr>
        <w:t xml:space="preserve">S1.2 Long-format reshape</w:t>
      </w:r>
    </w:p>
    <w:p>
      <w:pPr>
        <w:spacing w:after="120" w:before="60" w:line="320"/>
        <w:jc w:val="both"/>
      </w:pPr>
      <w:r>
        <w:rPr>
          <w:rFonts w:ascii="Arial" w:cs="Arial" w:eastAsia="Arial" w:hAnsi="Arial"/>
        </w:rPr>
        <w:t xml:space="preserve">The wide child-level dataset (one row per child) is reshaped to a long-format table with one row per child × transition (up to five rows per child). For each child </w:t>
      </w:r>
      <w:r>
        <w:rPr>
          <w:rFonts w:ascii="Arial" w:cs="Arial" w:eastAsia="Arial" w:hAnsi="Arial"/>
          <w:i/>
          <w:iCs/>
        </w:rPr>
        <w:t xml:space="preserve">i</w:t>
      </w:r>
      <w:r>
        <w:rPr>
          <w:rFonts w:ascii="Arial" w:cs="Arial" w:eastAsia="Arial" w:hAnsi="Arial"/>
        </w:rPr>
        <w:t xml:space="preserve"> and each transition </w:t>
      </w:r>
      <w:r>
        <w:rPr>
          <w:rFonts w:ascii="Arial" w:cs="Arial" w:eastAsia="Arial" w:hAnsi="Arial"/>
          <w:i/>
          <w:iCs/>
        </w:rPr>
        <w:t xml:space="preserve">t_j</w:t>
      </w:r>
      <w:r>
        <w:rPr>
          <w:rFonts w:ascii="Arial" w:cs="Arial" w:eastAsia="Arial" w:hAnsi="Arial"/>
        </w:rPr>
        <w:t xml:space="preserve">, the row records </w:t>
      </w:r>
      <w:r>
        <w:rPr>
          <w:rFonts w:ascii="Arial" w:cs="Arial" w:eastAsia="Arial" w:hAnsi="Arial"/>
          <w:i/>
          <w:iCs/>
        </w:rPr>
        <w:t xml:space="preserve">yᵢ</w:t>
      </w:r>
      <w:r>
        <w:rPr>
          <w:rFonts w:ascii="Arial" w:cs="Arial" w:eastAsia="Arial" w:hAnsi="Arial"/>
        </w:rPr>
        <w:t xml:space="preserve"> = 1 if the child reached the next state, conditional on having reached the prior state. Children who had not reached the prior state are excluded from that transition's observations but remain in the analysis for earlier transitions. The reshape yields 987,045 child-transition observations across 163 surveys, 38 countries and 5 transitions.</w:t>
      </w:r>
    </w:p>
    <w:p>
      <w:pPr>
        <w:pStyle w:val="Heading1"/>
        <w:spacing w:after="180" w:before="360"/>
      </w:pPr>
      <w:r>
        <w:rPr>
          <w:rFonts w:ascii="Arial" w:cs="Arial" w:eastAsia="Arial" w:hAnsi="Arial"/>
          <w:b/>
          <w:bCs/>
          <w:sz w:val="28"/>
          <w:szCs w:val="28"/>
        </w:rPr>
        <w:t xml:space="preserve">S1.3 Country-level weighted Bernoulli summaries</w:t>
      </w:r>
    </w:p>
    <w:p>
      <w:pPr>
        <w:spacing w:after="120" w:before="60" w:line="320"/>
        <w:jc w:val="both"/>
      </w:pPr>
      <w:r>
        <w:rPr>
          <w:rFonts w:ascii="Arial" w:cs="Arial" w:eastAsia="Arial" w:hAnsi="Arial"/>
        </w:rPr>
        <w:t xml:space="preserve">For each country </w:t>
      </w:r>
      <w:r>
        <w:rPr>
          <w:rFonts w:ascii="Arial" w:cs="Arial" w:eastAsia="Arial" w:hAnsi="Arial"/>
          <w:i/>
          <w:iCs/>
        </w:rPr>
        <w:t xml:space="preserve">c</w:t>
      </w:r>
      <w:r>
        <w:rPr>
          <w:rFonts w:ascii="Arial" w:cs="Arial" w:eastAsia="Arial" w:hAnsi="Arial"/>
        </w:rPr>
        <w:t xml:space="preserve"> and transition </w:t>
      </w:r>
      <w:r>
        <w:rPr>
          <w:rFonts w:ascii="Arial" w:cs="Arial" w:eastAsia="Arial" w:hAnsi="Arial"/>
          <w:i/>
          <w:iCs/>
        </w:rPr>
        <w:t xml:space="preserve">t_j</w:t>
      </w:r>
      <w:r>
        <w:rPr>
          <w:rFonts w:ascii="Arial" w:cs="Arial" w:eastAsia="Arial" w:hAnsi="Arial"/>
        </w:rPr>
        <w:t xml:space="preserve">, the V005-weighted Bernoulli proportion of successful transitions is:</w:t>
      </w:r>
    </w:p>
    <w:p>
      <w:pPr>
        <w:spacing w:after="120" w:before="120" w:line="300"/>
        <w:jc w:val="center"/>
      </w:pPr>
      <w:r>
        <w:rPr>
          <w:rFonts w:ascii="Arial" w:cs="Arial" w:eastAsia="Arial" w:hAnsi="Arial"/>
          <w:i/>
          <w:iCs/>
        </w:rPr>
        <w:t xml:space="preserve">p̂_{c,j} = Σᵢ wᵢ · yᵢ / Σᵢ wᵢ</w:t>
      </w:r>
    </w:p>
    <w:p>
      <w:pPr>
        <w:spacing w:after="120" w:before="60" w:line="320"/>
        <w:jc w:val="both"/>
      </w:pPr>
      <w:r>
        <w:rPr>
          <w:rFonts w:ascii="Arial" w:cs="Arial" w:eastAsia="Arial" w:hAnsi="Arial"/>
        </w:rPr>
        <w:t xml:space="preserve">with effective sample size n_eff = (Σᵢ wᵢ)² / Σᵢ wᵢ². The standard error of p̂_{c,j} is the conventional binomial standard error evaluated at n_eff:</w:t>
      </w:r>
    </w:p>
    <w:p>
      <w:pPr>
        <w:spacing w:after="120" w:before="120" w:line="300"/>
        <w:jc w:val="center"/>
      </w:pPr>
      <w:r>
        <w:rPr>
          <w:rFonts w:ascii="Arial" w:cs="Arial" w:eastAsia="Arial" w:hAnsi="Arial"/>
          <w:i/>
          <w:iCs/>
        </w:rPr>
        <w:t xml:space="preserve">SE(p̂_{c,j}) = √[ p̂_{c,j} (1 − p̂_{c,j}) / n_eff ]</w:t>
      </w:r>
    </w:p>
    <w:p>
      <w:pPr>
        <w:spacing w:after="120" w:before="60" w:line="320"/>
        <w:jc w:val="both"/>
      </w:pPr>
      <w:r>
        <w:rPr>
          <w:rFonts w:ascii="Arial" w:cs="Arial" w:eastAsia="Arial" w:hAnsi="Arial"/>
        </w:rPr>
        <w:t xml:space="preserve">Country × transition cells with n_eff &lt; 5, or with p̂ exactly equal to 0 or 1, were excluded from the meta-analysis. The exclusion of degenerate proportions avoids undefined logit transforms; the n_eff floor protects the asymptotic normal approximation used in Section S1.4.</w:t>
      </w:r>
    </w:p>
    <w:p>
      <w:pPr>
        <w:pStyle w:val="Heading1"/>
        <w:spacing w:after="180" w:before="360"/>
      </w:pPr>
      <w:r>
        <w:rPr>
          <w:rFonts w:ascii="Arial" w:cs="Arial" w:eastAsia="Arial" w:hAnsi="Arial"/>
          <w:b/>
          <w:bCs/>
          <w:sz w:val="28"/>
          <w:szCs w:val="28"/>
        </w:rPr>
        <w:t xml:space="preserve">S1.4 Random-effects meta-analysis (DerSimonian–Laird)</w:t>
      </w:r>
    </w:p>
    <w:p>
      <w:pPr>
        <w:spacing w:after="120" w:before="60" w:line="320"/>
        <w:jc w:val="both"/>
      </w:pPr>
      <w:r>
        <w:rPr>
          <w:rFonts w:ascii="Arial" w:cs="Arial" w:eastAsia="Arial" w:hAnsi="Arial"/>
        </w:rPr>
        <w:t xml:space="preserve">For each transition </w:t>
      </w:r>
      <w:r>
        <w:rPr>
          <w:rFonts w:ascii="Arial" w:cs="Arial" w:eastAsia="Arial" w:hAnsi="Arial"/>
          <w:i/>
          <w:iCs/>
        </w:rPr>
        <w:t xml:space="preserve">j</w:t>
      </w:r>
      <w:r>
        <w:rPr>
          <w:rFonts w:ascii="Arial" w:cs="Arial" w:eastAsia="Arial" w:hAnsi="Arial"/>
        </w:rPr>
        <w:t xml:space="preserve"> separately, the country-level estimates are modelled as draws from a normal–normal hierarchical model on the logit scale:</w:t>
      </w:r>
    </w:p>
    <w:p>
      <w:pPr>
        <w:spacing w:after="120" w:before="120" w:line="300"/>
        <w:jc w:val="center"/>
      </w:pPr>
      <w:r>
        <w:rPr>
          <w:rFonts w:ascii="Arial" w:cs="Arial" w:eastAsia="Arial" w:hAnsi="Arial"/>
          <w:i/>
          <w:iCs/>
        </w:rPr>
        <w:t xml:space="preserve">θ̂_{c,j} = θ_{c,j} + η_{c,j},     η_{c,j} ~ N(0, s²_{c,j})        (within-country sampling error)</w:t>
      </w:r>
    </w:p>
    <w:p>
      <w:pPr>
        <w:spacing w:after="120" w:before="120" w:line="300"/>
        <w:jc w:val="center"/>
      </w:pPr>
      <w:r>
        <w:rPr>
          <w:rFonts w:ascii="Arial" w:cs="Arial" w:eastAsia="Arial" w:hAnsi="Arial"/>
          <w:i/>
          <w:iCs/>
        </w:rPr>
        <w:t xml:space="preserve">θ_{c,j} = μ_j + u_{c,j},     u_{c,j} ~ N(0, τ²_j)        (between-country variation)</w:t>
      </w:r>
    </w:p>
    <w:p>
      <w:pPr>
        <w:spacing w:after="120" w:before="60" w:line="320"/>
        <w:jc w:val="both"/>
      </w:pPr>
      <w:r>
        <w:rPr>
          <w:rFonts w:ascii="Arial" w:cs="Arial" w:eastAsia="Arial" w:hAnsi="Arial"/>
        </w:rPr>
        <w:t xml:space="preserve">where θ̂_{c,j} = logit(p̂_{c,j}) is the observed transformed estimate; s²_{c,j} = SE(p̂_{c,j})² / [p̂_{c,j}(1 − p̂_{c,j})]² is the variance on the logit scale (delta method); μ_j is the continent-level (population-average) transition log-odds; and τ²_j is the between-country variance on the logit scale — the parameter of policy interest, since it quantifies cross-country heterogeneity at each step of the cascade.</w:t>
      </w:r>
    </w:p>
    <w:p>
      <w:pPr>
        <w:spacing w:after="120" w:before="60" w:line="320"/>
        <w:jc w:val="both"/>
      </w:pPr>
      <w:r>
        <w:rPr>
          <w:rFonts w:ascii="Arial" w:cs="Arial" w:eastAsia="Arial" w:hAnsi="Arial"/>
        </w:rPr>
        <w:t xml:space="preserve">τ²_j is estimated using the DerSimonian–Laird (1986) method-of-moments estimator:</w:t>
      </w:r>
    </w:p>
    <w:p>
      <w:pPr>
        <w:spacing w:after="120" w:before="120" w:line="300"/>
        <w:jc w:val="center"/>
      </w:pPr>
      <w:r>
        <w:rPr>
          <w:rFonts w:ascii="Arial" w:cs="Arial" w:eastAsia="Arial" w:hAnsi="Arial"/>
          <w:i/>
          <w:iCs/>
        </w:rPr>
        <w:t xml:space="preserve">τ̂²_j = max{ 0, [ Q_j − (C_j − 1) ] / [ Σ_c 1/s²_{c,j} − Σ_c 1/s⁴_{c,j} / Σ_c 1/s²_{c,j} ] }</w:t>
      </w:r>
    </w:p>
    <w:p>
      <w:pPr>
        <w:spacing w:after="120" w:before="60" w:line="320"/>
        <w:jc w:val="both"/>
      </w:pPr>
      <w:r>
        <w:rPr>
          <w:rFonts w:ascii="Arial" w:cs="Arial" w:eastAsia="Arial" w:hAnsi="Arial"/>
        </w:rPr>
        <w:t xml:space="preserve">where C_j is the number of countries with valid estimates for transition </w:t>
      </w:r>
      <w:r>
        <w:rPr>
          <w:rFonts w:ascii="Arial" w:cs="Arial" w:eastAsia="Arial" w:hAnsi="Arial"/>
          <w:i/>
          <w:iCs/>
        </w:rPr>
        <w:t xml:space="preserve">j</w:t>
      </w:r>
      <w:r>
        <w:rPr>
          <w:rFonts w:ascii="Arial" w:cs="Arial" w:eastAsia="Arial" w:hAnsi="Arial"/>
        </w:rPr>
        <w:t xml:space="preserve">, and Q_j is Cochran's heterogeneity statistic:</w:t>
      </w:r>
    </w:p>
    <w:p>
      <w:pPr>
        <w:spacing w:after="120" w:before="120" w:line="300"/>
        <w:jc w:val="center"/>
      </w:pPr>
      <w:r>
        <w:rPr>
          <w:rFonts w:ascii="Arial" w:cs="Arial" w:eastAsia="Arial" w:hAnsi="Arial"/>
          <w:i/>
          <w:iCs/>
        </w:rPr>
        <w:t xml:space="preserve">Q_j = Σ_c (1/s²_{c,j}) · (θ̂_{c,j} − μ̃_j^FE)²</w:t>
      </w:r>
    </w:p>
    <w:p>
      <w:pPr>
        <w:spacing w:after="120" w:before="60" w:line="320"/>
        <w:jc w:val="both"/>
      </w:pPr>
      <w:r>
        <w:rPr>
          <w:rFonts w:ascii="Arial" w:cs="Arial" w:eastAsia="Arial" w:hAnsi="Arial"/>
        </w:rPr>
        <w:t xml:space="preserve">with μ̃_j^FE = Σ_c θ̂_{c,j} / s²_{c,j} / Σ_c 1 / s²_{c,j} the fixed-effect (inverse-variance) mean.</w:t>
      </w:r>
    </w:p>
    <w:p>
      <w:pPr>
        <w:spacing w:after="120" w:before="60" w:line="320"/>
        <w:jc w:val="both"/>
      </w:pPr>
      <w:r>
        <w:rPr>
          <w:rFonts w:ascii="Arial" w:cs="Arial" w:eastAsia="Arial" w:hAnsi="Arial"/>
        </w:rPr>
        <w:t xml:space="preserve">The pooled random-effects estimate uses inverse-variance weights that incorporate between-country variance:</w:t>
      </w:r>
    </w:p>
    <w:p>
      <w:pPr>
        <w:spacing w:after="120" w:before="120" w:line="300"/>
        <w:jc w:val="center"/>
      </w:pPr>
      <w:r>
        <w:rPr>
          <w:rFonts w:ascii="Arial" w:cs="Arial" w:eastAsia="Arial" w:hAnsi="Arial"/>
          <w:i/>
          <w:iCs/>
        </w:rPr>
        <w:t xml:space="preserve">μ̂_j = Σ_c θ̂_{c,j} / (s²_{c,j} + τ̂²_j) / Σ_c 1 / (s²_{c,j} + τ̂²_j)</w:t>
      </w:r>
    </w:p>
    <w:p>
      <w:pPr>
        <w:spacing w:after="120" w:before="120" w:line="300"/>
        <w:jc w:val="center"/>
      </w:pPr>
      <w:r>
        <w:rPr>
          <w:rFonts w:ascii="Arial" w:cs="Arial" w:eastAsia="Arial" w:hAnsi="Arial"/>
          <w:i/>
          <w:iCs/>
        </w:rPr>
        <w:t xml:space="preserve">SE(μ̂_j) = 1 / √[ Σ_c 1 / (s²_{c,j} + τ̂²_j) ]</w:t>
      </w:r>
    </w:p>
    <w:p>
      <w:pPr>
        <w:spacing w:after="120" w:before="60" w:line="320"/>
        <w:jc w:val="both"/>
      </w:pPr>
      <w:r>
        <w:rPr>
          <w:rFonts w:ascii="Arial" w:cs="Arial" w:eastAsia="Arial" w:hAnsi="Arial"/>
        </w:rPr>
        <w:t xml:space="preserve">The continental-mean transition probability is recovered by the inverse logit, p̂_j^cont = 1 / (1 + exp(−μ̂_j)). Robitzsch and Lüdtke (2020) discuss the logit transform's properties for proportion meta-analyses near the boundaries; here proportions are far enough from 0 and 1 (after the degenerate-cell exclusion above) that the transformed estimates are well-behaved.</w:t>
      </w:r>
    </w:p>
    <w:p>
      <w:pPr>
        <w:pStyle w:val="Heading1"/>
        <w:spacing w:after="180" w:before="360"/>
      </w:pPr>
      <w:r>
        <w:rPr>
          <w:rFonts w:ascii="Arial" w:cs="Arial" w:eastAsia="Arial" w:hAnsi="Arial"/>
          <w:b/>
          <w:bCs/>
          <w:sz w:val="28"/>
          <w:szCs w:val="28"/>
        </w:rPr>
        <w:t xml:space="preserve">S1.5 Empirical-Bayes shrinkage</w:t>
      </w:r>
    </w:p>
    <w:p>
      <w:pPr>
        <w:spacing w:after="120" w:before="60" w:line="320"/>
        <w:jc w:val="both"/>
      </w:pPr>
      <w:r>
        <w:rPr>
          <w:rFonts w:ascii="Arial" w:cs="Arial" w:eastAsia="Arial" w:hAnsi="Arial"/>
        </w:rPr>
        <w:t xml:space="preserve">The posterior mean of θ_{c,j} given the data and the estimated hyperparameters is the classical normal–normal Stein-type shrinkage estimator:</w:t>
      </w:r>
    </w:p>
    <w:p>
      <w:pPr>
        <w:spacing w:after="120" w:before="120" w:line="300"/>
        <w:jc w:val="center"/>
      </w:pPr>
      <w:r>
        <w:rPr>
          <w:rFonts w:ascii="Arial" w:cs="Arial" w:eastAsia="Arial" w:hAnsi="Arial"/>
          <w:i/>
          <w:iCs/>
        </w:rPr>
        <w:t xml:space="preserve">θ̂_{c,j}^EB = (1 − B_{c,j}) · θ̂_{c,j} + B_{c,j} · μ̂_j</w:t>
      </w:r>
    </w:p>
    <w:p>
      <w:pPr>
        <w:spacing w:after="120" w:before="120" w:line="300"/>
        <w:jc w:val="center"/>
      </w:pPr>
      <w:r>
        <w:rPr>
          <w:rFonts w:ascii="Arial" w:cs="Arial" w:eastAsia="Arial" w:hAnsi="Arial"/>
          <w:i/>
          <w:iCs/>
        </w:rPr>
        <w:t xml:space="preserve">B_{c,j} = s²_{c,j} / (s²_{c,j} + τ̂²_j)</w:t>
      </w:r>
    </w:p>
    <w:p>
      <w:pPr>
        <w:spacing w:after="120" w:before="60" w:line="320"/>
        <w:jc w:val="both"/>
      </w:pPr>
      <w:r>
        <w:rPr>
          <w:rFonts w:ascii="Arial" w:cs="Arial" w:eastAsia="Arial" w:hAnsi="Arial"/>
        </w:rPr>
        <w:t xml:space="preserve">Countries with smaller sampling variance (larger n_eff) receive a smaller shrinkage weight B_{c,j} and their data dominate; countries with larger sampling variance — typically small surveys or near-degenerate proportions — receive a larger B_{c,j} and are pulled toward the continental mean μ̂_j. The posterior variance is:</w:t>
      </w:r>
    </w:p>
    <w:p>
      <w:pPr>
        <w:spacing w:after="120" w:before="120" w:line="300"/>
        <w:jc w:val="center"/>
      </w:pPr>
      <w:r>
        <w:rPr>
          <w:rFonts w:ascii="Arial" w:cs="Arial" w:eastAsia="Arial" w:hAnsi="Arial"/>
          <w:i/>
          <w:iCs/>
        </w:rPr>
        <w:t xml:space="preserve">Var(θ_{c,j} | data) = 1 / ( 1/τ̂²_j + 1/s²_{c,j} )</w:t>
      </w:r>
    </w:p>
    <w:p>
      <w:pPr>
        <w:spacing w:after="120" w:before="60" w:line="320"/>
        <w:jc w:val="both"/>
      </w:pPr>
      <w:r>
        <w:rPr>
          <w:rFonts w:ascii="Arial" w:cs="Arial" w:eastAsia="Arial" w:hAnsi="Arial"/>
        </w:rPr>
        <w:t xml:space="preserve">Ninety-five percent credible intervals are computed on the logit scale as θ̂_{c,j}^EB ± 1.96 · √Var, then back-transformed to the probability scale by the inverse logit. This is empirical Bayes rather than full Bayes: μ̂_j and τ̂²_j are plugged in as point estimates rather than propagated as full posteriors. With C_j ≥ 38 countries per transition in the present panel, the difference between empirical-Bayes and full-Bayes credible-interval widths is below 10 % on average and the country-level posterior point estimates differ by less than 0.5 percentage points (Section S1.7 and main-text Section 10.3).</w:t>
      </w:r>
    </w:p>
    <w:p>
      <w:pPr>
        <w:pStyle w:val="Heading1"/>
        <w:spacing w:after="180" w:before="360"/>
      </w:pPr>
      <w:r>
        <w:rPr>
          <w:rFonts w:ascii="Arial" w:cs="Arial" w:eastAsia="Arial" w:hAnsi="Arial"/>
          <w:b/>
          <w:bCs/>
          <w:sz w:val="28"/>
          <w:szCs w:val="28"/>
        </w:rPr>
        <w:t xml:space="preserve">S1.6 State-occupation probabilities</w:t>
      </w:r>
    </w:p>
    <w:p>
      <w:pPr>
        <w:spacing w:after="120" w:before="60" w:line="320"/>
        <w:jc w:val="both"/>
      </w:pPr>
      <w:r>
        <w:rPr>
          <w:rFonts w:ascii="Arial" w:cs="Arial" w:eastAsia="Arial" w:hAnsi="Arial"/>
        </w:rPr>
        <w:t xml:space="preserve">Given the five empirical-Bayes transition probabilities for country </w:t>
      </w:r>
      <w:r>
        <w:rPr>
          <w:rFonts w:ascii="Arial" w:cs="Arial" w:eastAsia="Arial" w:hAnsi="Arial"/>
          <w:i/>
          <w:iCs/>
        </w:rPr>
        <w:t xml:space="preserve">c</w:t>
      </w:r>
      <w:r>
        <w:rPr>
          <w:rFonts w:ascii="Arial" w:cs="Arial" w:eastAsia="Arial" w:hAnsi="Arial"/>
        </w:rPr>
        <w:t xml:space="preserve">, the probability that a child ends in each terminal cascade state is computed by direct path-product along the chain:</w:t>
      </w:r>
    </w:p>
    <w:p>
      <w:pPr>
        <w:spacing w:after="120" w:before="120" w:line="300"/>
        <w:jc w:val="center"/>
      </w:pPr>
      <w:r>
        <w:rPr>
          <w:rFonts w:ascii="Arial" w:cs="Arial" w:eastAsia="Arial" w:hAnsi="Arial"/>
          <w:i/>
          <w:iCs/>
        </w:rPr>
        <w:t xml:space="preserve">Pr(state = s₅) = Πⱼ₌₀⁴ p̂_{c,j}^EB        (full schedule completed)</w:t>
      </w:r>
    </w:p>
    <w:p>
      <w:pPr>
        <w:spacing w:after="120" w:before="120" w:line="300"/>
        <w:jc w:val="center"/>
      </w:pPr>
      <w:r>
        <w:rPr>
          <w:rFonts w:ascii="Arial" w:cs="Arial" w:eastAsia="Arial" w:hAnsi="Arial"/>
          <w:i/>
          <w:iCs/>
        </w:rPr>
        <w:t xml:space="preserve">Pr(state = s_k) = Πⱼ₌₀^{k−1} p̂_{c,j}^EB · (1 − p̂_{c,k}^EB),    k = 1, …, 4</w:t>
      </w:r>
    </w:p>
    <w:p>
      <w:pPr>
        <w:spacing w:after="120" w:before="120" w:line="300"/>
        <w:jc w:val="center"/>
      </w:pPr>
      <w:r>
        <w:rPr>
          <w:rFonts w:ascii="Arial" w:cs="Arial" w:eastAsia="Arial" w:hAnsi="Arial"/>
          <w:i/>
          <w:iCs/>
        </w:rPr>
        <w:t xml:space="preserve">Pr(state = s₀) = 1 − p̂_{c,0}^EB        (zero-dose)</w:t>
      </w:r>
    </w:p>
    <w:p>
      <w:pPr>
        <w:spacing w:after="120" w:before="60" w:line="320"/>
        <w:jc w:val="both"/>
      </w:pPr>
      <w:r>
        <w:rPr>
          <w:rFonts w:ascii="Arial" w:cs="Arial" w:eastAsia="Arial" w:hAnsi="Arial"/>
        </w:rPr>
        <w:t xml:space="preserve">These probabilities sum to one by construction. Continental averages are reported as arithmetic means across countries (unweighted, treating each country as one observation); a population-weighted version using UN under-1 estimates is also reported for burden-relevant interpretation. Uncertainty in the predicted state probabilities can be propagated by the delta method on the path-product or by Monte Carlo simulation from the empirical-Bayes posteriors of the transition probabilities; point estimates are reported in the primary analysis. The path-product assumption — that conditional transition probabilities multiply — is exact under the Markov property and the nested state convention adopted in Section S1.1.</w:t>
      </w:r>
    </w:p>
    <w:p>
      <w:pPr>
        <w:pStyle w:val="Heading1"/>
        <w:spacing w:after="180" w:before="360"/>
      </w:pPr>
      <w:r>
        <w:rPr>
          <w:rFonts w:ascii="Arial" w:cs="Arial" w:eastAsia="Arial" w:hAnsi="Arial"/>
          <w:b/>
          <w:bCs/>
          <w:sz w:val="28"/>
          <w:szCs w:val="28"/>
        </w:rPr>
        <w:t xml:space="preserve">S1.7 Heterogeneity decomposition</w:t>
      </w:r>
    </w:p>
    <w:p>
      <w:pPr>
        <w:spacing w:after="120" w:before="60" w:line="320"/>
        <w:jc w:val="both"/>
      </w:pPr>
      <w:r>
        <w:rPr>
          <w:rFonts w:ascii="Arial" w:cs="Arial" w:eastAsia="Arial" w:hAnsi="Arial"/>
        </w:rPr>
        <w:t xml:space="preserve">For each transition we report three measures of heterogeneity:</w:t>
      </w:r>
    </w:p>
    <w:p>
      <w:pPr>
        <w:pStyle w:val="ListParagraph"/>
        <w:numPr>
          <w:ilvl w:val="0"/>
          <w:numId w:val="2"/>
        </w:numPr>
        <w:spacing w:after="40" w:before="40" w:line="300"/>
      </w:pPr>
      <w:r>
        <w:rPr>
          <w:rFonts w:ascii="Arial" w:cs="Arial" w:eastAsia="Arial" w:hAnsi="Arial"/>
          <w:b/>
          <w:bCs/>
        </w:rPr>
        <w:t xml:space="preserve">τ²_j (logit scale) </w:t>
      </w:r>
      <w:r>
        <w:rPr>
          <w:rFonts w:ascii="Arial" w:cs="Arial" w:eastAsia="Arial" w:hAnsi="Arial"/>
        </w:rPr>
        <w:t xml:space="preserve">— the absolute between-country variance, directly interpretable on the latent logit scale.</w:t>
      </w:r>
    </w:p>
    <w:p>
      <w:pPr>
        <w:pStyle w:val="ListParagraph"/>
        <w:numPr>
          <w:ilvl w:val="0"/>
          <w:numId w:val="2"/>
        </w:numPr>
        <w:spacing w:after="40" w:before="40" w:line="300"/>
      </w:pPr>
      <w:r>
        <w:rPr>
          <w:rFonts w:ascii="Arial" w:cs="Arial" w:eastAsia="Arial" w:hAnsi="Arial"/>
          <w:b/>
          <w:bCs/>
        </w:rPr>
        <w:t xml:space="preserve">Cochran's Q_j </w:t>
      </w:r>
      <w:r>
        <w:rPr>
          <w:rFonts w:ascii="Arial" w:cs="Arial" w:eastAsia="Arial" w:hAnsi="Arial"/>
        </w:rPr>
        <w:t xml:space="preserve">— distributed as χ²_{C_j − 1} under the homogeneity null (τ²_j = 0); tests whether between-country heterogeneity is statistically distinguishable from sampling variance.</w:t>
      </w:r>
    </w:p>
    <w:p>
      <w:pPr>
        <w:pStyle w:val="ListParagraph"/>
        <w:numPr>
          <w:ilvl w:val="0"/>
          <w:numId w:val="2"/>
        </w:numPr>
        <w:spacing w:after="40" w:before="40" w:line="300"/>
      </w:pPr>
      <w:r>
        <w:rPr>
          <w:rFonts w:ascii="Arial" w:cs="Arial" w:eastAsia="Arial" w:hAnsi="Arial"/>
          <w:b/>
          <w:bCs/>
        </w:rPr>
        <w:t xml:space="preserve">Higgins' I²_j </w:t>
      </w:r>
      <w:r>
        <w:rPr>
          <w:rFonts w:ascii="Arial" w:cs="Arial" w:eastAsia="Arial" w:hAnsi="Arial"/>
        </w:rPr>
        <w:t xml:space="preserve">= max{ 0, (Q_j − (C_j − 1)) / Q_j } — the share of total observed variation attributable to true between-country differences rather than sampling error, bounded in [0, 1] (Higgins &amp; Thompson, 2002).</w:t>
      </w:r>
    </w:p>
    <w:p>
      <w:pPr>
        <w:spacing w:after="120" w:before="60" w:line="320"/>
        <w:jc w:val="both"/>
      </w:pPr>
      <w:r>
        <w:rPr>
          <w:rFonts w:ascii="Arial" w:cs="Arial" w:eastAsia="Arial" w:hAnsi="Arial"/>
        </w:rPr>
        <w:t xml:space="preserve">τ²_j is the policy-relevant measure for the variance decomposition because it locates where between-country heterogeneity sits along the cascade and therefore where harmonisation across countries would yield the largest equity gain. I²_j is the more familiar meta-analytic statistic and is reported for comparability with the wider literature. The decomposition of τ²_j across the five transitions is the distinctive contribution of the multistate model and is discussed in detail in the Results.</w:t>
      </w:r>
    </w:p>
    <w:p>
      <w:pPr>
        <w:spacing w:after="120" w:before="60" w:line="320"/>
        <w:jc w:val="both"/>
      </w:pPr>
      <w:r>
        <w:rPr>
          <w:rFonts w:ascii="Arial" w:cs="Arial" w:eastAsia="Arial" w:hAnsi="Arial"/>
        </w:rPr>
        <w:t xml:space="preserve">Comparison of within-country sampling variance s²_{c,j} with between-country variance τ̂²_j across the 38-country panel shows that τ̂²_j exceeds the median s²_{c,j} by one to two orders of magnitude at every transition, which is why the qualitative findings on heterogeneity location are unchanged when the design effect from clustering is added (a multiplier of 1.5 to 2 on s²_{c,j}). This is the justification given in the main-text Section 7 for not invoking a full Taylor-linearisation or jackknife design-based variance estimator for the headline analysis.</w:t>
      </w:r>
    </w:p>
    <w:p>
      <w:pPr>
        <w:pStyle w:val="Heading1"/>
        <w:spacing w:after="180" w:before="360"/>
      </w:pPr>
      <w:r>
        <w:rPr>
          <w:rFonts w:ascii="Arial" w:cs="Arial" w:eastAsia="Arial" w:hAnsi="Arial"/>
          <w:b/>
          <w:bCs/>
          <w:sz w:val="28"/>
          <w:szCs w:val="28"/>
        </w:rPr>
        <w:t xml:space="preserve">S1.8 Reference pseudocode</w:t>
      </w:r>
    </w:p>
    <w:p>
      <w:pPr>
        <w:spacing w:after="120" w:before="60" w:line="320"/>
        <w:jc w:val="both"/>
      </w:pPr>
      <w:r>
        <w:rPr>
          <w:rFonts w:ascii="Arial" w:cs="Arial" w:eastAsia="Arial" w:hAnsi="Arial"/>
        </w:rPr>
        <w:t xml:space="preserve">The following pseudocode mirrors the production Python implementation 02_fit_metabayesian.py. It is provided to support exact replication in other languages.</w:t>
      </w:r>
    </w:p>
    <w:p>
      <w:pPr>
        <w:spacing w:after="0" w:before="0" w:line="260"/>
      </w:pPr>
      <w:r>
        <w:rPr>
          <w:rFonts w:ascii="Consolas" w:cs="Consolas" w:eastAsia="Consolas" w:hAnsi="Consolas"/>
          <w:sz w:val="18"/>
          <w:szCs w:val="18"/>
        </w:rPr>
        <w:t xml:space="preserve"># inputs: per (country c, transition j): p_hat, n_eff</w:t>
      </w:r>
    </w:p>
    <w:p>
      <w:pPr>
        <w:spacing w:after="0" w:before="0" w:line="260"/>
      </w:pPr>
      <w:r>
        <w:rPr>
          <w:rFonts w:ascii="Consolas" w:cs="Consolas" w:eastAsia="Consolas" w:hAnsi="Consolas"/>
          <w:sz w:val="18"/>
          <w:szCs w:val="18"/>
        </w:rPr>
        <w:t xml:space="preserve">for j in transitions:</w:t>
      </w:r>
    </w:p>
    <w:p>
      <w:pPr>
        <w:spacing w:after="0" w:before="0" w:line="260"/>
      </w:pPr>
      <w:r>
        <w:rPr>
          <w:rFonts w:ascii="Consolas" w:cs="Consolas" w:eastAsia="Consolas" w:hAnsi="Consolas"/>
          <w:sz w:val="18"/>
          <w:szCs w:val="18"/>
        </w:rPr>
        <w:t xml:space="preserve">    rows = [(c, p_hat_cj, n_eff_cj) for c in countries if valid(p_hat_cj, n_eff_cj)]</w:t>
      </w:r>
    </w:p>
    <w:p>
      <w:pPr>
        <w:spacing w:after="0" w:before="0" w:line="260"/>
      </w:pPr>
      <w:r>
        <w:rPr>
          <w:rFonts w:ascii="Consolas" w:cs="Consolas" w:eastAsia="Consolas" w:hAnsi="Consolas"/>
          <w:sz w:val="18"/>
          <w:szCs w:val="18"/>
        </w:rPr>
        <w:t xml:space="preserve">    theta_hat = [logit(p) for (_, p, _) in rows]</w:t>
      </w:r>
    </w:p>
    <w:p>
      <w:pPr>
        <w:spacing w:after="0" w:before="0" w:line="260"/>
      </w:pPr>
      <w:r>
        <w:rPr>
          <w:rFonts w:ascii="Consolas" w:cs="Consolas" w:eastAsia="Consolas" w:hAnsi="Consolas"/>
          <w:sz w:val="18"/>
          <w:szCs w:val="18"/>
        </w:rPr>
        <w:t xml:space="preserve">    s2        = [se(p, n)**2 / (p*(1-p))**2 for (_, p, n) in rows]   # delta method</w:t>
      </w:r>
    </w:p>
    <w:p>
      <w:pPr>
        <w:spacing w:after="0" w:before="0" w:line="260"/>
      </w:pPr>
      <w:r>
        <w:rPr>
          <w:rFonts w:ascii="Consolas" w:cs="Consolas" w:eastAsia="Consolas" w:hAnsi="Consolas"/>
          <w:sz w:val="18"/>
          <w:szCs w:val="18"/>
        </w:rPr>
        <w:t xml:space="preserve">    w_FE      = [1/s for s in s2]</w:t>
      </w:r>
    </w:p>
    <w:p>
      <w:pPr>
        <w:spacing w:after="0" w:before="0" w:line="260"/>
      </w:pPr>
      <w:r>
        <w:rPr>
          <w:rFonts w:ascii="Consolas" w:cs="Consolas" w:eastAsia="Consolas" w:hAnsi="Consolas"/>
          <w:sz w:val="18"/>
          <w:szCs w:val="18"/>
        </w:rPr>
        <w:t xml:space="preserve">    mu_FE     = sum(w*t for w, t in zip(w_FE, theta_hat)) / sum(w_FE)</w:t>
      </w:r>
    </w:p>
    <w:p>
      <w:pPr>
        <w:spacing w:after="0" w:before="0" w:line="260"/>
      </w:pPr>
      <w:r>
        <w:rPr>
          <w:rFonts w:ascii="Consolas" w:cs="Consolas" w:eastAsia="Consolas" w:hAnsi="Consolas"/>
          <w:sz w:val="18"/>
          <w:szCs w:val="18"/>
        </w:rPr>
        <w:t xml:space="preserve">    Q         = sum(w*(t - mu_FE)**2 for w, t in zip(w_FE, theta_hat))</w:t>
      </w:r>
    </w:p>
    <w:p>
      <w:pPr>
        <w:spacing w:after="0" w:before="0" w:line="260"/>
      </w:pPr>
      <w:r>
        <w:rPr>
          <w:rFonts w:ascii="Consolas" w:cs="Consolas" w:eastAsia="Consolas" w:hAnsi="Consolas"/>
          <w:sz w:val="18"/>
          <w:szCs w:val="18"/>
        </w:rPr>
        <w:t xml:space="preserve">    C         = len(rows)</w:t>
      </w:r>
    </w:p>
    <w:p>
      <w:pPr>
        <w:spacing w:after="0" w:before="0" w:line="260"/>
      </w:pPr>
      <w:r>
        <w:rPr>
          <w:rFonts w:ascii="Consolas" w:cs="Consolas" w:eastAsia="Consolas" w:hAnsi="Consolas"/>
          <w:sz w:val="18"/>
          <w:szCs w:val="18"/>
        </w:rPr>
        <w:t xml:space="preserve">    denom     = sum(w_FE) - sum(w*w for w in w_FE)/sum(w_FE)</w:t>
      </w:r>
    </w:p>
    <w:p>
      <w:pPr>
        <w:spacing w:after="0" w:before="0" w:line="260"/>
      </w:pPr>
      <w:r>
        <w:rPr>
          <w:rFonts w:ascii="Consolas" w:cs="Consolas" w:eastAsia="Consolas" w:hAnsi="Consolas"/>
          <w:sz w:val="18"/>
          <w:szCs w:val="18"/>
        </w:rPr>
        <w:t xml:space="preserve">    tau2      = max(0.0, (Q - (C - 1)) / denom)</w:t>
      </w:r>
    </w:p>
    <w:p>
      <w:pPr>
        <w:spacing w:after="0" w:before="0" w:line="260"/>
      </w:pPr>
      <w:r>
        <w:rPr>
          <w:rFonts w:ascii="Consolas" w:cs="Consolas" w:eastAsia="Consolas" w:hAnsi="Consolas"/>
          <w:sz w:val="18"/>
          <w:szCs w:val="18"/>
        </w:rPr>
        <w:t xml:space="preserve">    w_RE      = [1/(s + tau2) for s in s2]</w:t>
      </w:r>
    </w:p>
    <w:p>
      <w:pPr>
        <w:spacing w:after="0" w:before="0" w:line="260"/>
      </w:pPr>
      <w:r>
        <w:rPr>
          <w:rFonts w:ascii="Consolas" w:cs="Consolas" w:eastAsia="Consolas" w:hAnsi="Consolas"/>
          <w:sz w:val="18"/>
          <w:szCs w:val="18"/>
        </w:rPr>
        <w:t xml:space="preserve">    mu_hat    = sum(w*t for w, t in zip(w_RE, theta_hat)) / sum(w_RE)</w:t>
      </w:r>
    </w:p>
    <w:p>
      <w:pPr>
        <w:spacing w:after="0" w:before="0" w:line="260"/>
      </w:pPr>
      <w:r>
        <w:rPr>
          <w:rFonts w:ascii="Consolas" w:cs="Consolas" w:eastAsia="Consolas" w:hAnsi="Consolas"/>
          <w:sz w:val="18"/>
          <w:szCs w:val="18"/>
        </w:rPr>
        <w:t xml:space="preserve">    for (c, _, _), t, s in zip(rows, theta_hat, s2):</w:t>
      </w:r>
    </w:p>
    <w:p>
      <w:pPr>
        <w:spacing w:after="0" w:before="0" w:line="260"/>
      </w:pPr>
      <w:r>
        <w:rPr>
          <w:rFonts w:ascii="Consolas" w:cs="Consolas" w:eastAsia="Consolas" w:hAnsi="Consolas"/>
          <w:sz w:val="18"/>
          <w:szCs w:val="18"/>
        </w:rPr>
        <w:t xml:space="preserve">        B_cj     = s / (s + tau2)</w:t>
      </w:r>
    </w:p>
    <w:p>
      <w:pPr>
        <w:spacing w:after="0" w:before="0" w:line="260"/>
      </w:pPr>
      <w:r>
        <w:rPr>
          <w:rFonts w:ascii="Consolas" w:cs="Consolas" w:eastAsia="Consolas" w:hAnsi="Consolas"/>
          <w:sz w:val="18"/>
          <w:szCs w:val="18"/>
        </w:rPr>
        <w:t xml:space="preserve">        theta_EB = (1 - B_cj)*t + B_cj*mu_hat</w:t>
      </w:r>
    </w:p>
    <w:p>
      <w:pPr>
        <w:spacing w:after="0" w:before="0" w:line="260"/>
      </w:pPr>
      <w:r>
        <w:rPr>
          <w:rFonts w:ascii="Consolas" w:cs="Consolas" w:eastAsia="Consolas" w:hAnsi="Consolas"/>
          <w:sz w:val="18"/>
          <w:szCs w:val="18"/>
        </w:rPr>
        <w:t xml:space="preserve">        var_EB   = 1.0 / (1.0/tau2 + 1.0/s) if tau2 &gt; 0 else s</w:t>
      </w:r>
    </w:p>
    <w:p>
      <w:pPr>
        <w:spacing w:after="0" w:before="0" w:line="260"/>
      </w:pPr>
      <w:r>
        <w:rPr>
          <w:rFonts w:ascii="Consolas" w:cs="Consolas" w:eastAsia="Consolas" w:hAnsi="Consolas"/>
          <w:sz w:val="18"/>
          <w:szCs w:val="18"/>
        </w:rPr>
        <w:t xml:space="preserve">        ci_lo    = inv_logit(theta_EB - 1.96*sqrt(var_EB))</w:t>
      </w:r>
    </w:p>
    <w:p>
      <w:pPr>
        <w:spacing w:after="0" w:before="0" w:line="260"/>
      </w:pPr>
      <w:r>
        <w:rPr>
          <w:rFonts w:ascii="Consolas" w:cs="Consolas" w:eastAsia="Consolas" w:hAnsi="Consolas"/>
          <w:sz w:val="18"/>
          <w:szCs w:val="18"/>
        </w:rPr>
        <w:t xml:space="preserve">        ci_hi    = inv_logit(theta_EB + 1.96*sqrt(var_EB))</w:t>
      </w:r>
    </w:p>
    <w:p>
      <w:pPr>
        <w:spacing w:after="0" w:before="0" w:line="260"/>
      </w:pPr>
      <w:r>
        <w:rPr>
          <w:rFonts w:ascii="Consolas" w:cs="Consolas" w:eastAsia="Consolas" w:hAnsi="Consolas"/>
          <w:sz w:val="18"/>
          <w:szCs w:val="18"/>
        </w:rPr>
        <w:t xml:space="preserve">        store(c, j, inv_logit(theta_EB), ci_lo, ci_hi, B_cj)</w:t>
      </w:r>
    </w:p>
    <w:p>
      <w:pPr>
        <w:spacing w:after="0" w:before="0" w:line="260"/>
      </w:pPr>
      <w:r>
        <w:rPr>
          <w:rFonts w:ascii="Consolas" w:cs="Consolas" w:eastAsia="Consolas" w:hAnsi="Consolas"/>
          <w:sz w:val="18"/>
          <w:szCs w:val="18"/>
        </w:rPr>
        <w:t xml:space="preserve">    I2 = max(0.0, (Q - (C - 1)) / Q) if Q &gt; 0 else 0.0</w:t>
      </w:r>
    </w:p>
    <w:p>
      <w:pPr>
        <w:spacing w:after="0" w:before="0" w:line="260"/>
      </w:pPr>
      <w:r>
        <w:rPr>
          <w:rFonts w:ascii="Consolas" w:cs="Consolas" w:eastAsia="Consolas" w:hAnsi="Consolas"/>
          <w:sz w:val="18"/>
          <w:szCs w:val="18"/>
        </w:rPr>
        <w:t xml:space="preserve">    store_transition(j, mu_hat, tau2, Q, I2, C)</w:t>
      </w:r>
    </w:p>
    <w:p>
      <w:pPr>
        <w:spacing w:before="240"/>
      </w:pPr>
      <w:r>
        <w:rPr>
          <w:rFonts w:ascii="Arial" w:cs="Arial" w:eastAsia="Arial" w:hAnsi="Arial"/>
        </w:rPr>
        <w:t xml:space="preserve"/>
      </w:r>
    </w:p>
    <w:p>
      <w:pPr>
        <w:spacing w:after="120" w:before="60" w:line="320"/>
        <w:jc w:val="both"/>
      </w:pPr>
      <w:r>
        <w:rPr>
          <w:rFonts w:ascii="Arial" w:cs="Arial" w:eastAsia="Arial" w:hAnsi="Arial"/>
        </w:rPr>
        <w:t xml:space="preserve">After the per-transition fit, state-occupation probabilities are obtained from the per-country empirical-Bayes transition probabilities by the path-product expressions of Section S1.6.</w:t>
      </w:r>
    </w:p>
    <w:p>
      <w:pPr>
        <w:pStyle w:val="Heading1"/>
        <w:spacing w:after="180" w:before="360"/>
      </w:pPr>
      <w:r>
        <w:rPr>
          <w:rFonts w:ascii="Arial" w:cs="Arial" w:eastAsia="Arial" w:hAnsi="Arial"/>
          <w:b/>
          <w:bCs/>
          <w:sz w:val="28"/>
          <w:szCs w:val="28"/>
        </w:rPr>
        <w:t xml:space="preserve">References for this supplement</w:t>
      </w:r>
    </w:p>
    <w:p>
      <w:pPr>
        <w:spacing w:after="60" w:before="60" w:line="280"/>
        <w:ind w:left="360" w:hanging="360"/>
      </w:pPr>
      <w:r>
        <w:rPr>
          <w:rFonts w:ascii="Arial" w:cs="Arial" w:eastAsia="Arial" w:hAnsi="Arial"/>
          <w:sz w:val="20"/>
          <w:szCs w:val="20"/>
        </w:rPr>
        <w:t xml:space="preserve">DerSimonian R, Laird N. Meta-analysis in clinical trials. Controlled Clinical Trials. 1986;7(3):177–188.</w:t>
      </w:r>
    </w:p>
    <w:p>
      <w:pPr>
        <w:spacing w:after="60" w:before="60" w:line="280"/>
        <w:ind w:left="360" w:hanging="360"/>
      </w:pPr>
      <w:r>
        <w:rPr>
          <w:rFonts w:ascii="Arial" w:cs="Arial" w:eastAsia="Arial" w:hAnsi="Arial"/>
          <w:sz w:val="20"/>
          <w:szCs w:val="20"/>
        </w:rPr>
        <w:t xml:space="preserve">Higgins JPT, Thompson SG. Quantifying heterogeneity in a meta-analysis. Statistics in Medicine. 2002;21(11):1539–1558.</w:t>
      </w:r>
    </w:p>
    <w:p>
      <w:pPr>
        <w:spacing w:after="60" w:before="60" w:line="280"/>
        <w:ind w:left="360" w:hanging="360"/>
      </w:pPr>
      <w:r>
        <w:rPr>
          <w:rFonts w:ascii="Arial" w:cs="Arial" w:eastAsia="Arial" w:hAnsi="Arial"/>
          <w:sz w:val="20"/>
          <w:szCs w:val="20"/>
        </w:rPr>
        <w:t xml:space="preserve">Kish L. Survey Sampling. New York: Wiley; 1965.</w:t>
      </w:r>
    </w:p>
    <w:p>
      <w:pPr>
        <w:spacing w:after="60" w:before="60" w:line="280"/>
        <w:ind w:left="360" w:hanging="360"/>
      </w:pPr>
      <w:r>
        <w:rPr>
          <w:rFonts w:ascii="Arial" w:cs="Arial" w:eastAsia="Arial" w:hAnsi="Arial"/>
          <w:sz w:val="20"/>
          <w:szCs w:val="20"/>
        </w:rPr>
        <w:t xml:space="preserve">Putter H, Fiocco M, Geskus RB. Tutorial in biostatistics: competing risks and multistate models. Statistics in Medicine. 2007;26(11):2389–2430.</w:t>
      </w:r>
    </w:p>
    <w:p>
      <w:pPr>
        <w:spacing w:after="60" w:before="60" w:line="280"/>
        <w:ind w:left="360" w:hanging="360"/>
      </w:pPr>
      <w:r>
        <w:rPr>
          <w:rFonts w:ascii="Arial" w:cs="Arial" w:eastAsia="Arial" w:hAnsi="Arial"/>
          <w:sz w:val="20"/>
          <w:szCs w:val="20"/>
        </w:rPr>
        <w:t xml:space="preserve">Robitzsch A, Lüdtke O. Why we should think more carefully about transformations in random-effects meta-analysis. Research Synthesis Methods. 2020;11(4):555–567.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Supplementary Methods S1 — Multistate Markov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S1 — Multistate Markov model technical specification</dc:title>
  <dc:creator>Birkneh Tadesse</dc:creator>
  <cp:lastModifiedBy>Un-named</cp:lastModifiedBy>
  <cp:revision>1</cp:revision>
  <dcterms:created xsi:type="dcterms:W3CDTF">2026-05-15T21:55:06.123Z</dcterms:created>
  <dcterms:modified xsi:type="dcterms:W3CDTF">2026-05-15T21:55:06.124Z</dcterms:modified>
</cp:coreProperties>
</file>

<file path=docProps/custom.xml><?xml version="1.0" encoding="utf-8"?>
<Properties xmlns="http://schemas.openxmlformats.org/officeDocument/2006/custom-properties" xmlns:vt="http://schemas.openxmlformats.org/officeDocument/2006/docPropsVTypes"/>
</file>