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5B6573"/>
          <w:sz w:val="16"/>
          <w:szCs w:val="16"/>
        </w:rPr>
        <w:t xml:space="preserve">MARKET BRIEF  ·  SEPTEMBER 2026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B3A4B"/>
          <w:sz w:val="44"/>
          <w:szCs w:val="44"/>
        </w:rPr>
        <w:t xml:space="preserve">Cyber Insurance Underwriting Assistants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B6573"/>
          <w:sz w:val="22"/>
          <w:szCs w:val="22"/>
        </w:rPr>
        <w:t xml:space="preserve">A plain-English strategic market brief for builders, buyers, and investors</w:t>
      </w:r>
    </w:p>
    <w:p>
      <w:pPr>
        <w:spacing w:after="8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tcBorders>
              <w:top w:val="single" w:color="B8C9D1" w:sz="8"/>
              <w:left w:val="single" w:color="B8C9D1" w:sz="8"/>
              <w:bottom w:val="single" w:color="B8C9D1" w:sz="8"/>
              <w:right w:val="single" w:color="B8C9D1" w:sz="8"/>
            </w:tcBorders>
            <w:shd w:fill="E8F1F4" w:val="clear"/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3A4B"/>
                <w:sz w:val="32"/>
                <w:szCs w:val="32"/>
              </w:rPr>
              <w:t xml:space="preserve">−4%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B6573"/>
                <w:sz w:val="14"/>
                <w:szCs w:val="14"/>
              </w:rPr>
              <w:t xml:space="preserve">Global cyber rates Q2 2026 (Marsh)</w:t>
            </w:r>
          </w:p>
        </w:tc>
        <w:tc>
          <w:tcPr>
            <w:tcW w:type="dxa" w:w="2556"/>
            <w:tcBorders>
              <w:top w:val="single" w:color="B8C9D1" w:sz="8"/>
              <w:left w:val="single" w:color="B8C9D1" w:sz="8"/>
              <w:bottom w:val="single" w:color="B8C9D1" w:sz="8"/>
              <w:right w:val="single" w:color="B8C9D1" w:sz="8"/>
            </w:tcBorders>
            <w:shd w:fill="E8F1F4" w:val="clear"/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3A4B"/>
                <w:sz w:val="32"/>
                <w:szCs w:val="32"/>
              </w:rPr>
              <w:t xml:space="preserve">12th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B6573"/>
                <w:sz w:val="14"/>
                <w:szCs w:val="14"/>
              </w:rPr>
              <w:t xml:space="preserve">Straight quarterly rate decline</w:t>
            </w:r>
          </w:p>
        </w:tc>
        <w:tc>
          <w:tcPr>
            <w:tcW w:type="dxa" w:w="2556"/>
            <w:tcBorders>
              <w:top w:val="single" w:color="B8C9D1" w:sz="8"/>
              <w:left w:val="single" w:color="B8C9D1" w:sz="8"/>
              <w:bottom w:val="single" w:color="B8C9D1" w:sz="8"/>
              <w:right w:val="single" w:color="B8C9D1" w:sz="8"/>
            </w:tcBorders>
            <w:shd w:fill="E8F1F4" w:val="clear"/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3A4B"/>
                <w:sz w:val="32"/>
                <w:szCs w:val="32"/>
              </w:rPr>
              <w:t xml:space="preserve">~$435M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B6573"/>
                <w:sz w:val="14"/>
                <w:szCs w:val="14"/>
              </w:rPr>
              <w:t xml:space="preserve">Travelers–Corvus (Jan 2024)</w:t>
            </w:r>
          </w:p>
        </w:tc>
        <w:tc>
          <w:tcPr>
            <w:tcW w:type="dxa" w:w="2556"/>
            <w:tcBorders>
              <w:top w:val="single" w:color="B8C9D1" w:sz="8"/>
              <w:left w:val="single" w:color="B8C9D1" w:sz="8"/>
              <w:bottom w:val="single" w:color="B8C9D1" w:sz="8"/>
              <w:right w:val="single" w:color="B8C9D1" w:sz="8"/>
            </w:tcBorders>
            <w:shd w:fill="E8F1F4" w:val="clear"/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3A4B"/>
                <w:sz w:val="32"/>
                <w:szCs w:val="32"/>
              </w:rPr>
              <w:t xml:space="preserve">H1→H2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B6573"/>
                <w:sz w:val="14"/>
                <w:szCs w:val="14"/>
              </w:rPr>
              <w:t xml:space="preserve">Adoption: chat → orchestrated HITL</w:t>
            </w:r>
          </w:p>
        </w:tc>
      </w:tr>
    </w:tbl>
    <w:p>
      <w:pPr>
        <w:spacing w:after="20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10224"/>
      </w:tblGrid>
      <w:tr>
        <w:tc>
          <w:tcPr>
            <w:tcW w:type="dxa" w:w="10224"/>
            <w:tcBorders>
              <w:top w:val="single" w:color="E0C56E" w:sz="12"/>
              <w:left w:val="single" w:color="E0C56E" w:sz="24"/>
              <w:bottom w:val="single" w:color="E0C56E" w:sz="12"/>
              <w:right w:val="single" w:color="E0C56E" w:sz="12"/>
            </w:tcBorders>
            <w:shd w:fill="FFF8E8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Not an official Gartner report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color w:val="2C3340"/>
                <w:sz w:val="17"/>
                <w:szCs w:val="17"/>
              </w:rPr>
              <w:t xml:space="preserve">This brief does not use Gartner’s paid databases or confidential research. It draws on public news and reports, industry commentary, secondary project research, history, and labeled estimates. Re-check Marsh, Aon, and Howden rate reports—and what vendors are shipping—before you put money behind any conclusion.</w:t>
            </w:r>
          </w:p>
        </w:tc>
      </w:tr>
    </w:tbl>
    <w:p>
      <w:pPr>
        <w:spacing w:after="160"/>
      </w:pPr>
    </w:p>
    <w:p>
      <w:pPr>
        <w:spacing w:after="80" w:before="0" w:line="276"/>
      </w:pP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How to read the evidence labels</w:t>
      </w:r>
    </w:p>
    <w:p>
      <w:pPr>
        <w:spacing w:after="200" w:before="0" w:line="276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Known</w:t>
      </w:r>
      <w:r>
        <w:rPr>
          <w:rFonts w:ascii="Arial" w:cs="Arial" w:eastAsia="Arial" w:hAnsi="Arial"/>
          <w:color w:val="2C3340"/>
          <w:sz w:val="20"/>
          <w:szCs w:val="20"/>
        </w:rPr>
        <w:t xml:space="preserve"> — you can look it up in a public source.  </w:t>
      </w:r>
      <w:r>
        <w:rPr>
          <w:rFonts w:ascii="Arial" w:cs="Arial" w:eastAsia="Arial" w:hAnsi="Arial"/>
          <w:b/>
          <w:bCs/>
          <w:color w:val="174EA6"/>
          <w:sz w:val="20"/>
          <w:szCs w:val="20"/>
        </w:rPr>
        <w:t xml:space="preserve">Estimated</w:t>
      </w:r>
      <w:r>
        <w:rPr>
          <w:rFonts w:ascii="Arial" w:cs="Arial" w:eastAsia="Arial" w:hAnsi="Arial"/>
          <w:color w:val="2C3340"/>
          <w:sz w:val="20"/>
          <w:szCs w:val="20"/>
        </w:rPr>
        <w:t xml:space="preserve"> — a reasonable guess from how the market behaves.  </w:t>
      </w:r>
      <w:r>
        <w:rPr>
          <w:rFonts w:ascii="Arial" w:cs="Arial" w:eastAsia="Arial" w:hAnsi="Arial"/>
          <w:b/>
          <w:bCs/>
          <w:color w:val="6A1B9A"/>
          <w:sz w:val="20"/>
          <w:szCs w:val="20"/>
        </w:rPr>
        <w:t xml:space="preserve">Speculative</w:t>
      </w:r>
      <w:r>
        <w:rPr>
          <w:rFonts w:ascii="Arial" w:cs="Arial" w:eastAsia="Arial" w:hAnsi="Arial"/>
          <w:color w:val="2C3340"/>
          <w:sz w:val="20"/>
          <w:szCs w:val="20"/>
        </w:rPr>
        <w:t xml:space="preserve"> — “what if” scenarios, not facts to treat as certainty.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Executive Summary</w:t>
      </w:r>
    </w:p>
    <w:p>
      <w:pPr>
        <w:spacing w:after="140" w:before="0" w:line="276"/>
      </w:pPr>
      <w:r>
        <w:rPr>
          <w:rFonts w:ascii="Arial" w:cs="Arial" w:eastAsia="Arial" w:hAnsi="Arial"/>
          <w:color w:val="2C3340"/>
          <w:sz w:val="20"/>
          <w:szCs w:val="20"/>
        </w:rPr>
        <w:t xml:space="preserve">Here’s the short version.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Arial" w:cs="Arial" w:eastAsia="Arial" w:hAnsi="Arial"/>
          <w:b/>
          <w:bCs/>
          <w:color w:val="2C3340"/>
          <w:sz w:val="20"/>
          <w:szCs w:val="20"/>
        </w:rPr>
        <w:t xml:space="preserve">What this market even is. </w:t>
      </w:r>
      <w:r>
        <w:rPr>
          <w:rFonts w:ascii="Arial" w:cs="Arial" w:eastAsia="Arial" w:hAnsi="Arial"/>
          <w:color w:val="2C3340"/>
          <w:sz w:val="20"/>
          <w:szCs w:val="20"/>
        </w:rPr>
        <w:t xml:space="preserve">An underwriting assistant helps a carrier or MGA (a specialized underwriting shop) take in a cyber application, check it against outside security data, match it to appetite rules, recommend quote / refer / decline, and leave a paper trail. A human still binds. It is not the insurance policy, and not a BitSight-style score or CyberCube-style catastrophe model—those are inputs.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Arial" w:cs="Arial" w:eastAsia="Arial" w:hAnsi="Arial"/>
          <w:b/>
          <w:bCs/>
          <w:color w:val="2C3340"/>
          <w:sz w:val="20"/>
          <w:szCs w:val="20"/>
        </w:rPr>
        <w:t xml:space="preserve">What’s going on in cyber insurance (Known + Estimated). </w:t>
      </w:r>
      <w:r>
        <w:rPr>
          <w:rFonts w:ascii="Arial" w:cs="Arial" w:eastAsia="Arial" w:hAnsi="Arial"/>
          <w:color w:val="2C3340"/>
          <w:sz w:val="20"/>
          <w:szCs w:val="20"/>
        </w:rPr>
        <w:t xml:space="preserve">Prices are still falling. Marsh said global cyber rates dropped </w:t>
      </w:r>
      <w:r>
        <w:rPr>
          <w:rFonts w:ascii="Arial" w:cs="Arial" w:eastAsia="Arial" w:hAnsi="Arial"/>
          <w:b/>
          <w:bCs/>
          <w:color w:val="2C3340"/>
          <w:sz w:val="20"/>
          <w:szCs w:val="20"/>
        </w:rPr>
        <w:t xml:space="preserve">4% in Q2 2026</w:t>
      </w:r>
      <w:r>
        <w:rPr>
          <w:rFonts w:ascii="Arial" w:cs="Arial" w:eastAsia="Arial" w:hAnsi="Arial"/>
          <w:color w:val="2C3340"/>
          <w:sz w:val="20"/>
          <w:szCs w:val="20"/>
        </w:rPr>
        <w:t xml:space="preserve"> — the </w:t>
      </w:r>
      <w:r>
        <w:rPr>
          <w:rFonts w:ascii="Arial" w:cs="Arial" w:eastAsia="Arial" w:hAnsi="Arial"/>
          <w:b/>
          <w:bCs/>
          <w:color w:val="2C3340"/>
          <w:sz w:val="20"/>
          <w:szCs w:val="20"/>
        </w:rPr>
        <w:t xml:space="preserve">12th quarter in a row</w:t>
      </w:r>
      <w:r>
        <w:rPr>
          <w:rFonts w:ascii="Arial" w:cs="Arial" w:eastAsia="Arial" w:hAnsi="Arial"/>
          <w:color w:val="2C3340"/>
          <w:sz w:val="20"/>
          <w:szCs w:val="20"/>
        </w:rPr>
        <w:t xml:space="preserve">. Capacity is ample and brokers have leverage. Winning tools help desks go fast without quietly accepting weak controls.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Arial" w:cs="Arial" w:eastAsia="Arial" w:hAnsi="Arial"/>
          <w:b/>
          <w:bCs/>
          <w:color w:val="2C3340"/>
          <w:sz w:val="20"/>
          <w:szCs w:val="20"/>
        </w:rPr>
        <w:t xml:space="preserve">Where adoption sits (Estimated). </w:t>
      </w:r>
      <w:r>
        <w:rPr>
          <w:rFonts w:ascii="Arial" w:cs="Arial" w:eastAsia="Arial" w:hAnsi="Arial"/>
          <w:color w:val="2C3340"/>
          <w:sz w:val="20"/>
          <w:szCs w:val="20"/>
        </w:rPr>
        <w:t xml:space="preserve">Lots of form-filling chatbots in pilots. Fewer real staged workflows that catch “EDR everywhere” claims vs scan reality, then force underwriter sign-off.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Arial" w:cs="Arial" w:eastAsia="Arial" w:hAnsi="Arial"/>
          <w:b/>
          <w:bCs/>
          <w:color w:val="2C3340"/>
          <w:sz w:val="20"/>
          <w:szCs w:val="20"/>
        </w:rPr>
        <w:t xml:space="preserve">Who dominates the neighborhood (Known). </w:t>
      </w:r>
      <w:r>
        <w:rPr>
          <w:rFonts w:ascii="Arial" w:cs="Arial" w:eastAsia="Arial" w:hAnsi="Arial"/>
          <w:color w:val="2C3340"/>
          <w:sz w:val="20"/>
          <w:szCs w:val="20"/>
        </w:rPr>
        <w:t xml:space="preserve">Three stacks: tech-forward cyber writers (Coalition, At-Bay, Cowbell, Resilience; Corvus in Travelers); outside ratings (BitSight, SecurityScorecard, Black Kite); portfolio/catastrophe models (CyberCube, Guidewire Cyence). Rebuild-all-three assistants usually fail.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Arial" w:cs="Arial" w:eastAsia="Arial" w:hAnsi="Arial"/>
          <w:b/>
          <w:bCs/>
          <w:color w:val="2C3340"/>
          <w:sz w:val="20"/>
          <w:szCs w:val="20"/>
        </w:rPr>
        <w:t xml:space="preserve">What differentiates. </w:t>
      </w:r>
      <w:r>
        <w:rPr>
          <w:rFonts w:ascii="Arial" w:cs="Arial" w:eastAsia="Arial" w:hAnsi="Arial"/>
          <w:color w:val="2C3340"/>
          <w:sz w:val="20"/>
          <w:szCs w:val="20"/>
        </w:rPr>
        <w:t xml:space="preserve">Control-gap catching, early evidence asks, clear appetite with reasons, shared-vendor warnings, policy-admin sync. Chatbot polish is not the product.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Arial" w:cs="Arial" w:eastAsia="Arial" w:hAnsi="Arial"/>
          <w:b/>
          <w:bCs/>
          <w:color w:val="2C3340"/>
          <w:sz w:val="20"/>
          <w:szCs w:val="20"/>
        </w:rPr>
        <w:t xml:space="preserve">1–3 year base case (Estimated). </w:t>
      </w:r>
      <w:r>
        <w:rPr>
          <w:rFonts w:ascii="Arial" w:cs="Arial" w:eastAsia="Arial" w:hAnsi="Arial"/>
          <w:color w:val="2C3340"/>
          <w:sz w:val="20"/>
          <w:szCs w:val="20"/>
        </w:rPr>
        <w:t xml:space="preserve">Budgets shift from “AI chat on forms” to decision workbenches. Buyers want integrations and explainability—not a Coalition clone. Travelers–Corvus (~$435M, Jan 2024) is the consolidation landmark.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Arial" w:cs="Arial" w:eastAsia="Arial" w:hAnsi="Arial"/>
          <w:b/>
          <w:bCs/>
          <w:color w:val="2C3340"/>
          <w:sz w:val="20"/>
          <w:szCs w:val="20"/>
        </w:rPr>
        <w:t xml:space="preserve">Biggest category risk. </w:t>
      </w:r>
      <w:r>
        <w:rPr>
          <w:rFonts w:ascii="Arial" w:cs="Arial" w:eastAsia="Arial" w:hAnsi="Arial"/>
          <w:color w:val="2C3340"/>
          <w:sz w:val="20"/>
          <w:szCs w:val="20"/>
        </w:rPr>
        <w:t xml:space="preserve">Carriers absorb tooling in-house, or investors believe fantasy market-size numbers that mix premiums with software spend.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Arial" w:cs="Arial" w:eastAsia="Arial" w:hAnsi="Arial"/>
          <w:b/>
          <w:bCs/>
          <w:color w:val="2C3340"/>
          <w:sz w:val="20"/>
          <w:szCs w:val="20"/>
        </w:rPr>
        <w:t xml:space="preserve">Where money is likelier (Estimated). </w:t>
      </w:r>
      <w:r>
        <w:rPr>
          <w:rFonts w:ascii="Arial" w:cs="Arial" w:eastAsia="Arial" w:hAnsi="Arial"/>
          <w:color w:val="2C3340"/>
          <w:sz w:val="20"/>
          <w:szCs w:val="20"/>
        </w:rPr>
        <w:t xml:space="preserve">Mid-market specialty desks competing with Coalition-speed quotes; industrial/OT where files eat hours. SMB straight-through is already crowded.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1. Market Overview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1.1 What we’re talking about</w:t>
      </w:r>
    </w:p>
    <w:p>
      <w:pPr>
        <w:spacing w:after="120" w:before="0" w:line="276"/>
      </w:pPr>
      <w:r>
        <w:rPr>
          <w:rFonts w:ascii="Arial" w:cs="Arial" w:eastAsia="Arial" w:hAnsi="Arial"/>
          <w:color w:val="2C3340"/>
          <w:sz w:val="20"/>
          <w:szCs w:val="20"/>
        </w:rPr>
        <w:t xml:space="preserve">Think of an underwriting desk buried in broker emails, PDFs, and spreadsheets. The assistant turns that mess into a decision the underwriter can defend.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1B3A4B" w:val="clear"/>
            <w:vAlign w:val="center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it does</w:t>
            </w:r>
          </w:p>
        </w:tc>
        <w:tc>
          <w:tcPr>
            <w:tcW w:type="dxa" w:w="72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1B3A4B" w:val="clear"/>
            <w:vAlign w:val="center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 plain English</w:t>
            </w:r>
          </w:p>
        </w:tc>
      </w:tr>
      <w:tr>
        <w:tc>
          <w:tcPr>
            <w:tcW w:type="dxa" w:w="28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Intake</w:t>
            </w:r>
          </w:p>
        </w:tc>
        <w:tc>
          <w:tcPr>
            <w:tcW w:type="dxa" w:w="72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Pulls the application out of PDFs and email into structured fields</w:t>
            </w:r>
          </w:p>
        </w:tc>
      </w:tr>
      <w:tr>
        <w:tc>
          <w:tcPr>
            <w:tcW w:type="dxa" w:w="28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Enrichment</w:t>
            </w:r>
          </w:p>
        </w:tc>
        <w:tc>
          <w:tcPr>
            <w:tcW w:type="dxa" w:w="72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Adds outside scores, scans, company info, loss history</w:t>
            </w:r>
          </w:p>
        </w:tc>
      </w:tr>
      <w:tr>
        <w:tc>
          <w:tcPr>
            <w:tcW w:type="dxa" w:w="28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Gap check</w:t>
            </w:r>
          </w:p>
        </w:tc>
        <w:tc>
          <w:tcPr>
            <w:tcW w:type="dxa" w:w="72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Flags claimed MFA/EDR/backups vs what external signals show</w:t>
            </w:r>
          </w:p>
        </w:tc>
      </w:tr>
      <w:tr>
        <w:tc>
          <w:tcPr>
            <w:tcW w:type="dxa" w:w="28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Appetite &amp; triage</w:t>
            </w:r>
          </w:p>
        </w:tc>
        <w:tc>
          <w:tcPr>
            <w:tcW w:type="dxa" w:w="72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Applies desk rules: quote, refer upstairs, or decline</w:t>
            </w:r>
          </w:p>
        </w:tc>
      </w:tr>
      <w:tr>
        <w:tc>
          <w:tcPr>
            <w:tcW w:type="dxa" w:w="28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Decision support</w:t>
            </w:r>
          </w:p>
        </w:tc>
        <w:tc>
          <w:tcPr>
            <w:tcW w:type="dxa" w:w="72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Suggests tier/price ideas, conditions, and a written rationale</w:t>
            </w:r>
          </w:p>
        </w:tc>
      </w:tr>
      <w:tr>
        <w:tc>
          <w:tcPr>
            <w:tcW w:type="dxa" w:w="28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Book watch</w:t>
            </w:r>
          </w:p>
        </w:tc>
        <w:tc>
          <w:tcPr>
            <w:tcW w:type="dxa" w:w="72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Warns if too many policies share one vendor or cloud</w:t>
            </w:r>
          </w:p>
        </w:tc>
      </w:tr>
      <w:tr>
        <w:tc>
          <w:tcPr>
            <w:tcW w:type="dxa" w:w="28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Handoff</w:t>
            </w:r>
          </w:p>
        </w:tc>
        <w:tc>
          <w:tcPr>
            <w:tcW w:type="dxa" w:w="72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Sends the result into the policy admin system with an audit trail</w:t>
            </w:r>
          </w:p>
        </w:tc>
      </w:tr>
    </w:tbl>
    <w:p>
      <w:pPr>
        <w:spacing w:after="140"/>
      </w:pPr>
    </w:p>
    <w:p>
      <w:pPr>
        <w:spacing w:after="80" w:before="0" w:line="276"/>
      </w:pP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Not the main product (but they matter)</w:t>
      </w:r>
    </w:p>
    <w:p>
      <w:pPr>
        <w:pStyle w:val="ListParagraph"/>
        <w:numPr>
          <w:ilvl w:val="0"/>
          <w:numId w:val="3"/>
        </w:numPr>
        <w:spacing w:after="120" w:before="0" w:line="276"/>
      </w:pPr>
      <w:r>
        <w:rPr>
          <w:rFonts w:ascii="Arial" w:cs="Arial" w:eastAsia="Arial" w:hAnsi="Arial"/>
          <w:color w:val="2C3340"/>
          <w:sz w:val="20"/>
          <w:szCs w:val="20"/>
        </w:rPr>
        <w:t xml:space="preserve">Cyber insurers that also sell security tools to customers (Coalition Control, At-Bay Stance/MDR, etc.)</w:t>
      </w:r>
    </w:p>
    <w:p>
      <w:pPr>
        <w:pStyle w:val="ListParagraph"/>
        <w:numPr>
          <w:ilvl w:val="0"/>
          <w:numId w:val="3"/>
        </w:numPr>
        <w:spacing w:after="120" w:before="0" w:line="276"/>
      </w:pPr>
      <w:r>
        <w:rPr>
          <w:rFonts w:ascii="Arial" w:cs="Arial" w:eastAsia="Arial" w:hAnsi="Arial"/>
          <w:color w:val="2C3340"/>
          <w:sz w:val="20"/>
          <w:szCs w:val="20"/>
        </w:rPr>
        <w:t xml:space="preserve">Pure security-rating vendors, unless wired into the underwriting workflow</w:t>
      </w:r>
    </w:p>
    <w:p>
      <w:pPr>
        <w:pStyle w:val="ListParagraph"/>
        <w:numPr>
          <w:ilvl w:val="0"/>
          <w:numId w:val="3"/>
        </w:numPr>
        <w:spacing w:after="120" w:before="0" w:line="276"/>
      </w:pPr>
      <w:r>
        <w:rPr>
          <w:rFonts w:ascii="Arial" w:cs="Arial" w:eastAsia="Arial" w:hAnsi="Arial"/>
          <w:color w:val="2C3340"/>
          <w:sz w:val="20"/>
          <w:szCs w:val="20"/>
        </w:rPr>
        <w:t xml:space="preserve">Pure catastrophe / capital models</w:t>
      </w:r>
    </w:p>
    <w:p>
      <w:pPr>
        <w:pStyle w:val="ListParagraph"/>
        <w:numPr>
          <w:ilvl w:val="0"/>
          <w:numId w:val="3"/>
        </w:numPr>
        <w:spacing w:after="120" w:before="0" w:line="276"/>
      </w:pPr>
      <w:r>
        <w:rPr>
          <w:rFonts w:ascii="Arial" w:cs="Arial" w:eastAsia="Arial" w:hAnsi="Arial"/>
          <w:color w:val="2C3340"/>
          <w:sz w:val="20"/>
          <w:szCs w:val="20"/>
        </w:rPr>
        <w:t xml:space="preserve">Broker portals that never touch the bind decision</w:t>
      </w:r>
    </w:p>
    <w:p>
      <w:pPr>
        <w:spacing w:after="80"/>
      </w:pPr>
    </w:p>
    <w:p>
      <w:pPr>
        <w:spacing w:after="120" w:before="0" w:line="276"/>
      </w:pPr>
      <w:r>
        <w:rPr>
          <w:rFonts w:ascii="Arial" w:cs="Arial" w:eastAsia="Arial" w:hAnsi="Arial"/>
          <w:b/>
          <w:bCs/>
          <w:i/>
          <w:iCs/>
          <w:color w:val="2C3340"/>
          <w:sz w:val="20"/>
          <w:szCs w:val="20"/>
        </w:rPr>
        <w:t xml:space="preserve">Working thesis (Estimated): </w:t>
      </w:r>
      <w:r>
        <w:rPr>
          <w:rFonts w:ascii="Arial" w:cs="Arial" w:eastAsia="Arial" w:hAnsi="Arial"/>
          <w:i/>
          <w:iCs/>
          <w:color w:val="2C3340"/>
          <w:sz w:val="20"/>
          <w:szCs w:val="20"/>
        </w:rPr>
        <w:t xml:space="preserve">The underwriter’s real job is check what the applicant claimed against what you can see, then decide and defend that call under time and price pressure—not fill out another form.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1.2 How the market looks today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2400"/>
        <w:gridCol w:w="3600"/>
        <w:gridCol w:w="4080"/>
      </w:tblGrid>
      <w:tr>
        <w:trPr>
          <w:tblHeader/>
        </w:trPr>
        <w:tc>
          <w:tcPr>
            <w:tcW w:type="dxa" w:w="2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1B3A4B" w:val="clear"/>
            <w:vAlign w:val="center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Dimension</w:t>
            </w:r>
          </w:p>
        </w:tc>
        <w:tc>
          <w:tcPr>
            <w:tcW w:type="dxa" w:w="36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1B3A4B" w:val="clear"/>
            <w:vAlign w:val="center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What’s true</w:t>
            </w:r>
          </w:p>
        </w:tc>
        <w:tc>
          <w:tcPr>
            <w:tcW w:type="dxa" w:w="40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1B3A4B" w:val="clear"/>
            <w:vAlign w:val="center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Label</w:t>
            </w:r>
          </w:p>
        </w:tc>
      </w:tr>
      <w:tr>
        <w:tc>
          <w:tcPr>
            <w:tcW w:type="dxa" w:w="2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The cyber insurance line</w:t>
            </w:r>
          </w:p>
        </w:tc>
        <w:tc>
          <w:tcPr>
            <w:tcW w:type="dxa" w:w="36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Soft, competitive, lots of capacity</w:t>
            </w:r>
          </w:p>
        </w:tc>
        <w:tc>
          <w:tcPr>
            <w:tcW w:type="dxa" w:w="40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Known — Marsh Q2 2026 (−4% global; 12th decline); Aon: favorable pricing, cuts slowing</w:t>
            </w:r>
          </w:p>
        </w:tc>
      </w:tr>
      <w:tr>
        <w:tc>
          <w:tcPr>
            <w:tcW w:type="dxa" w:w="2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How desks work</w:t>
            </w:r>
          </w:p>
        </w:tc>
        <w:tc>
          <w:tcPr>
            <w:tcW w:type="dxa" w:w="36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Still questionnaire-heavy; hours spent hunting info</w:t>
            </w:r>
          </w:p>
        </w:tc>
        <w:tc>
          <w:tcPr>
            <w:tcW w:type="dxa" w:w="40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Known/Estimated — practitioner stories; Swiss Re on SME UW cost</w:t>
            </w:r>
          </w:p>
        </w:tc>
      </w:tr>
      <w:tr>
        <w:tc>
          <w:tcPr>
            <w:tcW w:type="dxa" w:w="2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Tech on the desk</w:t>
            </w:r>
          </w:p>
        </w:tc>
        <w:tc>
          <w:tcPr>
            <w:tcW w:type="dxa" w:w="36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Usually 2+ of: outside signals, cat/portfolio model, carrier/MGA telemetry</w:t>
            </w:r>
          </w:p>
        </w:tc>
        <w:tc>
          <w:tcPr>
            <w:tcW w:type="dxa" w:w="40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Estimated</w:t>
            </w:r>
          </w:p>
        </w:tc>
      </w:tr>
      <w:tr>
        <w:tc>
          <w:tcPr>
            <w:tcW w:type="dxa" w:w="2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Assistant products</w:t>
            </w:r>
          </w:p>
        </w:tc>
        <w:tc>
          <w:tcPr>
            <w:tcW w:type="dxa" w:w="36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Fragmented — form tools, specialty AI, posture tools, carrier-built stacks</w:t>
            </w:r>
          </w:p>
        </w:tc>
        <w:tc>
          <w:tcPr>
            <w:tcW w:type="dxa" w:w="40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Known from public product pages</w:t>
            </w:r>
          </w:p>
        </w:tc>
      </w:tr>
      <w:tr>
        <w:tc>
          <w:tcPr>
            <w:tcW w:type="dxa" w:w="2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Real software spend</w:t>
            </w:r>
          </w:p>
        </w:tc>
        <w:tc>
          <w:tcPr>
            <w:tcW w:type="dxa" w:w="36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A slice of cyber premium, not the whole pie</w:t>
            </w:r>
          </w:p>
        </w:tc>
        <w:tc>
          <w:tcPr>
            <w:tcW w:type="dxa" w:w="40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Estimated — be wary of giant “platform market” numbers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1.3 Why people want these tools</w:t>
      </w:r>
    </w:p>
    <w:p>
      <w:pPr>
        <w:pStyle w:val="ListParagraph"/>
        <w:numPr>
          <w:ilvl w:val="0"/>
          <w:numId w:val="4"/>
        </w:numPr>
        <w:spacing w:after="120" w:before="0" w:line="276"/>
      </w:pPr>
      <w:r>
        <w:rPr>
          <w:rFonts w:ascii="Arial" w:cs="Arial" w:eastAsia="Arial" w:hAnsi="Arial"/>
          <w:b/>
          <w:bCs/>
          <w:color w:val="2C3340"/>
          <w:sz w:val="20"/>
          <w:szCs w:val="20"/>
        </w:rPr>
        <w:t xml:space="preserve">Soft-market speed. </w:t>
      </w:r>
      <w:r>
        <w:rPr>
          <w:rFonts w:ascii="Arial" w:cs="Arial" w:eastAsia="Arial" w:hAnsi="Arial"/>
          <w:color w:val="2C3340"/>
          <w:sz w:val="20"/>
          <w:szCs w:val="20"/>
        </w:rPr>
        <w:t xml:space="preserve">Brokers shop on turnaround and price. Half-day dossiers lose. (Known market; Estimated WTP.)</w:t>
      </w:r>
    </w:p>
    <w:p>
      <w:pPr>
        <w:pStyle w:val="ListParagraph"/>
        <w:numPr>
          <w:ilvl w:val="0"/>
          <w:numId w:val="4"/>
        </w:numPr>
        <w:spacing w:after="120" w:before="0" w:line="276"/>
      </w:pPr>
      <w:r>
        <w:rPr>
          <w:rFonts w:ascii="Arial" w:cs="Arial" w:eastAsia="Arial" w:hAnsi="Arial"/>
          <w:b/>
          <w:bCs/>
          <w:color w:val="2C3340"/>
          <w:sz w:val="20"/>
          <w:szCs w:val="20"/>
        </w:rPr>
        <w:t xml:space="preserve">Apps lie by accident. </w:t>
      </w:r>
      <w:r>
        <w:rPr>
          <w:rFonts w:ascii="Arial" w:cs="Arial" w:eastAsia="Arial" w:hAnsi="Arial"/>
          <w:color w:val="2C3340"/>
          <w:sz w:val="20"/>
          <w:szCs w:val="20"/>
        </w:rPr>
        <w:t xml:space="preserve">Questionnaires describe policy, not reality. IR keeps finding “EDR everywhere” that isn’t. (Known.)</w:t>
      </w:r>
    </w:p>
    <w:p>
      <w:pPr>
        <w:pStyle w:val="ListParagraph"/>
        <w:numPr>
          <w:ilvl w:val="0"/>
          <w:numId w:val="4"/>
        </w:numPr>
        <w:spacing w:after="120" w:before="0" w:line="276"/>
      </w:pPr>
      <w:r>
        <w:rPr>
          <w:rFonts w:ascii="Arial" w:cs="Arial" w:eastAsia="Arial" w:hAnsi="Arial"/>
          <w:b/>
          <w:bCs/>
          <w:color w:val="2C3340"/>
          <w:sz w:val="20"/>
          <w:szCs w:val="20"/>
        </w:rPr>
        <w:t xml:space="preserve">New cyber writers set the bar. </w:t>
      </w:r>
      <w:r>
        <w:rPr>
          <w:rFonts w:ascii="Arial" w:cs="Arial" w:eastAsia="Arial" w:hAnsi="Arial"/>
          <w:color w:val="2C3340"/>
          <w:sz w:val="20"/>
          <w:szCs w:val="20"/>
        </w:rPr>
        <w:t xml:space="preserve">Coalition-style shops quote with live scan data. Legacy desks need orchestration to keep up. (Known models; pressure size Estimated.)</w:t>
      </w:r>
    </w:p>
    <w:p>
      <w:pPr>
        <w:pStyle w:val="ListParagraph"/>
        <w:numPr>
          <w:ilvl w:val="0"/>
          <w:numId w:val="4"/>
        </w:numPr>
        <w:spacing w:after="120" w:before="0" w:line="276"/>
      </w:pPr>
      <w:r>
        <w:rPr>
          <w:rFonts w:ascii="Arial" w:cs="Arial" w:eastAsia="Arial" w:hAnsi="Arial"/>
          <w:b/>
          <w:bCs/>
          <w:color w:val="2C3340"/>
          <w:sz w:val="20"/>
          <w:szCs w:val="20"/>
        </w:rPr>
        <w:t xml:space="preserve">Shared-vendor blowups. </w:t>
      </w:r>
      <w:r>
        <w:rPr>
          <w:rFonts w:ascii="Arial" w:cs="Arial" w:eastAsia="Arial" w:hAnsi="Arial"/>
          <w:color w:val="2C3340"/>
          <w:sz w:val="20"/>
          <w:szCs w:val="20"/>
        </w:rPr>
        <w:t xml:space="preserve">One cloud or MSP outage can hit many policies. Aon and regulators flag portfolio monitoring. (Known.)</w:t>
      </w:r>
    </w:p>
    <w:p>
      <w:pPr>
        <w:pStyle w:val="ListParagraph"/>
        <w:numPr>
          <w:ilvl w:val="0"/>
          <w:numId w:val="4"/>
        </w:numPr>
        <w:spacing w:after="120" w:before="0" w:line="276"/>
      </w:pPr>
      <w:r>
        <w:rPr>
          <w:rFonts w:ascii="Arial" w:cs="Arial" w:eastAsia="Arial" w:hAnsi="Arial"/>
          <w:b/>
          <w:bCs/>
          <w:color w:val="2C3340"/>
          <w:sz w:val="20"/>
          <w:szCs w:val="20"/>
        </w:rPr>
        <w:t xml:space="preserve">Regulators want evidence. </w:t>
      </w:r>
      <w:r>
        <w:rPr>
          <w:rFonts w:ascii="Arial" w:cs="Arial" w:eastAsia="Arial" w:hAnsi="Arial"/>
          <w:color w:val="2C3340"/>
          <w:sz w:val="20"/>
          <w:szCs w:val="20"/>
        </w:rPr>
        <w:t xml:space="preserve">DORA, NIS2, PRA expectations, U.S. misrepresentation fights, EU AI Act transparency. (Known rules; product impact Estimated.)</w:t>
      </w:r>
    </w:p>
    <w:p>
      <w:pPr>
        <w:pStyle w:val="ListParagraph"/>
        <w:numPr>
          <w:ilvl w:val="0"/>
          <w:numId w:val="4"/>
        </w:numPr>
        <w:spacing w:after="120" w:before="0" w:line="276"/>
      </w:pPr>
      <w:r>
        <w:rPr>
          <w:rFonts w:ascii="Arial" w:cs="Arial" w:eastAsia="Arial" w:hAnsi="Arial"/>
          <w:b/>
          <w:bCs/>
          <w:color w:val="2C3340"/>
          <w:sz w:val="20"/>
          <w:szCs w:val="20"/>
        </w:rPr>
        <w:t xml:space="preserve">People are expensive. </w:t>
      </w:r>
      <w:r>
        <w:rPr>
          <w:rFonts w:ascii="Arial" w:cs="Arial" w:eastAsia="Arial" w:hAnsi="Arial"/>
          <w:color w:val="2C3340"/>
          <w:sz w:val="20"/>
          <w:szCs w:val="20"/>
        </w:rPr>
        <w:t xml:space="preserve">Manual UW makes small-business cyber hard to price profitably (Swiss Re theme). (Known narrative.)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1.4 How mature is this stuff?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200"/>
        <w:gridCol w:w="4200"/>
        <w:gridCol w:w="4680"/>
      </w:tblGrid>
      <w:tr>
        <w:trPr>
          <w:tblHeader/>
        </w:trPr>
        <w:tc>
          <w:tcPr>
            <w:tcW w:type="dxa" w:w="12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1B3A4B" w:val="clear"/>
            <w:vAlign w:val="center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Stage</w:t>
            </w:r>
          </w:p>
        </w:tc>
        <w:tc>
          <w:tcPr>
            <w:tcW w:type="dxa" w:w="42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1B3A4B" w:val="clear"/>
            <w:vAlign w:val="center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  <w:tc>
          <w:tcPr>
            <w:tcW w:type="dxa" w:w="4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1B3A4B" w:val="clear"/>
            <w:vAlign w:val="center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Where we are (Estimated)</w:t>
            </w:r>
          </w:p>
        </w:tc>
      </w:tr>
      <w:tr>
        <w:tc>
          <w:tcPr>
            <w:tcW w:type="dxa" w:w="12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H1</w:t>
            </w:r>
          </w:p>
        </w:tc>
        <w:tc>
          <w:tcPr>
            <w:tcW w:type="dxa" w:w="42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Chatbot / LLM that extracts forms</w:t>
            </w:r>
          </w:p>
        </w:tc>
        <w:tc>
          <w:tcPr>
            <w:tcW w:type="dxa" w:w="4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Common in pilots; easy to demo, easy to shrug off</w:t>
            </w:r>
          </w:p>
        </w:tc>
      </w:tr>
      <w:tr>
        <w:tc>
          <w:tcPr>
            <w:tcW w:type="dxa" w:w="12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H2</w:t>
            </w:r>
          </w:p>
        </w:tc>
        <w:tc>
          <w:tcPr>
            <w:tcW w:type="dxa" w:w="42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Specialist steps + conductor + human sign-off with sources cited</w:t>
            </w:r>
          </w:p>
        </w:tc>
        <w:tc>
          <w:tcPr>
            <w:tcW w:type="dxa" w:w="4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Early real deployments; RFPs starting to sound like this</w:t>
            </w:r>
          </w:p>
        </w:tc>
      </w:tr>
      <w:tr>
        <w:tc>
          <w:tcPr>
            <w:tcW w:type="dxa" w:w="12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H3</w:t>
            </w:r>
          </w:p>
        </w:tc>
        <w:tc>
          <w:tcPr>
            <w:tcW w:type="dxa" w:w="42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Always-on posture + learning from claims / IR</w:t>
            </w:r>
          </w:p>
        </w:tc>
        <w:tc>
          <w:tcPr>
            <w:tcW w:type="dxa" w:w="4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Mostly roadmap; lawyers and privilege get in the way</w:t>
            </w:r>
          </w:p>
        </w:tc>
      </w:tr>
    </w:tbl>
    <w:p>
      <w:pPr>
        <w:spacing w:after="100"/>
      </w:pPr>
    </w:p>
    <w:p>
      <w:pPr>
        <w:spacing w:after="120" w:before="0" w:line="276"/>
      </w:pPr>
      <w:r>
        <w:rPr>
          <w:rFonts w:ascii="Arial" w:cs="Arial" w:eastAsia="Arial" w:hAnsi="Arial"/>
          <w:color w:val="2C3340"/>
          <w:sz w:val="20"/>
          <w:szCs w:val="20"/>
        </w:rPr>
        <w:t xml:space="preserve">Most buyers sit between H1 and H2. If your RFP ends at “chatbot on the form,” you’re shopping for the wrong KPI. Soft-market discipline is the KPI.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1.5 Who buys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2400"/>
        <w:gridCol w:w="2400"/>
        <w:gridCol w:w="3600"/>
        <w:gridCol w:w="1680"/>
      </w:tblGrid>
      <w:tr>
        <w:trPr>
          <w:tblHeader/>
        </w:trPr>
        <w:tc>
          <w:tcPr>
            <w:tcW w:type="dxa" w:w="2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1B3A4B" w:val="clear"/>
            <w:vAlign w:val="center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Segment</w:t>
            </w:r>
          </w:p>
        </w:tc>
        <w:tc>
          <w:tcPr>
            <w:tcW w:type="dxa" w:w="2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1B3A4B" w:val="clear"/>
            <w:vAlign w:val="center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Buyer</w:t>
            </w:r>
          </w:p>
        </w:tc>
        <w:tc>
          <w:tcPr>
            <w:tcW w:type="dxa" w:w="36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1B3A4B" w:val="clear"/>
            <w:vAlign w:val="center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Need</w:t>
            </w:r>
          </w:p>
        </w:tc>
        <w:tc>
          <w:tcPr>
            <w:tcW w:type="dxa" w:w="1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1B3A4B" w:val="clear"/>
            <w:vAlign w:val="center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Fit</w:t>
            </w:r>
          </w:p>
        </w:tc>
      </w:tr>
      <w:tr>
        <w:tc>
          <w:tcPr>
            <w:tcW w:type="dxa" w:w="2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Specialty cyber MGA</w:t>
            </w:r>
          </w:p>
        </w:tc>
        <w:tc>
          <w:tcPr>
            <w:tcW w:type="dxa" w:w="2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Underwriters + ops</w:t>
            </w:r>
          </w:p>
        </w:tc>
        <w:tc>
          <w:tcPr>
            <w:tcW w:type="dxa" w:w="36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Speed, appetite discipline, maybe white-label</w:t>
            </w:r>
          </w:p>
        </w:tc>
        <w:tc>
          <w:tcPr>
            <w:tcW w:type="dxa" w:w="1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Carrier cyber desk</w:t>
            </w:r>
          </w:p>
        </w:tc>
        <w:tc>
          <w:tcPr>
            <w:tcW w:type="dxa" w:w="2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UW managers + IT / PAS owners</w:t>
            </w:r>
          </w:p>
        </w:tc>
        <w:tc>
          <w:tcPr>
            <w:tcW w:type="dxa" w:w="36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Integrations, audit, aggregation reports</w:t>
            </w:r>
          </w:p>
        </w:tc>
        <w:tc>
          <w:tcPr>
            <w:tcW w:type="dxa" w:w="1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Reinsurer / portfolio</w:t>
            </w:r>
          </w:p>
        </w:tc>
        <w:tc>
          <w:tcPr>
            <w:tcW w:type="dxa" w:w="2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Cat and cyber analytics</w:t>
            </w:r>
          </w:p>
        </w:tc>
        <w:tc>
          <w:tcPr>
            <w:tcW w:type="dxa" w:w="36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Exposure and accumulation</w:t>
            </w:r>
          </w:p>
        </w:tc>
        <w:tc>
          <w:tcPr>
            <w:tcW w:type="dxa" w:w="1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Medium (more model)</w:t>
            </w:r>
          </w:p>
        </w:tc>
      </w:tr>
      <w:tr>
        <w:tc>
          <w:tcPr>
            <w:tcW w:type="dxa" w:w="2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Broker / wholesaler</w:t>
            </w:r>
          </w:p>
        </w:tc>
        <w:tc>
          <w:tcPr>
            <w:tcW w:type="dxa" w:w="2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Placement teams</w:t>
            </w:r>
          </w:p>
        </w:tc>
        <w:tc>
          <w:tcPr>
            <w:tcW w:type="dxa" w:w="36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Complete submissions, posture story</w:t>
            </w:r>
          </w:p>
        </w:tc>
        <w:tc>
          <w:tcPr>
            <w:tcW w:type="dxa" w:w="1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Adjacent</w:t>
            </w:r>
          </w:p>
        </w:tc>
      </w:tr>
      <w:tr>
        <w:tc>
          <w:tcPr>
            <w:tcW w:type="dxa" w:w="2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Insured / CISO</w:t>
            </w:r>
          </w:p>
        </w:tc>
        <w:tc>
          <w:tcPr>
            <w:tcW w:type="dxa" w:w="2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Coverage buyers</w:t>
            </w:r>
          </w:p>
        </w:tc>
        <w:tc>
          <w:tcPr>
            <w:tcW w:type="dxa" w:w="36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Not the assistant buyer</w:t>
            </w:r>
          </w:p>
        </w:tc>
        <w:tc>
          <w:tcPr>
            <w:tcW w:type="dxa" w:w="1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Low (InsurSec)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1.6 Bigger forces in play</w:t>
      </w:r>
    </w:p>
    <w:p>
      <w:pPr>
        <w:pStyle w:val="ListParagraph"/>
        <w:numPr>
          <w:ilvl w:val="0"/>
          <w:numId w:val="5"/>
        </w:numPr>
        <w:spacing w:after="120" w:before="0" w:line="276"/>
      </w:pPr>
      <w:r>
        <w:rPr>
          <w:rFonts w:ascii="Arial" w:cs="Arial" w:eastAsia="Arial" w:hAnsi="Arial"/>
          <w:color w:val="2C3340"/>
          <w:sz w:val="20"/>
          <w:szCs w:val="20"/>
        </w:rPr>
        <w:t xml:space="preserve">Rates stay soft while claim severity, lawsuits, and business interruption keep worrying people. Tools must protect selection, not only speed.</w:t>
      </w:r>
    </w:p>
    <w:p>
      <w:pPr>
        <w:pStyle w:val="ListParagraph"/>
        <w:numPr>
          <w:ilvl w:val="0"/>
          <w:numId w:val="5"/>
        </w:numPr>
        <w:spacing w:after="120" w:before="0" w:line="276"/>
      </w:pPr>
      <w:r>
        <w:rPr>
          <w:rFonts w:ascii="Arial" w:cs="Arial" w:eastAsia="Arial" w:hAnsi="Arial"/>
          <w:color w:val="2C3340"/>
          <w:sz w:val="20"/>
          <w:szCs w:val="20"/>
        </w:rPr>
        <w:t xml:space="preserve">AI in underwriting is now governed (ISO 42001 talk; EU AI Act Art. 50 from Aug 2026).</w:t>
      </w:r>
    </w:p>
    <w:p>
      <w:pPr>
        <w:pStyle w:val="ListParagraph"/>
        <w:numPr>
          <w:ilvl w:val="0"/>
          <w:numId w:val="5"/>
        </w:numPr>
        <w:spacing w:after="120" w:before="0" w:line="276"/>
      </w:pPr>
      <w:r>
        <w:rPr>
          <w:rFonts w:ascii="Arial" w:cs="Arial" w:eastAsia="Arial" w:hAnsi="Arial"/>
          <w:color w:val="2C3340"/>
          <w:sz w:val="20"/>
          <w:szCs w:val="20"/>
        </w:rPr>
        <w:t xml:space="preserve">Carriers buy cyber tech shops (Travelers–Corvus) when they want to own signal-backed underwriting.</w:t>
      </w:r>
    </w:p>
    <w:p>
      <w:pPr>
        <w:pStyle w:val="ListParagraph"/>
        <w:numPr>
          <w:ilvl w:val="0"/>
          <w:numId w:val="5"/>
        </w:numPr>
        <w:spacing w:after="120" w:before="0" w:line="276"/>
      </w:pPr>
      <w:r>
        <w:rPr>
          <w:rFonts w:ascii="Arial" w:cs="Arial" w:eastAsia="Arial" w:hAnsi="Arial"/>
          <w:color w:val="2C3340"/>
          <w:sz w:val="20"/>
          <w:szCs w:val="20"/>
        </w:rPr>
        <w:t xml:space="preserve">Rules and standards (DORA, NIS2, NIST CSF 2.0, ISO 27001:2022) change what “good evidence” looks like.</w:t>
      </w:r>
    </w:p>
    <w:p>
      <w:pPr>
        <w:pStyle w:val="ListParagraph"/>
        <w:numPr>
          <w:ilvl w:val="0"/>
          <w:numId w:val="5"/>
        </w:numPr>
        <w:spacing w:after="120" w:before="0" w:line="276"/>
      </w:pPr>
      <w:r>
        <w:rPr>
          <w:rFonts w:ascii="Arial" w:cs="Arial" w:eastAsia="Arial" w:hAnsi="Arial"/>
          <w:color w:val="2C3340"/>
          <w:sz w:val="20"/>
          <w:szCs w:val="20"/>
        </w:rPr>
        <w:t xml:space="preserve">Threats move hourly. Annual questionnaire snapshots as a method are getting stale even if policies still renew yearly. (Estimated commercial read.)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2. How the Market Splits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800"/>
        <w:gridCol w:w="3600"/>
        <w:gridCol w:w="4680"/>
      </w:tblGrid>
      <w:tr>
        <w:trPr>
          <w:tblHeader/>
        </w:trPr>
        <w:tc>
          <w:tcPr>
            <w:tcW w:type="dxa" w:w="18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1B3A4B" w:val="clear"/>
            <w:vAlign w:val="center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Cut</w:t>
            </w:r>
          </w:p>
        </w:tc>
        <w:tc>
          <w:tcPr>
            <w:tcW w:type="dxa" w:w="36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1B3A4B" w:val="clear"/>
            <w:vAlign w:val="center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Segments</w:t>
            </w:r>
          </w:p>
        </w:tc>
        <w:tc>
          <w:tcPr>
            <w:tcW w:type="dxa" w:w="4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1B3A4B" w:val="clear"/>
            <w:vAlign w:val="center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Planning note</w:t>
            </w:r>
          </w:p>
        </w:tc>
      </w:tr>
      <w:tr>
        <w:tc>
          <w:tcPr>
            <w:tcW w:type="dxa" w:w="18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Buyer size</w:t>
            </w:r>
          </w:p>
        </w:tc>
        <w:tc>
          <w:tcPr>
            <w:tcW w:type="dxa" w:w="36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Small desk · Mid specialty · Huge carrier</w:t>
            </w:r>
          </w:p>
        </w:tc>
        <w:tc>
          <w:tcPr>
            <w:tcW w:type="dxa" w:w="4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Mid specialty is the sweet spot for standalone tools</w:t>
            </w:r>
          </w:p>
        </w:tc>
      </w:tr>
      <w:tr>
        <w:tc>
          <w:tcPr>
            <w:tcW w:type="dxa" w:w="18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Geography</w:t>
            </w:r>
          </w:p>
        </w:tc>
        <w:tc>
          <w:tcPr>
            <w:tcW w:type="dxa" w:w="36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US · UK/Lloyd’s · EU · APAC / IMEA</w:t>
            </w:r>
          </w:p>
        </w:tc>
        <w:tc>
          <w:tcPr>
            <w:tcW w:type="dxa" w:w="4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U.S. leads premium &amp; InsurSec; EU adds evidence rules; IMEA −14% cyber Q2 2026</w:t>
            </w:r>
          </w:p>
        </w:tc>
      </w:tr>
      <w:tr>
        <w:tc>
          <w:tcPr>
            <w:tcW w:type="dxa" w:w="18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Product type</w:t>
            </w:r>
          </w:p>
        </w:tc>
        <w:tc>
          <w:tcPr>
            <w:tcW w:type="dxa" w:w="36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Digitize · Gap check · Exposure AI · Portfolio · Full workbench</w:t>
            </w:r>
          </w:p>
        </w:tc>
        <w:tc>
          <w:tcPr>
            <w:tcW w:type="dxa" w:w="4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Winners stack layers. One score is not a product.</w:t>
            </w:r>
          </w:p>
        </w:tc>
      </w:tr>
      <w:tr>
        <w:tc>
          <w:tcPr>
            <w:tcW w:type="dxa" w:w="18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Pricing</w:t>
            </w:r>
          </w:p>
        </w:tc>
        <w:tc>
          <w:tcPr>
            <w:tcW w:type="dxa" w:w="36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Seat · Per submission · Platform · White-label · Bundled capacity</w:t>
            </w:r>
          </w:p>
        </w:tc>
        <w:tc>
          <w:tcPr>
            <w:tcW w:type="dxa" w:w="4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White-label works for first installs; SaaS needs hours-saved story</w:t>
            </w:r>
          </w:p>
        </w:tc>
      </w:tr>
      <w:tr>
        <w:tc>
          <w:tcPr>
            <w:tcW w:type="dxa" w:w="18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Use cases</w:t>
            </w:r>
          </w:p>
        </w:tc>
        <w:tc>
          <w:tcPr>
            <w:tcW w:type="dxa" w:w="36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New business · Renewal · Referrals · Book watch · Broker follow-ups</w:t>
            </w:r>
          </w:p>
        </w:tc>
        <w:tc>
          <w:tcPr>
            <w:tcW w:type="dxa" w:w="4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Soft market → new business/renewals; supervisors → book watch</w:t>
            </w:r>
          </w:p>
        </w:tc>
      </w:tr>
      <w:tr>
        <w:tc>
          <w:tcPr>
            <w:tcW w:type="dxa" w:w="18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Maturity</w:t>
            </w:r>
          </w:p>
        </w:tc>
        <w:tc>
          <w:tcPr>
            <w:tcW w:type="dxa" w:w="36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Email · Rules PAS · H1 chat · H2 orchestrated · H3 loop</w:t>
            </w:r>
          </w:p>
        </w:tc>
        <w:tc>
          <w:tcPr>
            <w:tcW w:type="dxa" w:w="4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Most specialty desks still closer to email than H2</w:t>
            </w:r>
          </w:p>
        </w:tc>
      </w:tr>
      <w:tr>
        <w:tc>
          <w:tcPr>
            <w:tcW w:type="dxa" w:w="18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Risk class</w:t>
            </w:r>
          </w:p>
        </w:tc>
        <w:tc>
          <w:tcPr>
            <w:tcW w:type="dxa" w:w="36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SME · Mid-market · Industrial/OT · Tech E&amp;O nearby</w:t>
            </w:r>
          </w:p>
        </w:tc>
        <w:tc>
          <w:tcPr>
            <w:tcW w:type="dxa" w:w="4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OT/industrial burns hours — clearer ROI for deep assistants</w:t>
            </w:r>
          </w:p>
        </w:tc>
      </w:tr>
    </w:tbl>
    <w:p>
      <w:pPr>
        <w:spacing w:after="120"/>
      </w:pPr>
    </w:p>
    <w:p>
      <w:pPr>
        <w:spacing w:after="120" w:before="0" w:line="276"/>
      </w:pPr>
      <w:r>
        <w:rPr>
          <w:rFonts w:ascii="Arial" w:cs="Arial" w:eastAsia="Arial" w:hAnsi="Arial"/>
          <w:b/>
          <w:bCs/>
          <w:color w:val="2C3340"/>
          <w:sz w:val="20"/>
          <w:szCs w:val="20"/>
        </w:rPr>
        <w:t xml:space="preserve">Spend ballpark (Estimated, not a market size): </w:t>
      </w:r>
      <w:r>
        <w:rPr>
          <w:rFonts w:ascii="Arial" w:cs="Arial" w:eastAsia="Arial" w:hAnsi="Arial"/>
          <w:color w:val="2C3340"/>
          <w:sz w:val="20"/>
          <w:szCs w:val="20"/>
        </w:rPr>
        <w:t xml:space="preserve">A mid-sized cyber desk handling hundreds to a few thousand submissions a year can often justify </w:t>
      </w:r>
      <w:r>
        <w:rPr>
          <w:rFonts w:ascii="Arial" w:cs="Arial" w:eastAsia="Arial" w:hAnsi="Arial"/>
          <w:b/>
          <w:bCs/>
          <w:color w:val="2C3340"/>
          <w:sz w:val="20"/>
          <w:szCs w:val="20"/>
        </w:rPr>
        <w:t xml:space="preserve">six figures a year</w:t>
      </w:r>
      <w:r>
        <w:rPr>
          <w:rFonts w:ascii="Arial" w:cs="Arial" w:eastAsia="Arial" w:hAnsi="Arial"/>
          <w:color w:val="2C3340"/>
          <w:sz w:val="20"/>
          <w:szCs w:val="20"/>
        </w:rPr>
        <w:t xml:space="preserve"> if the tool saves 30–60 minutes per file and catches bad control claims—and plugs into the policy system. Exact WTP is still fuzzy without primary interviews.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3. Who’s Who</w:t>
      </w:r>
    </w:p>
    <w:p>
      <w:pPr>
        <w:spacing w:after="120" w:before="0" w:line="276"/>
      </w:pPr>
      <w:r>
        <w:rPr>
          <w:rFonts w:ascii="Arial" w:cs="Arial" w:eastAsia="Arial" w:hAnsi="Arial"/>
          <w:color w:val="2C3340"/>
          <w:sz w:val="20"/>
          <w:szCs w:val="20"/>
        </w:rPr>
        <w:t xml:space="preserve">Leader / Challenger / … labels are our sorting hat for this brief—not a Gartner Magic Quadrant. Strengths and weaknesses are inferred from public positioning and how insurance tech usually works.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680"/>
        <w:gridCol w:w="1680"/>
        <w:gridCol w:w="2400"/>
        <w:gridCol w:w="2160"/>
        <w:gridCol w:w="2160"/>
      </w:tblGrid>
      <w:tr>
        <w:trPr>
          <w:tblHeader/>
        </w:trPr>
        <w:tc>
          <w:tcPr>
            <w:tcW w:type="dxa" w:w="1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1B3A4B" w:val="clear"/>
            <w:vAlign w:val="center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Vendor</w:t>
            </w:r>
          </w:p>
        </w:tc>
        <w:tc>
          <w:tcPr>
            <w:tcW w:type="dxa" w:w="1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1B3A4B" w:val="clear"/>
            <w:vAlign w:val="center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Bucket</w:t>
            </w:r>
          </w:p>
        </w:tc>
        <w:tc>
          <w:tcPr>
            <w:tcW w:type="dxa" w:w="2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1B3A4B" w:val="clear"/>
            <w:vAlign w:val="center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Strengths</w:t>
            </w:r>
          </w:p>
        </w:tc>
        <w:tc>
          <w:tcPr>
            <w:tcW w:type="dxa" w:w="216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1B3A4B" w:val="clear"/>
            <w:vAlign w:val="center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Weaknesses</w:t>
            </w:r>
          </w:p>
        </w:tc>
        <w:tc>
          <w:tcPr>
            <w:tcW w:type="dxa" w:w="216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1B3A4B" w:val="clear"/>
            <w:vAlign w:val="center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Likely path</w:t>
            </w:r>
          </w:p>
        </w:tc>
      </w:tr>
      <w:tr>
        <w:tc>
          <w:tcPr>
            <w:tcW w:type="dxa" w:w="1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Cytora</w:t>
            </w:r>
          </w:p>
        </w:tc>
        <w:tc>
          <w:tcPr>
            <w:tcW w:type="dxa" w:w="1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Leader (workflow)</w:t>
            </w:r>
          </w:p>
        </w:tc>
        <w:tc>
          <w:tcPr>
            <w:tcW w:type="dxa" w:w="2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Digitization at scale; appetite routing; cyber enrichment partners</w:t>
            </w:r>
          </w:p>
        </w:tc>
        <w:tc>
          <w:tcPr>
            <w:tcW w:type="dxa" w:w="216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Not cyber-only; horizontal UW OS</w:t>
            </w:r>
          </w:p>
        </w:tc>
        <w:tc>
          <w:tcPr>
            <w:tcW w:type="dxa" w:w="216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Deepen cyber packs; multi-line intake</w:t>
            </w:r>
          </w:p>
        </w:tc>
      </w:tr>
      <w:tr>
        <w:tc>
          <w:tcPr>
            <w:tcW w:type="dxa" w:w="1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Guidewire (+ Cyence)</w:t>
            </w:r>
          </w:p>
        </w:tc>
        <w:tc>
          <w:tcPr>
            <w:tcW w:type="dxa" w:w="1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Leader (core)</w:t>
            </w:r>
          </w:p>
        </w:tc>
        <w:tc>
          <w:tcPr>
            <w:tcW w:type="dxa" w:w="2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Owns many carrier policy systems; Cyence portfolio models</w:t>
            </w:r>
          </w:p>
        </w:tc>
        <w:tc>
          <w:tcPr>
            <w:tcW w:type="dxa" w:w="216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Heavy; assistant UX secondary</w:t>
            </w:r>
          </w:p>
        </w:tc>
        <w:tc>
          <w:tcPr>
            <w:tcW w:type="dxa" w:w="216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Embed assistive UW in PolicyCenter</w:t>
            </w:r>
          </w:p>
        </w:tc>
      </w:tr>
      <w:tr>
        <w:tc>
          <w:tcPr>
            <w:tcW w:type="dxa" w:w="1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Concirrus (Inspire)</w:t>
            </w:r>
          </w:p>
        </w:tc>
        <w:tc>
          <w:tcPr>
            <w:tcW w:type="dxa" w:w="1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Challenger</w:t>
            </w:r>
          </w:p>
        </w:tc>
        <w:tc>
          <w:tcPr>
            <w:tcW w:type="dxa" w:w="2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Specialty MGA/carrier focus; AI governance story</w:t>
            </w:r>
          </w:p>
        </w:tc>
        <w:tc>
          <w:tcPr>
            <w:tcW w:type="dxa" w:w="216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Must prove cyber depth</w:t>
            </w:r>
          </w:p>
        </w:tc>
        <w:tc>
          <w:tcPr>
            <w:tcW w:type="dxa" w:w="216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Grow cyber modules; greenfield stacks</w:t>
            </w:r>
          </w:p>
        </w:tc>
      </w:tr>
      <w:tr>
        <w:tc>
          <w:tcPr>
            <w:tcW w:type="dxa" w:w="1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DeNexus (DeRISK UWA)</w:t>
            </w:r>
          </w:p>
        </w:tc>
        <w:tc>
          <w:tcPr>
            <w:tcW w:type="dxa" w:w="1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Challenger</w:t>
            </w:r>
          </w:p>
        </w:tc>
        <w:tc>
          <w:tcPr>
            <w:tcW w:type="dxa" w:w="2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Multi-agent pipeline; OT niche; actuarial-style outputs</w:t>
            </w:r>
          </w:p>
        </w:tc>
        <w:tc>
          <w:tcPr>
            <w:tcW w:type="dxa" w:w="216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Smaller TAM; validation burden</w:t>
            </w:r>
          </w:p>
        </w:tc>
        <w:tc>
          <w:tcPr>
            <w:tcW w:type="dxa" w:w="216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Own industrial cyber; partner for PAS</w:t>
            </w:r>
          </w:p>
        </w:tc>
      </w:tr>
      <w:tr>
        <w:tc>
          <w:tcPr>
            <w:tcW w:type="dxa" w:w="1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BitSight (+ Moody’s)</w:t>
            </w:r>
          </w:p>
        </w:tc>
        <w:tc>
          <w:tcPr>
            <w:tcW w:type="dxa" w:w="1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Niche specialist</w:t>
            </w:r>
          </w:p>
        </w:tc>
        <w:tc>
          <w:tcPr>
            <w:tcW w:type="dxa" w:w="2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Huge coverage; insurers already buy feeds</w:t>
            </w:r>
          </w:p>
        </w:tc>
        <w:tc>
          <w:tcPr>
            <w:tcW w:type="dxa" w:w="216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Score ≠ decision file</w:t>
            </w:r>
          </w:p>
        </w:tc>
        <w:tc>
          <w:tcPr>
            <w:tcW w:type="dxa" w:w="216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Stay enricher; deepen UW packs</w:t>
            </w:r>
          </w:p>
        </w:tc>
      </w:tr>
      <w:tr>
        <w:tc>
          <w:tcPr>
            <w:tcW w:type="dxa" w:w="1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SecurityScorecard / Black Kite</w:t>
            </w:r>
          </w:p>
        </w:tc>
        <w:tc>
          <w:tcPr>
            <w:tcW w:type="dxa" w:w="1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Niche specialist</w:t>
            </w:r>
          </w:p>
        </w:tc>
        <w:tc>
          <w:tcPr>
            <w:tcW w:type="dxa" w:w="2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Continuous outside posture</w:t>
            </w:r>
          </w:p>
        </w:tc>
        <w:tc>
          <w:tcPr>
            <w:tcW w:type="dxa" w:w="216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Commodity risk; not full UW desk</w:t>
            </w:r>
          </w:p>
        </w:tc>
        <w:tc>
          <w:tcPr>
            <w:tcW w:type="dxa" w:w="216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Compete on packaging &amp; APIs</w:t>
            </w:r>
          </w:p>
        </w:tc>
      </w:tr>
      <w:tr>
        <w:tc>
          <w:tcPr>
            <w:tcW w:type="dxa" w:w="1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CyberCube</w:t>
            </w:r>
          </w:p>
        </w:tc>
        <w:tc>
          <w:tcPr>
            <w:tcW w:type="dxa" w:w="1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Niche specialist</w:t>
            </w:r>
          </w:p>
        </w:tc>
        <w:tc>
          <w:tcPr>
            <w:tcW w:type="dxa" w:w="2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Portfolio / systemic scenarios</w:t>
            </w:r>
          </w:p>
        </w:tc>
        <w:tc>
          <w:tcPr>
            <w:tcW w:type="dxa" w:w="216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Wrong tool for single-risk gap board</w:t>
            </w:r>
          </w:p>
        </w:tc>
        <w:tc>
          <w:tcPr>
            <w:tcW w:type="dxa" w:w="216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Capital layer; API into assistants</w:t>
            </w:r>
          </w:p>
        </w:tc>
      </w:tr>
      <w:tr>
        <w:tc>
          <w:tcPr>
            <w:tcW w:type="dxa" w:w="1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Deepinfo &amp; similar</w:t>
            </w:r>
          </w:p>
        </w:tc>
        <w:tc>
          <w:tcPr>
            <w:tcW w:type="dxa" w:w="1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Emerging</w:t>
            </w:r>
          </w:p>
        </w:tc>
        <w:tc>
          <w:tcPr>
            <w:tcW w:type="dxa" w:w="2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Continuous monitoring vs questionnaire</w:t>
            </w:r>
          </w:p>
        </w:tc>
        <w:tc>
          <w:tcPr>
            <w:tcW w:type="dxa" w:w="216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Needs carrier workflow to monetize</w:t>
            </w:r>
          </w:p>
        </w:tc>
        <w:tc>
          <w:tcPr>
            <w:tcW w:type="dxa" w:w="216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Sell evidence into assistants</w:t>
            </w:r>
          </w:p>
        </w:tc>
      </w:tr>
      <w:tr>
        <w:tc>
          <w:tcPr>
            <w:tcW w:type="dxa" w:w="1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ArxNimbus-class</w:t>
            </w:r>
          </w:p>
        </w:tc>
        <w:tc>
          <w:tcPr>
            <w:tcW w:type="dxa" w:w="1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Emerging</w:t>
            </w:r>
          </w:p>
        </w:tc>
        <w:tc>
          <w:tcPr>
            <w:tcW w:type="dxa" w:w="2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Exposure in money terms</w:t>
            </w:r>
          </w:p>
        </w:tc>
        <w:tc>
          <w:tcPr>
            <w:tcW w:type="dxa" w:w="216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Niche distribution; proof burden</w:t>
            </w:r>
          </w:p>
        </w:tc>
        <w:tc>
          <w:tcPr>
            <w:tcW w:type="dxa" w:w="216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Feed APIs into pricing engines</w:t>
            </w:r>
          </w:p>
        </w:tc>
      </w:tr>
      <w:tr>
        <w:tc>
          <w:tcPr>
            <w:tcW w:type="dxa" w:w="1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Coalition</w:t>
            </w:r>
          </w:p>
        </w:tc>
        <w:tc>
          <w:tcPr>
            <w:tcW w:type="dxa" w:w="1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Disruptor (substitute)</w:t>
            </w:r>
          </w:p>
        </w:tc>
        <w:tc>
          <w:tcPr>
            <w:tcW w:type="dxa" w:w="2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Insurance + monitoring + IR; fast quotes</w:t>
            </w:r>
          </w:p>
        </w:tc>
        <w:tc>
          <w:tcPr>
            <w:tcW w:type="dxa" w:w="216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Sells capacity—not a rival toolkit</w:t>
            </w:r>
          </w:p>
        </w:tc>
        <w:tc>
          <w:tcPr>
            <w:tcW w:type="dxa" w:w="216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Raises bar for fast cyber quote</w:t>
            </w:r>
          </w:p>
        </w:tc>
      </w:tr>
      <w:tr>
        <w:tc>
          <w:tcPr>
            <w:tcW w:type="dxa" w:w="1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At-Bay</w:t>
            </w:r>
          </w:p>
        </w:tc>
        <w:tc>
          <w:tcPr>
            <w:tcW w:type="dxa" w:w="1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Disruptor (substitute)</w:t>
            </w:r>
          </w:p>
        </w:tc>
        <w:tc>
          <w:tcPr>
            <w:tcW w:type="dxa" w:w="2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Insurance + MDR; scan-driven speed</w:t>
            </w:r>
          </w:p>
        </w:tc>
        <w:tc>
          <w:tcPr>
            <w:tcW w:type="dxa" w:w="216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Not a multi-carrier toolkit</w:t>
            </w:r>
          </w:p>
        </w:tc>
        <w:tc>
          <w:tcPr>
            <w:tcW w:type="dxa" w:w="216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Presses SMB–mid on speed &amp; security</w:t>
            </w:r>
          </w:p>
        </w:tc>
      </w:tr>
      <w:tr>
        <w:tc>
          <w:tcPr>
            <w:tcW w:type="dxa" w:w="1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Cowbell</w:t>
            </w:r>
          </w:p>
        </w:tc>
        <w:tc>
          <w:tcPr>
            <w:tcW w:type="dxa" w:w="1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Disruptor (substitute)</w:t>
            </w:r>
          </w:p>
        </w:tc>
        <w:tc>
          <w:tcPr>
            <w:tcW w:type="dxa" w:w="2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Continuous scoring; SMB velocity</w:t>
            </w:r>
          </w:p>
        </w:tc>
        <w:tc>
          <w:tcPr>
            <w:tcW w:type="dxa" w:w="216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Less room for enterprise depth</w:t>
            </w:r>
          </w:p>
        </w:tc>
        <w:tc>
          <w:tcPr>
            <w:tcW w:type="dxa" w:w="216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Owns SMB STP; forces legacy automation</w:t>
            </w:r>
          </w:p>
        </w:tc>
      </w:tr>
      <w:tr>
        <w:tc>
          <w:tcPr>
            <w:tcW w:type="dxa" w:w="1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Resilience</w:t>
            </w:r>
          </w:p>
        </w:tc>
        <w:tc>
          <w:tcPr>
            <w:tcW w:type="dxa" w:w="1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Disruptor (substitute)</w:t>
            </w:r>
          </w:p>
        </w:tc>
        <w:tc>
          <w:tcPr>
            <w:tcW w:type="dxa" w:w="2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Risk in dollar language for boards</w:t>
            </w:r>
          </w:p>
        </w:tc>
        <w:tc>
          <w:tcPr>
            <w:tcW w:type="dxa" w:w="216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Less portal-speed story</w:t>
            </w:r>
          </w:p>
        </w:tc>
        <w:tc>
          <w:tcPr>
            <w:tcW w:type="dxa" w:w="216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Pulls buyers toward quant + engineering</w:t>
            </w:r>
          </w:p>
        </w:tc>
      </w:tr>
      <w:tr>
        <w:tc>
          <w:tcPr>
            <w:tcW w:type="dxa" w:w="1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Corvus by Travelers</w:t>
            </w:r>
          </w:p>
        </w:tc>
        <w:tc>
          <w:tcPr>
            <w:tcW w:type="dxa" w:w="1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Disruptor (acquired)</w:t>
            </w:r>
          </w:p>
        </w:tc>
        <w:tc>
          <w:tcPr>
            <w:tcW w:type="dxa" w:w="2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Carrier balance sheet + Smart Cyber</w:t>
            </w:r>
          </w:p>
        </w:tc>
        <w:tc>
          <w:tcPr>
            <w:tcW w:type="dxa" w:w="216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Integration risk; wholesale focus</w:t>
            </w:r>
          </w:p>
        </w:tc>
        <w:tc>
          <w:tcPr>
            <w:tcW w:type="dxa" w:w="216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Case study: buy the tech MGU</w:t>
            </w:r>
          </w:p>
        </w:tc>
      </w:tr>
      <w:tr>
        <w:tc>
          <w:tcPr>
            <w:tcW w:type="dxa" w:w="1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Beazley / AIG / Chubb / AXA XL</w:t>
            </w:r>
          </w:p>
        </w:tc>
        <w:tc>
          <w:tcPr>
            <w:tcW w:type="dxa" w:w="1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Incumbent capacity</w:t>
            </w:r>
          </w:p>
        </w:tc>
        <w:tc>
          <w:tcPr>
            <w:tcW w:type="dxa" w:w="2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Panel quality, claims muscle, big limits</w:t>
            </w:r>
          </w:p>
        </w:tc>
        <w:tc>
          <w:tcPr>
            <w:tcW w:type="dxa" w:w="216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Digital UW experience varies</w:t>
            </w:r>
          </w:p>
        </w:tc>
        <w:tc>
          <w:tcPr>
            <w:tcW w:type="dxa" w:w="216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Buy, partner, or build</w:t>
            </w:r>
          </w:p>
        </w:tc>
      </w:tr>
    </w:tbl>
    <w:p>
      <w:pPr>
        <w:spacing w:after="140"/>
      </w:pPr>
    </w:p>
    <w:p>
      <w:pPr>
        <w:spacing w:after="80" w:before="0" w:line="276"/>
      </w:pP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Simple positioning map (Estimated)</w:t>
      </w:r>
    </w:p>
    <w:p>
      <w:pPr>
        <w:pStyle w:val="ListParagraph"/>
        <w:numPr>
          <w:ilvl w:val="0"/>
          <w:numId w:val="6"/>
        </w:numPr>
        <w:spacing w:after="120" w:before="0" w:line="276"/>
      </w:pPr>
      <w:r>
        <w:rPr>
          <w:rFonts w:ascii="Arial" w:cs="Arial" w:eastAsia="Arial" w:hAnsi="Arial"/>
          <w:b/>
          <w:bCs/>
          <w:color w:val="2C3340"/>
          <w:sz w:val="20"/>
          <w:szCs w:val="20"/>
        </w:rPr>
        <w:t xml:space="preserve">Win as an assistant: </w:t>
      </w:r>
      <w:r>
        <w:rPr>
          <w:rFonts w:ascii="Arial" w:cs="Arial" w:eastAsia="Arial" w:hAnsi="Arial"/>
          <w:color w:val="2C3340"/>
          <w:sz w:val="20"/>
          <w:szCs w:val="20"/>
        </w:rPr>
        <w:t xml:space="preserve">gap check + appetite + decision file + book alert + policy-system sync</w:t>
      </w:r>
    </w:p>
    <w:p>
      <w:pPr>
        <w:pStyle w:val="ListParagraph"/>
        <w:numPr>
          <w:ilvl w:val="0"/>
          <w:numId w:val="6"/>
        </w:numPr>
        <w:spacing w:after="120" w:before="0" w:line="276"/>
      </w:pPr>
      <w:r>
        <w:rPr>
          <w:rFonts w:ascii="Arial" w:cs="Arial" w:eastAsia="Arial" w:hAnsi="Arial"/>
          <w:b/>
          <w:bCs/>
          <w:color w:val="2C3340"/>
          <w:sz w:val="20"/>
          <w:szCs w:val="20"/>
        </w:rPr>
        <w:t xml:space="preserve">Partner: </w:t>
      </w:r>
      <w:r>
        <w:rPr>
          <w:rFonts w:ascii="Arial" w:cs="Arial" w:eastAsia="Arial" w:hAnsi="Arial"/>
          <w:color w:val="2C3340"/>
          <w:sz w:val="20"/>
          <w:szCs w:val="20"/>
        </w:rPr>
        <w:t xml:space="preserve">ratings, continuous monitoring, cat engines</w:t>
      </w:r>
    </w:p>
    <w:p>
      <w:pPr>
        <w:pStyle w:val="ListParagraph"/>
        <w:numPr>
          <w:ilvl w:val="0"/>
          <w:numId w:val="6"/>
        </w:numPr>
        <w:spacing w:after="120" w:before="0" w:line="276"/>
      </w:pPr>
      <w:r>
        <w:rPr>
          <w:rFonts w:ascii="Arial" w:cs="Arial" w:eastAsia="Arial" w:hAnsi="Arial"/>
          <w:b/>
          <w:bCs/>
          <w:color w:val="2C3340"/>
          <w:sz w:val="20"/>
          <w:szCs w:val="20"/>
        </w:rPr>
        <w:t xml:space="preserve">Don’t confuse yourself with: </w:t>
      </w:r>
      <w:r>
        <w:rPr>
          <w:rFonts w:ascii="Arial" w:cs="Arial" w:eastAsia="Arial" w:hAnsi="Arial"/>
          <w:color w:val="2C3340"/>
          <w:sz w:val="20"/>
          <w:szCs w:val="20"/>
        </w:rPr>
        <w:t xml:space="preserve">becoming the next Coalition (wrong business for pure software)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4. How Competition Works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Barriers</w:t>
      </w:r>
    </w:p>
    <w:p>
      <w:pPr>
        <w:pStyle w:val="ListParagraph"/>
        <w:numPr>
          <w:ilvl w:val="0"/>
          <w:numId w:val="7"/>
        </w:numPr>
        <w:spacing w:after="120" w:before="0" w:line="276"/>
      </w:pPr>
      <w:r>
        <w:rPr>
          <w:rFonts w:ascii="Arial" w:cs="Arial" w:eastAsia="Arial" w:hAnsi="Arial"/>
          <w:color w:val="2C3340"/>
          <w:sz w:val="20"/>
          <w:szCs w:val="20"/>
        </w:rPr>
        <w:t xml:space="preserve">Messy domain reality: cyber apps, OT supplements, broker chaos, policy-system schemas</w:t>
      </w:r>
    </w:p>
    <w:p>
      <w:pPr>
        <w:pStyle w:val="ListParagraph"/>
        <w:numPr>
          <w:ilvl w:val="0"/>
          <w:numId w:val="7"/>
        </w:numPr>
        <w:spacing w:after="120" w:before="0" w:line="276"/>
      </w:pPr>
      <w:r>
        <w:rPr>
          <w:rFonts w:ascii="Arial" w:cs="Arial" w:eastAsia="Arial" w:hAnsi="Arial"/>
          <w:color w:val="2C3340"/>
          <w:sz w:val="20"/>
          <w:szCs w:val="20"/>
        </w:rPr>
        <w:t xml:space="preserve">Trust: underwriters and compliance hate black-box “decline this” with no cite</w:t>
      </w:r>
    </w:p>
    <w:p>
      <w:pPr>
        <w:pStyle w:val="ListParagraph"/>
        <w:numPr>
          <w:ilvl w:val="0"/>
          <w:numId w:val="7"/>
        </w:numPr>
        <w:spacing w:after="120" w:before="0" w:line="276"/>
      </w:pPr>
      <w:r>
        <w:rPr>
          <w:rFonts w:ascii="Arial" w:cs="Arial" w:eastAsia="Arial" w:hAnsi="Arial"/>
          <w:color w:val="2C3340"/>
          <w:sz w:val="20"/>
          <w:szCs w:val="20"/>
        </w:rPr>
        <w:t xml:space="preserve">Distribution: long insurance sales cycles and panel politics</w:t>
      </w:r>
    </w:p>
    <w:p>
      <w:pPr>
        <w:pStyle w:val="ListParagraph"/>
        <w:numPr>
          <w:ilvl w:val="0"/>
          <w:numId w:val="7"/>
        </w:numPr>
        <w:spacing w:after="120" w:before="0" w:line="276"/>
      </w:pPr>
      <w:r>
        <w:rPr>
          <w:rFonts w:ascii="Arial" w:cs="Arial" w:eastAsia="Arial" w:hAnsi="Arial"/>
          <w:color w:val="2C3340"/>
          <w:sz w:val="20"/>
          <w:szCs w:val="20"/>
        </w:rPr>
        <w:t xml:space="preserve">Signal cost: useful enrichment often means paying for BitSight-class feeds</w:t>
      </w:r>
    </w:p>
    <w:p>
      <w:pPr>
        <w:pStyle w:val="ListParagraph"/>
        <w:numPr>
          <w:ilvl w:val="0"/>
          <w:numId w:val="7"/>
        </w:numPr>
        <w:spacing w:after="120" w:before="0" w:line="276"/>
      </w:pPr>
      <w:r>
        <w:rPr>
          <w:rFonts w:ascii="Arial" w:cs="Arial" w:eastAsia="Arial" w:hAnsi="Arial"/>
          <w:color w:val="2C3340"/>
          <w:sz w:val="20"/>
          <w:szCs w:val="20"/>
        </w:rPr>
        <w:t xml:space="preserve">AI rules: transparency and human oversight, especially in the EU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Switching costs</w:t>
      </w:r>
    </w:p>
    <w:p>
      <w:pPr>
        <w:pStyle w:val="ListParagraph"/>
        <w:numPr>
          <w:ilvl w:val="0"/>
          <w:numId w:val="8"/>
        </w:numPr>
        <w:spacing w:after="120" w:before="0" w:line="276"/>
      </w:pPr>
      <w:r>
        <w:rPr>
          <w:rFonts w:ascii="Arial" w:cs="Arial" w:eastAsia="Arial" w:hAnsi="Arial"/>
          <w:b/>
          <w:bCs/>
          <w:color w:val="2C3340"/>
          <w:sz w:val="20"/>
          <w:szCs w:val="20"/>
        </w:rPr>
        <w:t xml:space="preserve">High </w:t>
      </w:r>
      <w:r>
        <w:rPr>
          <w:rFonts w:ascii="Arial" w:cs="Arial" w:eastAsia="Arial" w:hAnsi="Arial"/>
          <w:color w:val="2C3340"/>
          <w:sz w:val="20"/>
          <w:szCs w:val="20"/>
        </w:rPr>
        <w:t xml:space="preserve">once appetite rules, past decisions, and policy-system adapters live in the tool</w:t>
      </w:r>
    </w:p>
    <w:p>
      <w:pPr>
        <w:pStyle w:val="ListParagraph"/>
        <w:numPr>
          <w:ilvl w:val="0"/>
          <w:numId w:val="8"/>
        </w:numPr>
        <w:spacing w:after="120" w:before="0" w:line="276"/>
      </w:pPr>
      <w:r>
        <w:rPr>
          <w:rFonts w:ascii="Arial" w:cs="Arial" w:eastAsia="Arial" w:hAnsi="Arial"/>
          <w:b/>
          <w:bCs/>
          <w:color w:val="2C3340"/>
          <w:sz w:val="20"/>
          <w:szCs w:val="20"/>
        </w:rPr>
        <w:t xml:space="preserve">Medium </w:t>
      </w:r>
      <w:r>
        <w:rPr>
          <w:rFonts w:ascii="Arial" w:cs="Arial" w:eastAsia="Arial" w:hAnsi="Arial"/>
          <w:color w:val="2C3340"/>
          <w:sz w:val="20"/>
          <w:szCs w:val="20"/>
        </w:rPr>
        <w:t xml:space="preserve">for pure extraction chatbots (easy to swap)</w:t>
      </w:r>
    </w:p>
    <w:p>
      <w:pPr>
        <w:pStyle w:val="ListParagraph"/>
        <w:numPr>
          <w:ilvl w:val="0"/>
          <w:numId w:val="8"/>
        </w:numPr>
        <w:spacing w:after="120" w:before="0" w:line="276"/>
      </w:pPr>
      <w:r>
        <w:rPr>
          <w:rFonts w:ascii="Arial" w:cs="Arial" w:eastAsia="Arial" w:hAnsi="Arial"/>
          <w:b/>
          <w:bCs/>
          <w:color w:val="2C3340"/>
          <w:sz w:val="20"/>
          <w:szCs w:val="20"/>
        </w:rPr>
        <w:t xml:space="preserve">Lower </w:t>
      </w:r>
      <w:r>
        <w:rPr>
          <w:rFonts w:ascii="Arial" w:cs="Arial" w:eastAsia="Arial" w:hAnsi="Arial"/>
          <w:color w:val="2C3340"/>
          <w:sz w:val="20"/>
          <w:szCs w:val="20"/>
        </w:rPr>
        <w:t xml:space="preserve">for a lone score with no decision dossier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Pricing pressure</w:t>
      </w:r>
    </w:p>
    <w:p>
      <w:pPr>
        <w:spacing w:after="120" w:before="0" w:line="276"/>
      </w:pPr>
      <w:r>
        <w:rPr>
          <w:rFonts w:ascii="Arial" w:cs="Arial" w:eastAsia="Arial" w:hAnsi="Arial"/>
          <w:color w:val="2C3340"/>
          <w:sz w:val="20"/>
          <w:szCs w:val="20"/>
        </w:rPr>
        <w:t xml:space="preserve">Soft insurance market means you sell on hours saved and fewer bad risks—not an “AI tax.” Horizontal platforms can throw cyber in as a module and squeeze niche pricing. Consulting / white-label has thinner margins but an easier first conversation.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What still differentiates</w:t>
      </w:r>
    </w:p>
    <w:p>
      <w:pPr>
        <w:pStyle w:val="ListParagraph"/>
        <w:numPr>
          <w:ilvl w:val="0"/>
          <w:numId w:val="9"/>
        </w:numPr>
        <w:spacing w:after="120" w:before="0" w:line="276"/>
      </w:pPr>
      <w:r>
        <w:rPr>
          <w:rFonts w:ascii="Arial" w:cs="Arial" w:eastAsia="Arial" w:hAnsi="Arial"/>
          <w:color w:val="2C3340"/>
          <w:sz w:val="20"/>
          <w:szCs w:val="20"/>
        </w:rPr>
        <w:t xml:space="preserve">Quality of the gap board and the follow-up questions it generates</w:t>
      </w:r>
    </w:p>
    <w:p>
      <w:pPr>
        <w:pStyle w:val="ListParagraph"/>
        <w:numPr>
          <w:ilvl w:val="0"/>
          <w:numId w:val="9"/>
        </w:numPr>
        <w:spacing w:after="120" w:before="0" w:line="276"/>
      </w:pPr>
      <w:r>
        <w:rPr>
          <w:rFonts w:ascii="Arial" w:cs="Arial" w:eastAsia="Arial" w:hAnsi="Arial"/>
          <w:color w:val="2C3340"/>
          <w:sz w:val="20"/>
          <w:szCs w:val="20"/>
        </w:rPr>
        <w:t xml:space="preserve">Appetite rules you can version, test, and override with an audit log</w:t>
      </w:r>
    </w:p>
    <w:p>
      <w:pPr>
        <w:pStyle w:val="ListParagraph"/>
        <w:numPr>
          <w:ilvl w:val="0"/>
          <w:numId w:val="9"/>
        </w:numPr>
        <w:spacing w:after="120" w:before="0" w:line="276"/>
      </w:pPr>
      <w:r>
        <w:rPr>
          <w:rFonts w:ascii="Arial" w:cs="Arial" w:eastAsia="Arial" w:hAnsi="Arial"/>
          <w:color w:val="2C3340"/>
          <w:sz w:val="20"/>
          <w:szCs w:val="20"/>
        </w:rPr>
        <w:t xml:space="preserve">Explainability — cite the source; underwriter binds</w:t>
      </w:r>
    </w:p>
    <w:p>
      <w:pPr>
        <w:pStyle w:val="ListParagraph"/>
        <w:numPr>
          <w:ilvl w:val="0"/>
          <w:numId w:val="9"/>
        </w:numPr>
        <w:spacing w:after="120" w:before="0" w:line="276"/>
      </w:pPr>
      <w:r>
        <w:rPr>
          <w:rFonts w:ascii="Arial" w:cs="Arial" w:eastAsia="Arial" w:hAnsi="Arial"/>
          <w:color w:val="2C3340"/>
          <w:sz w:val="20"/>
          <w:szCs w:val="20"/>
        </w:rPr>
        <w:t xml:space="preserve">Book alerts that are useful without pretending to be a full catastrophe model</w:t>
      </w:r>
    </w:p>
    <w:p>
      <w:pPr>
        <w:pStyle w:val="ListParagraph"/>
        <w:numPr>
          <w:ilvl w:val="0"/>
          <w:numId w:val="9"/>
        </w:numPr>
        <w:spacing w:after="120" w:before="0" w:line="276"/>
      </w:pPr>
      <w:r>
        <w:rPr>
          <w:rFonts w:ascii="Arial" w:cs="Arial" w:eastAsia="Arial" w:hAnsi="Arial"/>
          <w:color w:val="2C3340"/>
          <w:sz w:val="20"/>
          <w:szCs w:val="20"/>
        </w:rPr>
        <w:t xml:space="preserve">Time-to-value inside the email + policy-system world desks already live in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Consolidation</w:t>
      </w:r>
    </w:p>
    <w:p>
      <w:pPr>
        <w:pStyle w:val="ListParagraph"/>
        <w:numPr>
          <w:ilvl w:val="0"/>
          <w:numId w:val="10"/>
        </w:numPr>
        <w:spacing w:after="120" w:before="0" w:line="276"/>
      </w:pPr>
      <w:r>
        <w:rPr>
          <w:rFonts w:ascii="Arial" w:cs="Arial" w:eastAsia="Arial" w:hAnsi="Arial"/>
          <w:b/>
          <w:bCs/>
          <w:color w:val="2C3340"/>
          <w:sz w:val="20"/>
          <w:szCs w:val="20"/>
        </w:rPr>
        <w:t xml:space="preserve">Known: </w:t>
      </w:r>
      <w:r>
        <w:rPr>
          <w:rFonts w:ascii="Arial" w:cs="Arial" w:eastAsia="Arial" w:hAnsi="Arial"/>
          <w:color w:val="2C3340"/>
          <w:sz w:val="20"/>
          <w:szCs w:val="20"/>
        </w:rPr>
        <w:t xml:space="preserve">Travelers–Corvus (~$435M, Jan 2024) — carriers buying tech MGUs to own signal-backed UW</w:t>
      </w:r>
    </w:p>
    <w:p>
      <w:pPr>
        <w:pStyle w:val="ListParagraph"/>
        <w:numPr>
          <w:ilvl w:val="0"/>
          <w:numId w:val="10"/>
        </w:numPr>
        <w:spacing w:after="120" w:before="0" w:line="276"/>
      </w:pPr>
      <w:r>
        <w:rPr>
          <w:rFonts w:ascii="Arial" w:cs="Arial" w:eastAsia="Arial" w:hAnsi="Arial"/>
          <w:b/>
          <w:bCs/>
          <w:color w:val="2C3340"/>
          <w:sz w:val="20"/>
          <w:szCs w:val="20"/>
        </w:rPr>
        <w:t xml:space="preserve">Estimated: </w:t>
      </w:r>
      <w:r>
        <w:rPr>
          <w:rFonts w:ascii="Arial" w:cs="Arial" w:eastAsia="Arial" w:hAnsi="Arial"/>
          <w:color w:val="2C3340"/>
          <w:sz w:val="20"/>
          <w:szCs w:val="20"/>
        </w:rPr>
        <w:t xml:space="preserve">More tuck-ins of enrichment vendors; specialty AI UW shops become targets</w:t>
      </w:r>
    </w:p>
    <w:p>
      <w:pPr>
        <w:pStyle w:val="ListParagraph"/>
        <w:numPr>
          <w:ilvl w:val="0"/>
          <w:numId w:val="10"/>
        </w:numPr>
        <w:spacing w:after="120" w:before="0" w:line="276"/>
      </w:pPr>
      <w:r>
        <w:rPr>
          <w:rFonts w:ascii="Arial" w:cs="Arial" w:eastAsia="Arial" w:hAnsi="Arial"/>
          <w:color w:val="2C3340"/>
          <w:sz w:val="20"/>
          <w:szCs w:val="20"/>
        </w:rPr>
        <w:t xml:space="preserve">Chatbot startups with no cyber spine: cheap exits or quiet deaths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Lock-in and substitutes</w:t>
      </w:r>
    </w:p>
    <w:p>
      <w:pPr>
        <w:spacing w:after="120" w:before="0" w:line="276"/>
      </w:pPr>
      <w:r>
        <w:rPr>
          <w:rFonts w:ascii="Arial" w:cs="Arial" w:eastAsia="Arial" w:hAnsi="Arial"/>
          <w:color w:val="2C3340"/>
          <w:sz w:val="20"/>
          <w:szCs w:val="20"/>
        </w:rPr>
        <w:t xml:space="preserve">Desks already run multi-vendor stacks. Assistants that become the hub gain gravity. InsurSec writers lock customers in at the policy layer.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3600"/>
        <w:gridCol w:w="1800"/>
        <w:gridCol w:w="4680"/>
      </w:tblGrid>
      <w:tr>
        <w:trPr>
          <w:tblHeader/>
        </w:trPr>
        <w:tc>
          <w:tcPr>
            <w:tcW w:type="dxa" w:w="36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1B3A4B" w:val="clear"/>
            <w:vAlign w:val="center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Substitute</w:t>
            </w:r>
          </w:p>
        </w:tc>
        <w:tc>
          <w:tcPr>
            <w:tcW w:type="dxa" w:w="18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1B3A4B" w:val="clear"/>
            <w:vAlign w:val="center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Threat</w:t>
            </w:r>
          </w:p>
        </w:tc>
        <w:tc>
          <w:tcPr>
            <w:tcW w:type="dxa" w:w="4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1B3A4B" w:val="clear"/>
            <w:vAlign w:val="center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Why</w:t>
            </w:r>
          </w:p>
        </w:tc>
      </w:tr>
      <w:tr>
        <w:tc>
          <w:tcPr>
            <w:tcW w:type="dxa" w:w="36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InsurSec MGA platforms</w:t>
            </w:r>
          </w:p>
        </w:tc>
        <w:tc>
          <w:tcPr>
            <w:tcW w:type="dxa" w:w="18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UW tooling lives inside the product</w:t>
            </w:r>
          </w:p>
        </w:tc>
      </w:tr>
      <w:tr>
        <w:tc>
          <w:tcPr>
            <w:tcW w:type="dxa" w:w="36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Core policy-system AI modules</w:t>
            </w:r>
          </w:p>
        </w:tc>
        <w:tc>
          <w:tcPr>
            <w:tcW w:type="dxa" w:w="18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Medium–High</w:t>
            </w:r>
          </w:p>
        </w:tc>
        <w:tc>
          <w:tcPr>
            <w:tcW w:type="dxa" w:w="4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Procurement likes one vendor</w:t>
            </w:r>
          </w:p>
        </w:tc>
      </w:tr>
      <w:tr>
        <w:tc>
          <w:tcPr>
            <w:tcW w:type="dxa" w:w="36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Ratings portal + spreadsheet</w:t>
            </w:r>
          </w:p>
        </w:tc>
        <w:tc>
          <w:tcPr>
            <w:tcW w:type="dxa" w:w="18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Status quo is sticky</w:t>
            </w:r>
          </w:p>
        </w:tc>
      </w:tr>
      <w:tr>
        <w:tc>
          <w:tcPr>
            <w:tcW w:type="dxa" w:w="36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Offshore / BPO underwriting ops</w:t>
            </w:r>
          </w:p>
        </w:tc>
        <w:tc>
          <w:tcPr>
            <w:tcW w:type="dxa" w:w="18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Labor arbitrage vs software</w:t>
            </w:r>
          </w:p>
        </w:tc>
      </w:tr>
      <w:tr>
        <w:tc>
          <w:tcPr>
            <w:tcW w:type="dxa" w:w="36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Broker portals alone</w:t>
            </w:r>
          </w:p>
        </w:tc>
        <w:tc>
          <w:tcPr>
            <w:tcW w:type="dxa" w:w="18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Low–Medium</w:t>
            </w:r>
          </w:p>
        </w:tc>
        <w:tc>
          <w:tcPr>
            <w:tcW w:type="dxa" w:w="4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They don’t own the bind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5. Forecast: Next 1–3 Years</w:t>
      </w:r>
    </w:p>
    <w:p>
      <w:pPr>
        <w:spacing w:after="80" w:before="0" w:line="276"/>
      </w:pP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Shared assumptions</w:t>
      </w:r>
    </w:p>
    <w:p>
      <w:pPr>
        <w:pStyle w:val="ListParagraph"/>
        <w:numPr>
          <w:ilvl w:val="0"/>
          <w:numId w:val="11"/>
        </w:numPr>
        <w:spacing w:after="120" w:before="0" w:line="276"/>
      </w:pPr>
      <w:r>
        <w:rPr>
          <w:rFonts w:ascii="Arial" w:cs="Arial" w:eastAsia="Arial" w:hAnsi="Arial"/>
          <w:color w:val="2C3340"/>
          <w:sz w:val="20"/>
          <w:szCs w:val="20"/>
        </w:rPr>
        <w:t xml:space="preserve">Cyber stays a real commercial line; ransomware, BI, and privacy losses don’t vanish</w:t>
      </w:r>
    </w:p>
    <w:p>
      <w:pPr>
        <w:pStyle w:val="ListParagraph"/>
        <w:numPr>
          <w:ilvl w:val="0"/>
          <w:numId w:val="11"/>
        </w:numPr>
        <w:spacing w:after="120" w:before="0" w:line="276"/>
      </w:pPr>
      <w:r>
        <w:rPr>
          <w:rFonts w:ascii="Arial" w:cs="Arial" w:eastAsia="Arial" w:hAnsi="Arial"/>
          <w:color w:val="2C3340"/>
          <w:sz w:val="20"/>
          <w:szCs w:val="20"/>
        </w:rPr>
        <w:t xml:space="preserve">Soft market eases but doesn’t flip hard overnight without a capital shock (Estimated)</w:t>
      </w:r>
    </w:p>
    <w:p>
      <w:pPr>
        <w:pStyle w:val="ListParagraph"/>
        <w:numPr>
          <w:ilvl w:val="0"/>
          <w:numId w:val="11"/>
        </w:numPr>
        <w:spacing w:after="120" w:before="0" w:line="276"/>
      </w:pPr>
      <w:r>
        <w:rPr>
          <w:rFonts w:ascii="Arial" w:cs="Arial" w:eastAsia="Arial" w:hAnsi="Arial"/>
          <w:color w:val="2C3340"/>
          <w:sz w:val="20"/>
          <w:szCs w:val="20"/>
        </w:rPr>
        <w:t xml:space="preserve">AI governance gets stricter, not looser</w:t>
      </w:r>
    </w:p>
    <w:p>
      <w:pPr>
        <w:pStyle w:val="ListParagraph"/>
        <w:numPr>
          <w:ilvl w:val="0"/>
          <w:numId w:val="11"/>
        </w:numPr>
        <w:spacing w:after="120" w:before="0" w:line="276"/>
      </w:pPr>
      <w:r>
        <w:rPr>
          <w:rFonts w:ascii="Arial" w:cs="Arial" w:eastAsia="Arial" w:hAnsi="Arial"/>
          <w:color w:val="2C3340"/>
          <w:sz w:val="20"/>
          <w:szCs w:val="20"/>
        </w:rPr>
        <w:t xml:space="preserve">No single open form standard replaces carrier-specific apps in this window</w:t>
      </w:r>
    </w:p>
    <w:p>
      <w:pPr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400"/>
        <w:gridCol w:w="3000"/>
        <w:gridCol w:w="3600"/>
        <w:gridCol w:w="2080"/>
      </w:tblGrid>
      <w:tr>
        <w:trPr>
          <w:tblHeader/>
        </w:trPr>
        <w:tc>
          <w:tcPr>
            <w:tcW w:type="dxa" w:w="1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1B3A4B" w:val="clear"/>
            <w:vAlign w:val="center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Scenario</w:t>
            </w:r>
          </w:p>
        </w:tc>
        <w:tc>
          <w:tcPr>
            <w:tcW w:type="dxa" w:w="30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1B3A4B" w:val="clear"/>
            <w:vAlign w:val="center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we’d have to believe</w:t>
            </w:r>
          </w:p>
        </w:tc>
        <w:tc>
          <w:tcPr>
            <w:tcW w:type="dxa" w:w="36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1B3A4B" w:val="clear"/>
            <w:vAlign w:val="center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probably happens</w:t>
            </w:r>
          </w:p>
        </w:tc>
        <w:tc>
          <w:tcPr>
            <w:tcW w:type="dxa" w:w="20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1B3A4B" w:val="clear"/>
            <w:vAlign w:val="center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Confidence</w:t>
            </w:r>
          </w:p>
        </w:tc>
      </w:tr>
      <w:tr>
        <w:tc>
          <w:tcPr>
            <w:tcW w:type="dxa" w:w="1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Base</w:t>
            </w:r>
          </w:p>
        </w:tc>
        <w:tc>
          <w:tcPr>
            <w:tcW w:type="dxa" w:w="30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Rate cuts keep slowing; vendors land a few reference deals; ratings stay partners; a couple more tuck-ins</w:t>
            </w:r>
          </w:p>
        </w:tc>
        <w:tc>
          <w:tcPr>
            <w:tcW w:type="dxa" w:w="36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Spend grows unevenly. Orchestrators with PAS depth win. Chat-only stalls.</w:t>
            </w:r>
          </w:p>
        </w:tc>
        <w:tc>
          <w:tcPr>
            <w:tcW w:type="dxa" w:w="20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Optimistic</w:t>
            </w:r>
          </w:p>
        </w:tc>
        <w:tc>
          <w:tcPr>
            <w:tcW w:type="dxa" w:w="30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Near-miss or loss-ratio spike; supervisors push aggregation; buyers standardize on decision files</w:t>
            </w:r>
          </w:p>
        </w:tc>
        <w:tc>
          <w:tcPr>
            <w:tcW w:type="dxa" w:w="36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Email/PDF displaced fast. Gap+appetite platforms charge more.</w:t>
            </w:r>
          </w:p>
        </w:tc>
        <w:tc>
          <w:tcPr>
            <w:tcW w:type="dxa" w:w="20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Low–Medium</w:t>
            </w:r>
          </w:p>
        </w:tc>
      </w:tr>
      <w:tr>
        <w:tc>
          <w:tcPr>
            <w:tcW w:type="dxa" w:w="1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Pessimistic</w:t>
            </w:r>
          </w:p>
        </w:tc>
        <w:tc>
          <w:tcPr>
            <w:tcW w:type="dxa" w:w="30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Soft market + carrier build/buy; InsurSec takes share; AI pilots fail ROI; data friction</w:t>
            </w:r>
          </w:p>
        </w:tc>
        <w:tc>
          <w:tcPr>
            <w:tcW w:type="dxa" w:w="36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Assistants become a PAS checkbox. Niche retreat to OT/APIs.</w:t>
            </w:r>
          </w:p>
        </w:tc>
        <w:tc>
          <w:tcPr>
            <w:tcW w:type="dxa" w:w="20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Medium</w:t>
            </w:r>
          </w:p>
        </w:tc>
      </w:tr>
    </w:tbl>
    <w:p>
      <w:pPr>
        <w:spacing w:after="140"/>
      </w:pPr>
    </w:p>
    <w:p>
      <w:pPr>
        <w:spacing w:after="120" w:before="0" w:line="276"/>
      </w:pPr>
      <w:r>
        <w:rPr>
          <w:rFonts w:ascii="Arial" w:cs="Arial" w:eastAsia="Arial" w:hAnsi="Arial"/>
          <w:b/>
          <w:bCs/>
          <w:color w:val="2C3340"/>
          <w:sz w:val="20"/>
          <w:szCs w:val="20"/>
        </w:rPr>
        <w:t xml:space="preserve">What could grow the category: </w:t>
      </w:r>
      <w:r>
        <w:rPr>
          <w:rFonts w:ascii="Arial" w:cs="Arial" w:eastAsia="Arial" w:hAnsi="Arial"/>
          <w:color w:val="2C3340"/>
          <w:sz w:val="20"/>
          <w:szCs w:val="20"/>
        </w:rPr>
        <w:t xml:space="preserve">quote-speed competition vs InsurSec; EU/UK evidence rules; specialty UW labor cost; board focus on aggregation; cheaper partner APIs.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color w:val="2C3340"/>
          <w:sz w:val="20"/>
          <w:szCs w:val="20"/>
        </w:rPr>
        <w:t xml:space="preserve">What could stall it: </w:t>
      </w:r>
      <w:r>
        <w:rPr>
          <w:rFonts w:ascii="Arial" w:cs="Arial" w:eastAsia="Arial" w:hAnsi="Arial"/>
          <w:color w:val="2C3340"/>
          <w:sz w:val="20"/>
          <w:szCs w:val="20"/>
        </w:rPr>
        <w:t xml:space="preserve">“Why not just use Coalition?”; painful PAS integrations; legal walls between claims/IR and UW; AI pilot fatigue; fake giant market-size stories.</w:t>
      </w:r>
    </w:p>
    <w:p>
      <w:pPr>
        <w:spacing w:after="80"/>
      </w:pPr>
    </w:p>
    <w:p>
      <w:pPr>
        <w:spacing w:after="80" w:before="0" w:line="276"/>
      </w:pP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Watch these dials</w:t>
      </w:r>
    </w:p>
    <w:p>
      <w:pPr>
        <w:pStyle w:val="ListParagraph"/>
        <w:numPr>
          <w:ilvl w:val="0"/>
          <w:numId w:val="12"/>
        </w:numPr>
        <w:spacing w:after="120" w:before="0" w:line="276"/>
      </w:pPr>
      <w:r>
        <w:rPr>
          <w:rFonts w:ascii="Arial" w:cs="Arial" w:eastAsia="Arial" w:hAnsi="Arial"/>
          <w:color w:val="2C3340"/>
          <w:sz w:val="20"/>
          <w:szCs w:val="20"/>
        </w:rPr>
        <w:t xml:space="preserve">Marsh / Aon / Howden cyber rates and loss-ratio commentary</w:t>
      </w:r>
    </w:p>
    <w:p>
      <w:pPr>
        <w:pStyle w:val="ListParagraph"/>
        <w:numPr>
          <w:ilvl w:val="0"/>
          <w:numId w:val="12"/>
        </w:numPr>
        <w:spacing w:after="120" w:before="0" w:line="276"/>
      </w:pPr>
      <w:r>
        <w:rPr>
          <w:rFonts w:ascii="Arial" w:cs="Arial" w:eastAsia="Arial" w:hAnsi="Arial"/>
          <w:color w:val="2C3340"/>
          <w:sz w:val="20"/>
          <w:szCs w:val="20"/>
        </w:rPr>
        <w:t xml:space="preserve">New cyber logos for Cytora / Concirrus / DeNexus-class vendors</w:t>
      </w:r>
    </w:p>
    <w:p>
      <w:pPr>
        <w:pStyle w:val="ListParagraph"/>
        <w:numPr>
          <w:ilvl w:val="0"/>
          <w:numId w:val="12"/>
        </w:numPr>
        <w:spacing w:after="120" w:before="0" w:line="276"/>
      </w:pPr>
      <w:r>
        <w:rPr>
          <w:rFonts w:ascii="Arial" w:cs="Arial" w:eastAsia="Arial" w:hAnsi="Arial"/>
          <w:color w:val="2C3340"/>
          <w:sz w:val="20"/>
          <w:szCs w:val="20"/>
        </w:rPr>
        <w:t xml:space="preserve">More carriers buying cyber tech MGUs or UW AI shops</w:t>
      </w:r>
    </w:p>
    <w:p>
      <w:pPr>
        <w:pStyle w:val="ListParagraph"/>
        <w:numPr>
          <w:ilvl w:val="0"/>
          <w:numId w:val="12"/>
        </w:numPr>
        <w:spacing w:after="120" w:before="0" w:line="276"/>
      </w:pPr>
      <w:r>
        <w:rPr>
          <w:rFonts w:ascii="Arial" w:cs="Arial" w:eastAsia="Arial" w:hAnsi="Arial"/>
          <w:color w:val="2C3340"/>
          <w:sz w:val="20"/>
          <w:szCs w:val="20"/>
        </w:rPr>
        <w:t xml:space="preserve">Supervisor language on aggregation tools and AI in underwriting</w:t>
      </w:r>
    </w:p>
    <w:p>
      <w:pPr>
        <w:pStyle w:val="ListParagraph"/>
        <w:numPr>
          <w:ilvl w:val="0"/>
          <w:numId w:val="12"/>
        </w:numPr>
        <w:spacing w:after="120" w:before="0" w:line="276"/>
      </w:pPr>
      <w:r>
        <w:rPr>
          <w:rFonts w:ascii="Arial" w:cs="Arial" w:eastAsia="Arial" w:hAnsi="Arial"/>
          <w:color w:val="2C3340"/>
          <w:sz w:val="20"/>
          <w:szCs w:val="20"/>
        </w:rPr>
        <w:t xml:space="preserve">Share of files decided with scans vs questionnaire-only</w:t>
      </w:r>
    </w:p>
    <w:p>
      <w:pPr>
        <w:pStyle w:val="ListParagraph"/>
        <w:numPr>
          <w:ilvl w:val="0"/>
          <w:numId w:val="12"/>
        </w:numPr>
        <w:spacing w:after="120" w:before="0" w:line="276"/>
      </w:pPr>
      <w:r>
        <w:rPr>
          <w:rFonts w:ascii="Arial" w:cs="Arial" w:eastAsia="Arial" w:hAnsi="Arial"/>
          <w:color w:val="2C3340"/>
          <w:sz w:val="20"/>
          <w:szCs w:val="20"/>
        </w:rPr>
        <w:t xml:space="preserve">Whether BitSight / CyberCube package deeper into UW workflows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6. Opportunities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2200"/>
        <w:gridCol w:w="2600"/>
        <w:gridCol w:w="2640"/>
        <w:gridCol w:w="2640"/>
      </w:tblGrid>
      <w:tr>
        <w:trPr>
          <w:tblHeader/>
        </w:trPr>
        <w:tc>
          <w:tcPr>
            <w:tcW w:type="dxa" w:w="22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1B3A4B" w:val="clear"/>
            <w:vAlign w:val="center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6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1B3A4B" w:val="clear"/>
            <w:vAlign w:val="center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Opportunity</w:t>
            </w:r>
          </w:p>
        </w:tc>
        <w:tc>
          <w:tcPr>
            <w:tcW w:type="dxa" w:w="264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1B3A4B" w:val="clear"/>
            <w:vAlign w:val="center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Why it’s real</w:t>
            </w:r>
          </w:p>
        </w:tc>
        <w:tc>
          <w:tcPr>
            <w:tcW w:type="dxa" w:w="264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1B3A4B" w:val="clear"/>
            <w:vAlign w:val="center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it takes</w:t>
            </w:r>
          </w:p>
        </w:tc>
      </w:tr>
      <w:tr>
        <w:tc>
          <w:tcPr>
            <w:tcW w:type="dxa" w:w="22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Incumbents (PAS / digitization)</w:t>
            </w:r>
          </w:p>
        </w:tc>
        <w:tc>
          <w:tcPr>
            <w:tcW w:type="dxa" w:w="26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Ship real cyber H2 modules</w:t>
            </w:r>
          </w:p>
        </w:tc>
        <w:tc>
          <w:tcPr>
            <w:tcW w:type="dxa" w:w="264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They already own intake; cyber needs domain depth</w:t>
            </w:r>
          </w:p>
        </w:tc>
        <w:tc>
          <w:tcPr>
            <w:tcW w:type="dxa" w:w="264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Cyber talent; rating/cat partners; UW UX</w:t>
            </w:r>
          </w:p>
        </w:tc>
      </w:tr>
      <w:tr>
        <w:tc>
          <w:tcPr>
            <w:tcW w:type="dxa" w:w="22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Startups</w:t>
            </w:r>
          </w:p>
        </w:tc>
        <w:tc>
          <w:tcPr>
            <w:tcW w:type="dxa" w:w="26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Own gap check + decision file for mid MGAs</w:t>
            </w:r>
          </w:p>
        </w:tc>
        <w:tc>
          <w:tcPr>
            <w:tcW w:type="dxa" w:w="264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InsurSec won’t sell a toolkit to rivals</w:t>
            </w:r>
          </w:p>
        </w:tc>
        <w:tc>
          <w:tcPr>
            <w:tcW w:type="dxa" w:w="264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Narrow ICP; connectors; human override</w:t>
            </w:r>
          </w:p>
        </w:tc>
      </w:tr>
      <w:tr>
        <w:tc>
          <w:tcPr>
            <w:tcW w:type="dxa" w:w="22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Investors</w:t>
            </w:r>
          </w:p>
        </w:tc>
        <w:tc>
          <w:tcPr>
            <w:tcW w:type="dxa" w:w="26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Back orchestration hubs &amp; OT niches; skip pure chat</w:t>
            </w:r>
          </w:p>
        </w:tc>
        <w:tc>
          <w:tcPr>
            <w:tcW w:type="dxa" w:w="264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Need for fast-but-disciplined UW; tuck-in exits</w:t>
            </w:r>
          </w:p>
        </w:tc>
        <w:tc>
          <w:tcPr>
            <w:tcW w:type="dxa" w:w="264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Diligence on PAS depth, signal COGS, UW interviews</w:t>
            </w:r>
          </w:p>
        </w:tc>
      </w:tr>
      <w:tr>
        <w:tc>
          <w:tcPr>
            <w:tcW w:type="dxa" w:w="22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Builders</w:t>
            </w:r>
          </w:p>
        </w:tc>
        <w:tc>
          <w:tcPr>
            <w:tcW w:type="dxa" w:w="26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Decision workbench pattern</w:t>
            </w:r>
          </w:p>
        </w:tc>
        <w:tc>
          <w:tcPr>
            <w:tcW w:type="dxa" w:w="264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Clear job; demoable spine</w:t>
            </w:r>
          </w:p>
        </w:tc>
        <w:tc>
          <w:tcPr>
            <w:tcW w:type="dxa" w:w="264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Explainability; swappable appetite; partner feeds</w:t>
            </w:r>
          </w:p>
        </w:tc>
      </w:tr>
      <w:tr>
        <w:tc>
          <w:tcPr>
            <w:tcW w:type="dxa" w:w="22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Carrier / MGA buyers</w:t>
            </w:r>
          </w:p>
        </w:tc>
        <w:tc>
          <w:tcPr>
            <w:tcW w:type="dxa" w:w="26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Cut research tax; defend selection; stay audit-ready</w:t>
            </w:r>
          </w:p>
        </w:tc>
        <w:tc>
          <w:tcPr>
            <w:tcW w:type="dxa" w:w="264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Soft market + supervisor pressure</w:t>
            </w:r>
          </w:p>
        </w:tc>
        <w:tc>
          <w:tcPr>
            <w:tcW w:type="dxa" w:w="264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Demand human bind; RFP integrations; renewals pilot</w:t>
            </w:r>
          </w:p>
        </w:tc>
      </w:tr>
      <w:tr>
        <w:tc>
          <w:tcPr>
            <w:tcW w:type="dxa" w:w="22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Consultancies / SIs</w:t>
            </w:r>
          </w:p>
        </w:tc>
        <w:tc>
          <w:tcPr>
            <w:tcW w:type="dxa" w:w="26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White-label accelerators &amp; adapters</w:t>
            </w:r>
          </w:p>
        </w:tc>
        <w:tc>
          <w:tcPr>
            <w:tcW w:type="dxa" w:w="264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Personalization without greenfield product risk</w:t>
            </w:r>
          </w:p>
        </w:tc>
        <w:tc>
          <w:tcPr>
            <w:tcW w:type="dxa" w:w="264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Cyber UW experts; reusable adapters; outcome SLAs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7. Risks and Constraints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2400"/>
        <w:gridCol w:w="3840"/>
        <w:gridCol w:w="3840"/>
      </w:tblGrid>
      <w:tr>
        <w:trPr>
          <w:tblHeader/>
        </w:trPr>
        <w:tc>
          <w:tcPr>
            <w:tcW w:type="dxa" w:w="2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1B3A4B" w:val="clear"/>
            <w:vAlign w:val="center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Risk</w:t>
            </w:r>
          </w:p>
        </w:tc>
        <w:tc>
          <w:tcPr>
            <w:tcW w:type="dxa" w:w="384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1B3A4B" w:val="clear"/>
            <w:vAlign w:val="center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it is</w:t>
            </w:r>
          </w:p>
        </w:tc>
        <w:tc>
          <w:tcPr>
            <w:tcW w:type="dxa" w:w="384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1B3A4B" w:val="clear"/>
            <w:vAlign w:val="center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Why you should care</w:t>
            </w:r>
          </w:p>
        </w:tc>
      </w:tr>
      <w:tr>
        <w:tc>
          <w:tcPr>
            <w:tcW w:type="dxa" w:w="2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AI / regulatory rules</w:t>
            </w:r>
          </w:p>
        </w:tc>
        <w:tc>
          <w:tcPr>
            <w:tcW w:type="dxa" w:w="384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EU AI Act; automated-decision notices; cross-border dossiers</w:t>
            </w:r>
          </w:p>
        </w:tc>
        <w:tc>
          <w:tcPr>
            <w:tcW w:type="dxa" w:w="384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Design cost; blocked features if silent auto-bind</w:t>
            </w:r>
          </w:p>
        </w:tc>
      </w:tr>
      <w:tr>
        <w:tc>
          <w:tcPr>
            <w:tcW w:type="dxa" w:w="2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Misrepresentation spillover</w:t>
            </w:r>
          </w:p>
        </w:tc>
        <w:tc>
          <w:tcPr>
            <w:tcW w:type="dxa" w:w="384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U.S. practice when apps overclaim controls</w:t>
            </w:r>
          </w:p>
        </w:tc>
        <w:tc>
          <w:tcPr>
            <w:tcW w:type="dxa" w:w="384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Invented answers = legal risk</w:t>
            </w:r>
          </w:p>
        </w:tc>
      </w:tr>
      <w:tr>
        <w:tc>
          <w:tcPr>
            <w:tcW w:type="dxa" w:w="2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“AI underwriting” fatigue</w:t>
            </w:r>
          </w:p>
        </w:tc>
        <w:tc>
          <w:tcPr>
            <w:tcW w:type="dxa" w:w="384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Too many pilots</w:t>
            </w:r>
          </w:p>
        </w:tc>
        <w:tc>
          <w:tcPr>
            <w:tcW w:type="dxa" w:w="384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Longer sales; ROI proof required</w:t>
            </w:r>
          </w:p>
        </w:tc>
      </w:tr>
      <w:tr>
        <w:tc>
          <w:tcPr>
            <w:tcW w:type="dxa" w:w="2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Adoption</w:t>
            </w:r>
          </w:p>
        </w:tc>
        <w:tc>
          <w:tcPr>
            <w:tcW w:type="dxa" w:w="384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UW distrust of black boxes; email culture</w:t>
            </w:r>
          </w:p>
        </w:tc>
        <w:tc>
          <w:tcPr>
            <w:tcW w:type="dxa" w:w="384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Shelfware if humans aren’t in the loop</w:t>
            </w:r>
          </w:p>
        </w:tc>
      </w:tr>
      <w:tr>
        <w:tc>
          <w:tcPr>
            <w:tcW w:type="dxa" w:w="2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Tech limits</w:t>
            </w:r>
          </w:p>
        </w:tc>
        <w:tc>
          <w:tcPr>
            <w:tcW w:type="dxa" w:w="384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Outside scans ≠ internal control quality; OT blind spots</w:t>
            </w:r>
          </w:p>
        </w:tc>
        <w:tc>
          <w:tcPr>
            <w:tcW w:type="dxa" w:w="384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Overclaiming gap boards create false confidence</w:t>
            </w:r>
          </w:p>
        </w:tc>
      </w:tr>
      <w:tr>
        <w:tc>
          <w:tcPr>
            <w:tcW w:type="dxa" w:w="2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Competition</w:t>
            </w:r>
          </w:p>
        </w:tc>
        <w:tc>
          <w:tcPr>
            <w:tcW w:type="dxa" w:w="384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InsurSec substitutes; PAS feature absorption</w:t>
            </w:r>
          </w:p>
        </w:tc>
        <w:tc>
          <w:tcPr>
            <w:tcW w:type="dxa" w:w="384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Standalone margins get crushed</w:t>
            </w:r>
          </w:p>
        </w:tc>
      </w:tr>
      <w:tr>
        <w:tc>
          <w:tcPr>
            <w:tcW w:type="dxa" w:w="2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Margins</w:t>
            </w:r>
          </w:p>
        </w:tc>
        <w:tc>
          <w:tcPr>
            <w:tcW w:type="dxa" w:w="384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Soft insurance line; paid signal feeds</w:t>
            </w:r>
          </w:p>
        </w:tc>
        <w:tc>
          <w:tcPr>
            <w:tcW w:type="dxa" w:w="384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Need clear cost per submission</w:t>
            </w:r>
          </w:p>
        </w:tc>
      </w:tr>
      <w:tr>
        <w:tc>
          <w:tcPr>
            <w:tcW w:type="dxa" w:w="2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Platform dependency</w:t>
            </w:r>
          </w:p>
        </w:tc>
        <w:tc>
          <w:tcPr>
            <w:tcW w:type="dxa" w:w="384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BitSight / model APIs / policy systems</w:t>
            </w:r>
          </w:p>
        </w:tc>
        <w:tc>
          <w:tcPr>
            <w:tcW w:type="dxa" w:w="384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Pricing and roadmap can get held hostage</w:t>
            </w:r>
          </w:p>
        </w:tc>
      </w:tr>
      <w:tr>
        <w:tc>
          <w:tcPr>
            <w:tcW w:type="dxa" w:w="2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Macro cyber event</w:t>
            </w:r>
          </w:p>
        </w:tc>
        <w:tc>
          <w:tcPr>
            <w:tcW w:type="dxa" w:w="384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Could harden pricing or overwhelm weak automation</w:t>
            </w:r>
          </w:p>
        </w:tc>
        <w:tc>
          <w:tcPr>
            <w:tcW w:type="dxa" w:w="384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See scenarios in §5</w:t>
            </w:r>
          </w:p>
        </w:tc>
      </w:tr>
      <w:tr>
        <w:tc>
          <w:tcPr>
            <w:tcW w:type="dxa" w:w="2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Dirty data</w:t>
            </w:r>
          </w:p>
        </w:tc>
        <w:tc>
          <w:tcPr>
            <w:tcW w:type="dxa" w:w="384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Messy broker packs</w:t>
            </w:r>
          </w:p>
        </w:tc>
        <w:tc>
          <w:tcPr>
            <w:tcW w:type="dxa" w:w="384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Extraction has a ceiling without human review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8. Emerging Trends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600"/>
        <w:gridCol w:w="1680"/>
        <w:gridCol w:w="2040"/>
        <w:gridCol w:w="1920"/>
        <w:gridCol w:w="1920"/>
        <w:gridCol w:w="1920"/>
      </w:tblGrid>
      <w:tr>
        <w:trPr>
          <w:tblHeader/>
        </w:trPr>
        <w:tc>
          <w:tcPr>
            <w:tcW w:type="dxa" w:w="6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1B3A4B" w:val="clear"/>
            <w:vAlign w:val="center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1B3A4B" w:val="clear"/>
            <w:vAlign w:val="center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Trend</w:t>
            </w:r>
          </w:p>
        </w:tc>
        <w:tc>
          <w:tcPr>
            <w:tcW w:type="dxa" w:w="204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1B3A4B" w:val="clear"/>
            <w:vAlign w:val="center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What’s happening</w:t>
            </w:r>
          </w:p>
        </w:tc>
        <w:tc>
          <w:tcPr>
            <w:tcW w:type="dxa" w:w="192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1B3A4B" w:val="clear"/>
            <w:vAlign w:val="center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Why it matters</w:t>
            </w:r>
          </w:p>
        </w:tc>
        <w:tc>
          <w:tcPr>
            <w:tcW w:type="dxa" w:w="192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1B3A4B" w:val="clear"/>
            <w:vAlign w:val="center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benefits</w:t>
            </w:r>
          </w:p>
        </w:tc>
        <w:tc>
          <w:tcPr>
            <w:tcW w:type="dxa" w:w="192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1B3A4B" w:val="clear"/>
            <w:vAlign w:val="center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Who’s threatened</w:t>
            </w:r>
          </w:p>
        </w:tc>
      </w:tr>
      <w:tr>
        <w:tc>
          <w:tcPr>
            <w:tcW w:type="dxa" w:w="6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1</w:t>
            </w:r>
          </w:p>
        </w:tc>
        <w:tc>
          <w:tcPr>
            <w:tcW w:type="dxa" w:w="1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Gap checks as table stakes</w:t>
            </w:r>
          </w:p>
        </w:tc>
        <w:tc>
          <w:tcPr>
            <w:tcW w:type="dxa" w:w="204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Cross-check apps with outside posture</w:t>
            </w:r>
          </w:p>
        </w:tc>
        <w:tc>
          <w:tcPr>
            <w:tcW w:type="dxa" w:w="192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Questionnaire-only UW looks weak</w:t>
            </w:r>
          </w:p>
        </w:tc>
        <w:tc>
          <w:tcPr>
            <w:tcW w:type="dxa" w:w="192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Gap-board tools; ratings</w:t>
            </w:r>
          </w:p>
        </w:tc>
        <w:tc>
          <w:tcPr>
            <w:tcW w:type="dxa" w:w="192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Pure form portals</w:t>
            </w:r>
          </w:p>
        </w:tc>
      </w:tr>
      <w:tr>
        <w:tc>
          <w:tcPr>
            <w:tcW w:type="dxa" w:w="6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2</w:t>
            </w:r>
          </w:p>
        </w:tc>
        <w:tc>
          <w:tcPr>
            <w:tcW w:type="dxa" w:w="1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H2 orchestration</w:t>
            </w:r>
          </w:p>
        </w:tc>
        <w:tc>
          <w:tcPr>
            <w:tcW w:type="dxa" w:w="204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Specialist steps + human sign-off</w:t>
            </w:r>
          </w:p>
        </w:tc>
        <w:tc>
          <w:tcPr>
            <w:tcW w:type="dxa" w:w="192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Buyers ask for audit &amp; stages</w:t>
            </w:r>
          </w:p>
        </w:tc>
        <w:tc>
          <w:tcPr>
            <w:tcW w:type="dxa" w:w="192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Concirrus/DeNexus/Cytora-class</w:t>
            </w:r>
          </w:p>
        </w:tc>
        <w:tc>
          <w:tcPr>
            <w:tcW w:type="dxa" w:w="192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H1 chatbot startups</w:t>
            </w:r>
          </w:p>
        </w:tc>
      </w:tr>
      <w:tr>
        <w:tc>
          <w:tcPr>
            <w:tcW w:type="dxa" w:w="6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3</w:t>
            </w:r>
          </w:p>
        </w:tc>
        <w:tc>
          <w:tcPr>
            <w:tcW w:type="dxa" w:w="1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Disciplined speed</w:t>
            </w:r>
          </w:p>
        </w:tc>
        <w:tc>
          <w:tcPr>
            <w:tcW w:type="dxa" w:w="204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Rates still cut; brokers call shots</w:t>
            </w:r>
          </w:p>
        </w:tc>
        <w:tc>
          <w:tcPr>
            <w:tcW w:type="dxa" w:w="192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Protect selection and cycle time</w:t>
            </w:r>
          </w:p>
        </w:tc>
        <w:tc>
          <w:tcPr>
            <w:tcW w:type="dxa" w:w="192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Explainable Q/R/D platforms</w:t>
            </w:r>
          </w:p>
        </w:tc>
        <w:tc>
          <w:tcPr>
            <w:tcW w:type="dxa" w:w="192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Slow traditional desks</w:t>
            </w:r>
          </w:p>
        </w:tc>
      </w:tr>
      <w:tr>
        <w:tc>
          <w:tcPr>
            <w:tcW w:type="dxa" w:w="6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4</w:t>
            </w:r>
          </w:p>
        </w:tc>
        <w:tc>
          <w:tcPr>
            <w:tcW w:type="dxa" w:w="1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Book risk at quote time</w:t>
            </w:r>
          </w:p>
        </w:tc>
        <w:tc>
          <w:tcPr>
            <w:tcW w:type="dxa" w:w="204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Shared cloud/MSP awareness</w:t>
            </w:r>
          </w:p>
        </w:tc>
        <w:tc>
          <w:tcPr>
            <w:tcW w:type="dxa" w:w="192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Single-risk tools incomplete</w:t>
            </w:r>
          </w:p>
        </w:tc>
        <w:tc>
          <w:tcPr>
            <w:tcW w:type="dxa" w:w="192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Portfolio-aware assistants</w:t>
            </w:r>
          </w:p>
        </w:tc>
        <w:tc>
          <w:tcPr>
            <w:tcW w:type="dxa" w:w="192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Tools ignoring the book</w:t>
            </w:r>
          </w:p>
        </w:tc>
      </w:tr>
      <w:tr>
        <w:tc>
          <w:tcPr>
            <w:tcW w:type="dxa" w:w="6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5</w:t>
            </w:r>
          </w:p>
        </w:tc>
        <w:tc>
          <w:tcPr>
            <w:tcW w:type="dxa" w:w="1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InsurSec as catalyst</w:t>
            </w:r>
          </w:p>
        </w:tc>
        <w:tc>
          <w:tcPr>
            <w:tcW w:type="dxa" w:w="204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Coalition et al. set UX bar</w:t>
            </w:r>
          </w:p>
        </w:tc>
        <w:tc>
          <w:tcPr>
            <w:tcW w:type="dxa" w:w="192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Forces legacy shops to automate</w:t>
            </w:r>
          </w:p>
        </w:tc>
        <w:tc>
          <w:tcPr>
            <w:tcW w:type="dxa" w:w="192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Tech MGAs; acquiring carriers</w:t>
            </w:r>
          </w:p>
        </w:tc>
        <w:tc>
          <w:tcPr>
            <w:tcW w:type="dxa" w:w="192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Capacity with no digital muscle</w:t>
            </w:r>
          </w:p>
        </w:tc>
      </w:tr>
      <w:tr>
        <w:tc>
          <w:tcPr>
            <w:tcW w:type="dxa" w:w="6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6</w:t>
            </w:r>
          </w:p>
        </w:tc>
        <w:tc>
          <w:tcPr>
            <w:tcW w:type="dxa" w:w="1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Carrier M&amp;A of cyber tech</w:t>
            </w:r>
          </w:p>
        </w:tc>
        <w:tc>
          <w:tcPr>
            <w:tcW w:type="dxa" w:w="204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Travelers–Corvus pattern</w:t>
            </w:r>
          </w:p>
        </w:tc>
        <w:tc>
          <w:tcPr>
            <w:tcW w:type="dxa" w:w="192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Build-vs-buy tips toward buy</w:t>
            </w:r>
          </w:p>
        </w:tc>
        <w:tc>
          <w:tcPr>
            <w:tcW w:type="dxa" w:w="192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Acquirers; scarce UW talent</w:t>
            </w:r>
          </w:p>
        </w:tc>
        <w:tc>
          <w:tcPr>
            <w:tcW w:type="dxa" w:w="192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MGUs without a moat</w:t>
            </w:r>
          </w:p>
        </w:tc>
      </w:tr>
      <w:tr>
        <w:tc>
          <w:tcPr>
            <w:tcW w:type="dxa" w:w="6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7</w:t>
            </w:r>
          </w:p>
        </w:tc>
        <w:tc>
          <w:tcPr>
            <w:tcW w:type="dxa" w:w="1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Evidence packs</w:t>
            </w:r>
          </w:p>
        </w:tc>
        <w:tc>
          <w:tcPr>
            <w:tcW w:type="dxa" w:w="204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DORA/NIS2/PRA/ISO reshape asks</w:t>
            </w:r>
          </w:p>
        </w:tc>
        <w:tc>
          <w:tcPr>
            <w:tcW w:type="dxa" w:w="192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Dossier becomes product surface</w:t>
            </w:r>
          </w:p>
        </w:tc>
        <w:tc>
          <w:tcPr>
            <w:tcW w:type="dxa" w:w="192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Adaptive intake + evidence vaults</w:t>
            </w:r>
          </w:p>
        </w:tc>
        <w:tc>
          <w:tcPr>
            <w:tcW w:type="dxa" w:w="192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Static PDF questionnaires</w:t>
            </w:r>
          </w:p>
        </w:tc>
      </w:tr>
      <w:tr>
        <w:tc>
          <w:tcPr>
            <w:tcW w:type="dxa" w:w="6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8</w:t>
            </w:r>
          </w:p>
        </w:tc>
        <w:tc>
          <w:tcPr>
            <w:tcW w:type="dxa" w:w="1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Ratings × workflow deals</w:t>
            </w:r>
          </w:p>
        </w:tc>
        <w:tc>
          <w:tcPr>
            <w:tcW w:type="dxa" w:w="204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Cytora–VulnCheck; BitSight–Moody’s</w:t>
            </w:r>
          </w:p>
        </w:tc>
        <w:tc>
          <w:tcPr>
            <w:tcW w:type="dxa" w:w="192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Enrichment at decision time</w:t>
            </w:r>
          </w:p>
        </w:tc>
        <w:tc>
          <w:tcPr>
            <w:tcW w:type="dxa" w:w="192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Partner ecosystems</w:t>
            </w:r>
          </w:p>
        </w:tc>
        <w:tc>
          <w:tcPr>
            <w:tcW w:type="dxa" w:w="192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Isolated score portals</w:t>
            </w:r>
          </w:p>
        </w:tc>
      </w:tr>
      <w:tr>
        <w:tc>
          <w:tcPr>
            <w:tcW w:type="dxa" w:w="6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9</w:t>
            </w:r>
          </w:p>
        </w:tc>
        <w:tc>
          <w:tcPr>
            <w:tcW w:type="dxa" w:w="1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OT / industrial depth</w:t>
            </w:r>
          </w:p>
        </w:tc>
        <w:tc>
          <w:tcPr>
            <w:tcW w:type="dxa" w:w="204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Multi-hour complex submissions</w:t>
            </w:r>
          </w:p>
        </w:tc>
        <w:tc>
          <w:tcPr>
            <w:tcW w:type="dxa" w:w="192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Clearer ROI for deep assistants</w:t>
            </w:r>
          </w:p>
        </w:tc>
        <w:tc>
          <w:tcPr>
            <w:tcW w:type="dxa" w:w="192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DeNexus-class; OT specialists</w:t>
            </w:r>
          </w:p>
        </w:tc>
        <w:tc>
          <w:tcPr>
            <w:tcW w:type="dxa" w:w="192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Generic SME STP in that niche</w:t>
            </w:r>
          </w:p>
        </w:tc>
      </w:tr>
      <w:tr>
        <w:tc>
          <w:tcPr>
            <w:tcW w:type="dxa" w:w="6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10</w:t>
            </w:r>
          </w:p>
        </w:tc>
        <w:tc>
          <w:tcPr>
            <w:tcW w:type="dxa" w:w="1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AI governance as sales feature</w:t>
            </w:r>
          </w:p>
        </w:tc>
        <w:tc>
          <w:tcPr>
            <w:tcW w:type="dxa" w:w="204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ISO 42001 / SOC 2 / explainability</w:t>
            </w:r>
          </w:p>
        </w:tc>
        <w:tc>
          <w:tcPr>
            <w:tcW w:type="dxa" w:w="192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RFP checkbox in EU/UK</w:t>
            </w:r>
          </w:p>
        </w:tc>
        <w:tc>
          <w:tcPr>
            <w:tcW w:type="dxa" w:w="192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Compliant platforms</w:t>
            </w:r>
          </w:p>
        </w:tc>
        <w:tc>
          <w:tcPr>
            <w:tcW w:type="dxa" w:w="192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Opaque model vendors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9. What To Do With This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Where the market is going</w:t>
      </w:r>
    </w:p>
    <w:p>
      <w:pPr>
        <w:spacing w:after="120" w:before="0" w:line="276"/>
      </w:pPr>
      <w:r>
        <w:rPr>
          <w:rFonts w:ascii="Arial" w:cs="Arial" w:eastAsia="Arial" w:hAnsi="Arial"/>
          <w:color w:val="2C3340"/>
          <w:sz w:val="20"/>
          <w:szCs w:val="20"/>
        </w:rPr>
        <w:t xml:space="preserve">Toward workbenches that pull in ratings and cat signals, catch attestation gaps, enforce appetite with a human bind, and leave an audit trail—while the soft market screams for speed. Away from annual questionnaire theater and lonely chat demos.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Best segments near-term</w:t>
      </w:r>
    </w:p>
    <w:p>
      <w:pPr>
        <w:pStyle w:val="ListParagraph"/>
        <w:numPr>
          <w:ilvl w:val="0"/>
          <w:numId w:val="13"/>
        </w:numPr>
        <w:spacing w:after="120" w:before="0" w:line="276"/>
      </w:pPr>
      <w:r>
        <w:rPr>
          <w:rFonts w:ascii="Arial" w:cs="Arial" w:eastAsia="Arial" w:hAnsi="Arial"/>
          <w:color w:val="2C3340"/>
          <w:sz w:val="20"/>
          <w:szCs w:val="20"/>
        </w:rPr>
        <w:t xml:space="preserve">Specialty mid-market MGA/carrier cyber desks competing with InsurSec speed but keeping their own paper</w:t>
      </w:r>
    </w:p>
    <w:p>
      <w:pPr>
        <w:pStyle w:val="ListParagraph"/>
        <w:numPr>
          <w:ilvl w:val="0"/>
          <w:numId w:val="13"/>
        </w:numPr>
        <w:spacing w:after="120" w:before="0" w:line="276"/>
      </w:pPr>
      <w:r>
        <w:rPr>
          <w:rFonts w:ascii="Arial" w:cs="Arial" w:eastAsia="Arial" w:hAnsi="Arial"/>
          <w:color w:val="2C3340"/>
          <w:sz w:val="20"/>
          <w:szCs w:val="20"/>
        </w:rPr>
        <w:t xml:space="preserve">Complex / OT industrial cyber where hours per file justify depth</w:t>
      </w:r>
    </w:p>
    <w:p>
      <w:pPr>
        <w:pStyle w:val="ListParagraph"/>
        <w:numPr>
          <w:ilvl w:val="0"/>
          <w:numId w:val="13"/>
        </w:numPr>
        <w:spacing w:after="120" w:before="0" w:line="276"/>
      </w:pPr>
      <w:r>
        <w:rPr>
          <w:rFonts w:ascii="Arial" w:cs="Arial" w:eastAsia="Arial" w:hAnsi="Arial"/>
          <w:color w:val="2C3340"/>
          <w:sz w:val="20"/>
          <w:szCs w:val="20"/>
        </w:rPr>
        <w:t xml:space="preserve">EU/UK financial and essential-entity books where evidence packs aren’t optional</w:t>
      </w:r>
    </w:p>
    <w:p>
      <w:pPr>
        <w:spacing w:after="120" w:before="0" w:line="276"/>
      </w:pPr>
      <w:r>
        <w:rPr>
          <w:rFonts w:ascii="Arial" w:cs="Arial" w:eastAsia="Arial" w:hAnsi="Arial"/>
          <w:color w:val="2C3340"/>
          <w:sz w:val="20"/>
          <w:szCs w:val="20"/>
        </w:rPr>
        <w:t xml:space="preserve">Less attractive soon: pure SMB straight-through already owned by Cowbell-class writers; reinsurer cat modeling (different category).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Best-positioned player type</w:t>
      </w:r>
    </w:p>
    <w:p>
      <w:pPr>
        <w:spacing w:after="120" w:before="0" w:line="276"/>
      </w:pPr>
      <w:r>
        <w:rPr>
          <w:rFonts w:ascii="Arial" w:cs="Arial" w:eastAsia="Arial" w:hAnsi="Arial"/>
          <w:color w:val="2C3340"/>
          <w:sz w:val="20"/>
          <w:szCs w:val="20"/>
        </w:rPr>
        <w:t xml:space="preserve">Orchestrators with a real cyber spine and a path into the policy system. Not score vendors alone. Not “we’re an insurer, but software-only” clones. Partnering with BitSight/CyberCube-class feeds is a feature, not a lack of ambition.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Mistakes to avoid</w:t>
      </w:r>
    </w:p>
    <w:p>
      <w:pPr>
        <w:pStyle w:val="ListParagraph"/>
        <w:numPr>
          <w:ilvl w:val="0"/>
          <w:numId w:val="14"/>
        </w:numPr>
        <w:spacing w:after="120" w:before="0" w:line="276"/>
      </w:pPr>
      <w:r>
        <w:rPr>
          <w:rFonts w:ascii="Arial" w:cs="Arial" w:eastAsia="Arial" w:hAnsi="Arial"/>
          <w:color w:val="2C3340"/>
          <w:sz w:val="20"/>
          <w:szCs w:val="20"/>
        </w:rPr>
        <w:t xml:space="preserve">Pitching “next Coalition” with no capacity and no claims desk</w:t>
      </w:r>
    </w:p>
    <w:p>
      <w:pPr>
        <w:pStyle w:val="ListParagraph"/>
        <w:numPr>
          <w:ilvl w:val="0"/>
          <w:numId w:val="14"/>
        </w:numPr>
        <w:spacing w:after="120" w:before="0" w:line="276"/>
      </w:pPr>
      <w:r>
        <w:rPr>
          <w:rFonts w:ascii="Arial" w:cs="Arial" w:eastAsia="Arial" w:hAnsi="Arial"/>
          <w:color w:val="2C3340"/>
          <w:sz w:val="20"/>
          <w:szCs w:val="20"/>
        </w:rPr>
        <w:t xml:space="preserve">Shipping chat without gap checks, appetite, and audit</w:t>
      </w:r>
    </w:p>
    <w:p>
      <w:pPr>
        <w:pStyle w:val="ListParagraph"/>
        <w:numPr>
          <w:ilvl w:val="0"/>
          <w:numId w:val="14"/>
        </w:numPr>
        <w:spacing w:after="120" w:before="0" w:line="276"/>
      </w:pPr>
      <w:r>
        <w:rPr>
          <w:rFonts w:ascii="Arial" w:cs="Arial" w:eastAsia="Arial" w:hAnsi="Arial"/>
          <w:color w:val="2C3340"/>
          <w:sz w:val="20"/>
          <w:szCs w:val="20"/>
        </w:rPr>
        <w:t xml:space="preserve">Rebuilding ratings or full cat models in version one</w:t>
      </w:r>
    </w:p>
    <w:p>
      <w:pPr>
        <w:pStyle w:val="ListParagraph"/>
        <w:numPr>
          <w:ilvl w:val="0"/>
          <w:numId w:val="14"/>
        </w:numPr>
        <w:spacing w:after="120" w:before="0" w:line="276"/>
      </w:pPr>
      <w:r>
        <w:rPr>
          <w:rFonts w:ascii="Arial" w:cs="Arial" w:eastAsia="Arial" w:hAnsi="Arial"/>
          <w:color w:val="2C3340"/>
          <w:sz w:val="20"/>
          <w:szCs w:val="20"/>
        </w:rPr>
        <w:t xml:space="preserve">Silent auto-bind or invented control answers</w:t>
      </w:r>
    </w:p>
    <w:p>
      <w:pPr>
        <w:pStyle w:val="ListParagraph"/>
        <w:numPr>
          <w:ilvl w:val="0"/>
          <w:numId w:val="14"/>
        </w:numPr>
        <w:spacing w:after="120" w:before="0" w:line="276"/>
      </w:pPr>
      <w:r>
        <w:rPr>
          <w:rFonts w:ascii="Arial" w:cs="Arial" w:eastAsia="Arial" w:hAnsi="Arial"/>
          <w:color w:val="2C3340"/>
          <w:sz w:val="20"/>
          <w:szCs w:val="20"/>
        </w:rPr>
        <w:t xml:space="preserve">Selling only extraction when the job is decide and defend</w:t>
      </w:r>
    </w:p>
    <w:p>
      <w:pPr>
        <w:pStyle w:val="ListParagraph"/>
        <w:numPr>
          <w:ilvl w:val="0"/>
          <w:numId w:val="14"/>
        </w:numPr>
        <w:spacing w:after="120" w:before="0" w:line="276"/>
      </w:pPr>
      <w:r>
        <w:rPr>
          <w:rFonts w:ascii="Arial" w:cs="Arial" w:eastAsia="Arial" w:hAnsi="Arial"/>
          <w:color w:val="2C3340"/>
          <w:sz w:val="20"/>
          <w:szCs w:val="20"/>
        </w:rPr>
        <w:t xml:space="preserve">Treating mega “TAM” slides as software reality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If you’re a new entrant</w:t>
      </w:r>
    </w:p>
    <w:p>
      <w:pPr>
        <w:pStyle w:val="ListParagraph"/>
        <w:numPr>
          <w:ilvl w:val="0"/>
          <w:numId w:val="15"/>
        </w:numPr>
        <w:spacing w:after="120" w:before="0" w:line="276"/>
      </w:pPr>
      <w:r>
        <w:rPr>
          <w:rFonts w:ascii="Arial" w:cs="Arial" w:eastAsia="Arial" w:hAnsi="Arial"/>
          <w:color w:val="2C3340"/>
          <w:sz w:val="20"/>
          <w:szCs w:val="20"/>
        </w:rPr>
        <w:t xml:space="preserve">Pick one customer type (say: U.S. specialty cyber MGA desk).</w:t>
      </w:r>
    </w:p>
    <w:p>
      <w:pPr>
        <w:pStyle w:val="ListParagraph"/>
        <w:numPr>
          <w:ilvl w:val="0"/>
          <w:numId w:val="15"/>
        </w:numPr>
        <w:spacing w:after="120" w:before="0" w:line="276"/>
      </w:pPr>
      <w:r>
        <w:rPr>
          <w:rFonts w:ascii="Arial" w:cs="Arial" w:eastAsia="Arial" w:hAnsi="Arial"/>
          <w:color w:val="2C3340"/>
          <w:sz w:val="20"/>
          <w:szCs w:val="20"/>
        </w:rPr>
        <w:t xml:space="preserve">Ship the H2 spine: messy intake → gap board → appetite quote/refer/decline → dossier → policy-system stub.</w:t>
      </w:r>
    </w:p>
    <w:p>
      <w:pPr>
        <w:pStyle w:val="ListParagraph"/>
        <w:numPr>
          <w:ilvl w:val="0"/>
          <w:numId w:val="15"/>
        </w:numPr>
        <w:spacing w:after="120" w:before="0" w:line="276"/>
      </w:pPr>
      <w:r>
        <w:rPr>
          <w:rFonts w:ascii="Arial" w:cs="Arial" w:eastAsia="Arial" w:hAnsi="Arial"/>
          <w:color w:val="2C3340"/>
          <w:sz w:val="20"/>
          <w:szCs w:val="20"/>
        </w:rPr>
        <w:t xml:space="preserve">Partner signals on day one (mocked is fine); go live in phase two.</w:t>
      </w:r>
    </w:p>
    <w:p>
      <w:pPr>
        <w:pStyle w:val="ListParagraph"/>
        <w:numPr>
          <w:ilvl w:val="0"/>
          <w:numId w:val="15"/>
        </w:numPr>
        <w:spacing w:after="120" w:before="0" w:line="276"/>
      </w:pPr>
      <w:r>
        <w:rPr>
          <w:rFonts w:ascii="Arial" w:cs="Arial" w:eastAsia="Arial" w:hAnsi="Arial"/>
          <w:color w:val="2C3340"/>
          <w:sz w:val="20"/>
          <w:szCs w:val="20"/>
        </w:rPr>
        <w:t xml:space="preserve">Measure time to a decision-ready file, % of attestation conflicts caught before quote, % of decisions with a written rationale.</w:t>
      </w:r>
    </w:p>
    <w:p>
      <w:pPr>
        <w:pStyle w:val="ListParagraph"/>
        <w:numPr>
          <w:ilvl w:val="0"/>
          <w:numId w:val="15"/>
        </w:numPr>
        <w:spacing w:after="120" w:before="0" w:line="276"/>
      </w:pPr>
      <w:r>
        <w:rPr>
          <w:rFonts w:ascii="Arial" w:cs="Arial" w:eastAsia="Arial" w:hAnsi="Arial"/>
          <w:color w:val="2C3340"/>
          <w:sz w:val="20"/>
          <w:szCs w:val="20"/>
        </w:rPr>
        <w:t xml:space="preserve">Design for underwriter override and regulatory disclosure from day one.</w:t>
      </w:r>
    </w:p>
    <w:p>
      <w:pPr>
        <w:pStyle w:val="ListParagraph"/>
        <w:numPr>
          <w:ilvl w:val="0"/>
          <w:numId w:val="15"/>
        </w:numPr>
        <w:spacing w:after="120" w:before="0" w:line="276"/>
      </w:pPr>
      <w:r>
        <w:rPr>
          <w:rFonts w:ascii="Arial" w:cs="Arial" w:eastAsia="Arial" w:hAnsi="Arial"/>
          <w:color w:val="2C3340"/>
          <w:sz w:val="20"/>
          <w:szCs w:val="20"/>
        </w:rPr>
        <w:t xml:space="preserve">Price against hours saved and bad risks avoided — not AI mystique.</w:t>
      </w:r>
    </w:p>
    <w:p>
      <w:pPr>
        <w:pStyle w:val="ListParagraph"/>
        <w:numPr>
          <w:ilvl w:val="0"/>
          <w:numId w:val="15"/>
        </w:numPr>
        <w:spacing w:after="120" w:before="0" w:line="276"/>
      </w:pPr>
      <w:r>
        <w:rPr>
          <w:rFonts w:ascii="Arial" w:cs="Arial" w:eastAsia="Arial" w:hAnsi="Arial"/>
          <w:color w:val="2C3340"/>
          <w:sz w:val="20"/>
          <w:szCs w:val="20"/>
        </w:rPr>
        <w:t xml:space="preserve">Plan scale or exit through a policy-system ecosystem or a carrier tuck-in. Perpetual standalone SaaS is a wish, not a plan.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For Decision Workbench builders</w:t>
      </w:r>
    </w:p>
    <w:p>
      <w:pPr>
        <w:spacing w:after="120" w:before="0" w:line="276"/>
      </w:pPr>
      <w:r>
        <w:rPr>
          <w:rFonts w:ascii="Arial" w:cs="Arial" w:eastAsia="Arial" w:hAnsi="Arial"/>
          <w:color w:val="2C3340"/>
          <w:sz w:val="20"/>
          <w:szCs w:val="20"/>
        </w:rPr>
        <w:t xml:space="preserve">The product that makes commercial sense is an enablement layer for desks, not an InsurSec carrier. Credibility is gap + appetite + dossier + book alert — not “we replaced BitSight.”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10. Known vs Estimated vs Speculative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1B3A4B" w:val="clear"/>
            <w:vAlign w:val="center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7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1B3A4B" w:val="clear"/>
            <w:vAlign w:val="center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Examples</w:t>
            </w:r>
          </w:p>
        </w:tc>
      </w:tr>
      <w:tr>
        <w:tc>
          <w:tcPr>
            <w:tcW w:type="dxa" w:w="2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Known / public</w:t>
            </w:r>
          </w:p>
        </w:tc>
        <w:tc>
          <w:tcPr>
            <w:tcW w:type="dxa" w:w="7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Marsh GIMI Q2 2026 (−4%, 12th drop); Aon soft-market commentary; Travelers–Corvus (~$435M, Jan 2024); public vendor positioning; DORA (Jan 2025), NIS2, PRA SS4/17 themes, EU AI Act Art. 50 (Aug 2026); ISO 27001:2022 cutoff (31 Oct 2025)</w:t>
            </w:r>
          </w:p>
        </w:tc>
      </w:tr>
      <w:tr>
        <w:tc>
          <w:tcPr>
            <w:tcW w:type="dxa" w:w="2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Estimated / inferred</w:t>
            </w:r>
          </w:p>
        </w:tc>
        <w:tc>
          <w:tcPr>
            <w:tcW w:type="dxa" w:w="7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6F9FA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Digitization early-majority; H2 cyber spines early-adopter; six-figure ACV plausible for mid desks; more tuck-ins; soft market drives “disciplined speed”; WTP higher for gap+appetite than chat; OT/complex clearer ROI</w:t>
            </w:r>
          </w:p>
        </w:tc>
      </w:tr>
      <w:tr>
        <w:tc>
          <w:tcPr>
            <w:tcW w:type="dxa" w:w="2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Speculative / scenario</w:t>
            </w:r>
          </w:p>
        </w:tc>
        <w:tc>
          <w:tcPr>
            <w:tcW w:type="dxa" w:w="76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FFF" w:val="clear"/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0"/>
                <w:sz w:val="15"/>
                <w:szCs w:val="15"/>
              </w:rPr>
              <w:t xml:space="preserve">Hard-market forcing dossier standards; absorption into PAS/InsurSec; H3 claims↔IR learning in 3 years; naming winners without win/loss data; precise global TAM for this software category</w:t>
            </w:r>
          </w:p>
        </w:tc>
      </w:tr>
    </w:tbl>
    <w:p>
      <w:pPr>
        <w:spacing w:after="140"/>
      </w:pPr>
    </w:p>
    <w:p>
      <w:pPr>
        <w:spacing w:after="80" w:before="0" w:line="276"/>
      </w:pP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Re-check before you act</w:t>
      </w:r>
    </w:p>
    <w:p>
      <w:pPr>
        <w:pStyle w:val="ListParagraph"/>
        <w:numPr>
          <w:ilvl w:val="0"/>
          <w:numId w:val="16"/>
        </w:numPr>
        <w:spacing w:after="120" w:before="0" w:line="276"/>
      </w:pPr>
      <w:r>
        <w:rPr>
          <w:rFonts w:ascii="Arial" w:cs="Arial" w:eastAsia="Arial" w:hAnsi="Arial"/>
          <w:color w:val="2C3340"/>
          <w:sz w:val="20"/>
          <w:szCs w:val="20"/>
        </w:rPr>
        <w:t xml:space="preserve">Marsh Global Insurance Market Index (cyber) — quarterly</w:t>
      </w:r>
    </w:p>
    <w:p>
      <w:pPr>
        <w:pStyle w:val="ListParagraph"/>
        <w:numPr>
          <w:ilvl w:val="0"/>
          <w:numId w:val="16"/>
        </w:numPr>
        <w:spacing w:after="120" w:before="0" w:line="276"/>
      </w:pPr>
      <w:r>
        <w:rPr>
          <w:rFonts w:ascii="Arial" w:cs="Arial" w:eastAsia="Arial" w:hAnsi="Arial"/>
          <w:color w:val="2C3340"/>
          <w:sz w:val="20"/>
          <w:szCs w:val="20"/>
        </w:rPr>
        <w:t xml:space="preserve">Aon / Howden cyber outlooks</w:t>
      </w:r>
    </w:p>
    <w:p>
      <w:pPr>
        <w:pStyle w:val="ListParagraph"/>
        <w:numPr>
          <w:ilvl w:val="0"/>
          <w:numId w:val="16"/>
        </w:numPr>
        <w:spacing w:after="120" w:before="0" w:line="276"/>
      </w:pPr>
      <w:r>
        <w:rPr>
          <w:rFonts w:ascii="Arial" w:cs="Arial" w:eastAsia="Arial" w:hAnsi="Arial"/>
          <w:color w:val="2C3340"/>
          <w:sz w:val="20"/>
          <w:szCs w:val="20"/>
        </w:rPr>
        <w:t xml:space="preserve">Vendor sites and partnership announcements</w:t>
      </w:r>
    </w:p>
    <w:p>
      <w:pPr>
        <w:pStyle w:val="ListParagraph"/>
        <w:numPr>
          <w:ilvl w:val="0"/>
          <w:numId w:val="16"/>
        </w:numPr>
        <w:spacing w:after="120" w:before="0" w:line="276"/>
      </w:pPr>
      <w:r>
        <w:rPr>
          <w:rFonts w:ascii="Arial" w:cs="Arial" w:eastAsia="Arial" w:hAnsi="Arial"/>
          <w:color w:val="2C3340"/>
          <w:sz w:val="20"/>
          <w:szCs w:val="20"/>
        </w:rPr>
        <w:t xml:space="preserve">Supervisor publications (PRA, EIOPA, NAIC) on cyber UW and AI</w:t>
      </w:r>
    </w:p>
    <w:p>
      <w:pPr>
        <w:pStyle w:val="ListParagraph"/>
        <w:numPr>
          <w:ilvl w:val="0"/>
          <w:numId w:val="16"/>
        </w:numPr>
        <w:spacing w:after="120" w:before="0" w:line="276"/>
      </w:pPr>
      <w:r>
        <w:rPr>
          <w:rFonts w:ascii="Arial" w:cs="Arial" w:eastAsia="Arial" w:hAnsi="Arial"/>
          <w:color w:val="2C3340"/>
          <w:sz w:val="20"/>
          <w:szCs w:val="20"/>
        </w:rPr>
        <w:t xml:space="preserve">Primary underwriter interviews — still the biggest evidence hole</w:t>
      </w:r>
    </w:p>
    <w:p>
      <w:pPr>
        <w:spacing w:after="280"/>
      </w:pPr>
    </w:p>
    <w:p>
      <w:pPr>
        <w:pBdr>
          <w:top w:val="single" w:color="D0D7DE" w:sz="6" w:space="12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5B6573"/>
          <w:sz w:val="15"/>
          <w:szCs w:val="15"/>
        </w:rPr>
        <w:t xml:space="preserve">End of brief  ·  For planning and research — not investment advice  ·  Not affiliated with Gartner</w:t>
      </w:r>
    </w:p>
    <w:sectPr>
      <w:headerReference w:type="default" r:id="rId6"/>
      <w:footerReference w:type="default" r:id="rId7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6" w:space="8"/>
      </w:pBdr>
      <w:spacing w:before="80"/>
      <w:jc w:val="center"/>
    </w:pPr>
    <w:r>
      <w:rPr>
        <w:rFonts w:ascii="Arial" w:cs="Arial" w:eastAsia="Arial" w:hAnsi="Arial"/>
        <w:color w:val="5B6573"/>
        <w:sz w:val="14"/>
        <w:szCs w:val="14"/>
      </w:rPr>
      <w:t xml:space="preserve">Public / secondary synthesis  ·  Page </w:t>
    </w:r>
    <w:r>
      <w:rPr>
        <w:rFonts w:ascii="Arial" w:cs="Arial" w:eastAsia="Arial" w:hAnsi="Arial"/>
        <w:color w:val="5B6573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573"/>
        <w:sz w:val="14"/>
        <w:szCs w:val="14"/>
      </w:rPr>
      <w:t xml:space="preserve"> of </w:t>
    </w:r>
    <w:r>
      <w:rPr>
        <w:rFonts w:ascii="Arial" w:cs="Arial" w:eastAsia="Arial" w:hAnsi="Arial"/>
        <w:color w:val="5B6573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DE" w:sz="6" w:space="8"/>
      </w:pBdr>
      <w:spacing w:after="120"/>
      <w:jc w:val="right"/>
    </w:pPr>
    <w:r>
      <w:rPr>
        <w:rFonts w:ascii="Arial" w:cs="Arial" w:eastAsia="Arial" w:hAnsi="Arial"/>
        <w:color w:val="5B6573"/>
        <w:sz w:val="14"/>
        <w:szCs w:val="14"/>
      </w:rPr>
      <w:t xml:space="preserve">Cyber UW Assistants  ·  Market Brief  ·  Sep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340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4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2332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 Insurance Underwriting Assistants — Market Brief</dc:title>
  <dc:creator>Cyber UW Research</dc:creator>
  <dc:description>Plain-English strategic market brief on cyber insurance underwriting assistants. Not an official Gartner report.</dc:description>
  <cp:lastModifiedBy>Un-named</cp:lastModifiedBy>
  <cp:revision>1</cp:revision>
  <dcterms:created xsi:type="dcterms:W3CDTF">2026-09-29T13:35:54.902Z</dcterms:created>
  <dcterms:modified xsi:type="dcterms:W3CDTF">2026-09-29T13:35:54.903Z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