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aps/>
          <w:color w:val="1B3A5C"/>
          <w:sz w:val="72"/>
          <w:szCs w:val="72"/>
        </w:rPr>
        <w:t xml:space="preserve">BIRTH MODEL</w:t>
      </w:r>
    </w:p>
    <w:p>
      <w:pPr>
        <w:spacing w:after="80"/>
        <w:jc w:val="center"/>
      </w:pPr>
      <w:r>
        <w:rPr>
          <w:rFonts w:ascii="Arial" w:cs="Arial" w:eastAsia="Arial" w:hAnsi="Arial"/>
          <w:color w:val="0D7E7E"/>
          <w:sz w:val="32"/>
          <w:szCs w:val="32"/>
        </w:rPr>
        <w:t xml:space="preserve">PRD Part 3 — Labs, Immunizations &amp; Genetic Screening</w:t>
      </w:r>
    </w:p>
    <w:p>
      <w:pPr>
        <w:spacing w:after="8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Prenatal Labs · Encounter Labs · Immunizations · LOINC Codes · Flag Logic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Source: birth-model-unified-complete.html patient data · Birth_Model_All_Labs_and_Immunizations_for_Patients.xlsx</w:t>
      </w:r>
    </w:p>
    <w:p>
      <w:pPr>
        <w:pBdr>
          <w:bottom w:val="single" w:color="0D7E7E" w:sz="6"/>
        </w:pBdr>
        <w:spacing w:after="24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Dr. Anish J. Shah, MD, FACOG</w:t>
      </w:r>
    </w:p>
    <w:p>
      <w:pPr>
        <w:spacing w:after="144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CEO &amp; Founder, Birth Model, Inc. · March 2026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5C"/>
        </w:rPr>
        <w:t xml:space="preserve">1. Lab Display Architecture</w:t>
      </w:r>
    </w:p>
    <w:p>
      <w:pPr>
        <w:pBdr>
          <w:bottom w:val="single" w:color="0D7E7E" w:sz="4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Labs render inside the patient handoff drawer using a templated HTML system. Labs are grouped into .lab-section subsections. The pVal(key) helper function reads from patient.prenatalLabs.</w:t>
      </w:r>
    </w:p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1.1 LAB FLAG CSS CLASSES (.LV VARIANTS)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E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Class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E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E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.lv (default)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var(--text) dark gray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Normal value, no flag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.lv.pos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var(--green)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Positive result (e.g., immunity confirmed)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.lv.neg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var(--muted) muted gray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Negative / not detected (favorable result)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.lv.flag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var(--red) #dc2626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Critical abnormal — requires clinical action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.lv.lo / .lv.warn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var(--amber) #d97706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Below normal or borderline warning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.lv.nil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var(--soft), italic weight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Not available or pending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.lv.bt-neutral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var(--text), bold, 10px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Blood type display — no color judgment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1.2 TREND DISPLAY CLASSES (INSIDE .LV-PREV SPAN)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Class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.arr-up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↑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#ef4444 red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Value trended up from previous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.arr-down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↓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#0a7c52 green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Value trended down from previous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.arr-eq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→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var(--soft) muted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Value unchanged from previous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1.3 LAB GRID LAYOUTS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Class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nth-child border rule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.lab-grid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 columns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lab-item:nth-child(3n) → border-right: none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Blood Bank, CBC, Infectious Disease, Immunity, Immunizations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.lab-grid-4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4 columns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lab-item:nth-child(4n) → border-right: none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Coagulation, Preeclampsia Labs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5C"/>
        </w:rPr>
        <w:t xml:space="preserve">2. Prenatal Labs (patient.prenatalLabs)</w:t>
      </w:r>
    </w:p>
    <w:p>
      <w:pPr>
        <w:pBdr>
          <w:bottom w:val="single" w:color="0D7E7E" w:sz="4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Set during outpatient prenatal care; displayed in handoff drawer. Accessed via pVal(key) helper. Values can be a plain string or an object {value, date}.</w:t>
      </w:r>
    </w:p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2.1 BLOOD BANK PRENATAL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000"/>
        <w:gridCol w:w="1200"/>
        <w:gridCol w:w="22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 Code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Abnormal / Flag Rule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Note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blood_type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ABO/Rh Blood Type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5436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Any 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Rh Negative → .flag class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Rh-neg mothers: RhoGAM at 28w + postpartum if baby Rh+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antibody_screen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Antibody Screen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5437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Negative → .neg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Positive → .flag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Positive = antibody ID + titers; risk of HDN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2.2 IMMUNITY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000"/>
        <w:gridCol w:w="1600"/>
        <w:gridCol w:w="18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 Code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→ CSS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Abnormal → CSS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Note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rubella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Rubella IgG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5441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Immune → .neg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Non-immune → .flag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MMR postpartum — LIVE VACCINE, CI in pregnancy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rubeola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Rubeola (Measles) IgG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24030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Immune → .neg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Non-immune → flag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MMR postpartum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mumps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Mumps IgG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Immune → .neg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Non-immune → (no explicit flag)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MMR postpartum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varicella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Varicella IgG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24031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Immune → .neg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Non-immune → .flag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Varicella vaccine postpartum; avoid exposure during pregnancy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2.3 INFECTIOUS DISEASE PRENATAL SCREENING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900"/>
        <w:gridCol w:w="1800"/>
        <w:gridCol w:w="1600"/>
        <w:gridCol w:w="2260"/>
      </w:tblGrid>
      <w:tr>
        <w:trPr>
          <w:tblHeader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Label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 Code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→ CSS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Abnormal → CSS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Action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hiv1st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HIV (1st Tri)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5444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Nonreactive → .neg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Reactive → (no explicit flag in code)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ART; consider C/S; infant prophylaxis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hiv3rd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HIV (3rd Tri)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5444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Nonreactive → .neg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Reactive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Repeat at 36w or admission if high-risk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hbsag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HBsAg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5443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Negative → .neg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Positive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⚠ Infant needs HBIg + HepB vaccine within 12hrs of birth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hepC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HCV Ab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5840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Negative → .neg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Positive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Reactive → HCV RNA; infant testing at 18 months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syphilis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RPR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5442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Nonreactive → .neg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Positive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⚠ TREAT BEFORE DELIVERY — prevent congenital syphilis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gonorrhea + chlamydia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GC/CT (combined display)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Both Negative → "Neg/Neg" → .neg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Either Positive → show separate values → .flag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Treat immediately; prevents neonatal ophthalmia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hsv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HSV 1/2 IgG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Negative → .neg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Positive → .flag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Suppressive therapy at 36w; C/S if active lesions. Only rendered if pVal("hsv") is truthy.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urine_culture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Urine Culture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 growth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≥100K CFU/mL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Treat ASB. GBS in urine = GBS+ status for delivery.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gbs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GBS (36-37w)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5452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Negative → .neg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Positive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Intrapartum antibiotics (penicillin/ampicillin preferred; see GBS allergy logic)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5FA0" w:sz="1"/>
              <w:left w:val="single" w:color="1E5FA0" w:sz="12"/>
              <w:bottom w:val="single" w:color="1E5FA0" w:sz="1"/>
              <w:right w:val="single" w:color="1E5FA0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📝 GBS display in the nurse card: p.gbs field + p.gbsDate field. p.antibiotics string is checked for coverage using regex: /gbs|pcn|ampicillin|penicillin/. If positive GBS and no match → gbsStatus = "needs-abx" (flag); if match found → gbsStatus = "covered" (green).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2.4 GLUCOSE SCREENING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200"/>
        <w:gridCol w:w="2000"/>
        <w:gridCol w:w="16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Abnormal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glucose_screen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1-Hr Glucose Screen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24-28 weeks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Pass (institution threshold: 130/135/140 mg/dL)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Fail → 3-hr GTT needed; ≥200 diagnoses GDM directly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Display: "Pass (124 mg/dL)" or "Fail (156 mg/dL) → GTT needed"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gtt_3hr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3-Hour GTT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If 1-hr screen fails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Normal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GDM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Abnormal fasting = GDM. Otherwise 2 of 3 timed values abnormal.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diabetes_status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Diabetes 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 Diabetes / GDM Screen Negative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GDM A1 | GDM A2 | Type 2 DM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A1 = diet only. A2 = insulin/meds. Pregestational = pre-existing before pregnancy.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hba1c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HbA1c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&lt;5.7%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≥5.7% (prediabetes) / ≥6.5% (diabetes)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≥6.5% in early pregnancy = likely preexisting diabetes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2.5 HEMOGLOBINOPATHY, IRON STUDIES, THYROID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2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Abnormal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Note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hemoglobin_electrophoresis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Hgb Electrophoresis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AA (normal)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AS (trait) | SS/SC (disease) | elevated HbA2 (thalassemia)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Screen high-risk populations. Trait = genetic counseling.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ferritin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Ferritin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≥30 ng/mL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&lt;30 ng/mL → iron deficient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Low ferritin confirms iron deficiency.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iron_serum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Iron, Serum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60-170 µg/dL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&lt;60 µg/dL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Used with ferritin for complete iron evaluation.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TSH (pregnancy-specific)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1st tri: 0.1-2.5 | 2nd: 0.2-3.0 | 3rd: 0.3-3.0 mIU/L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Outside trimester-specific range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Ranges differ from non-pregnant normals.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free_t4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Free T4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1st: 0.8-1.7 | 2nd: 0.7-1.5 | 3rd: 0.6-1.3 ng/dL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Outside trimester-specific range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Order with TSH for thyroid dysfunction workup.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5C"/>
        </w:rPr>
        <w:t xml:space="preserve">3. Encounter Labs (patient.labs and patient.preeLabs)</w:t>
      </w:r>
    </w:p>
    <w:p>
      <w:pPr>
        <w:pBdr>
          <w:bottom w:val="single" w:color="0D7E7E" w:sz="4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Labs obtained at admission or during the L&amp;D stay. Stored on patient.labs for CBC/coag/blood bank and patient.preeLabs for preeclampsia panel. All fields support trend display via prev/prevDate fields.</w:t>
      </w:r>
    </w:p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3.1 BLOOD BANK ENCOUNTER (PATIENT.LABS)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Key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Condition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(blood type from prenatal)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Blood 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Any ABO/Rh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Rh-negative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Must verify for potential transfusion.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antibody_screen_encounter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Antibody Screen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Negative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Positive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Positive = antibody ID needed; risk of transfusion reaction + HDN.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tsDate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Last T&amp;S (string field)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Date of last type and screen. Displayed as patient.labs.tsDate.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3.2 CBC &amp; HEMATOLOGY — FIELD KEYS IN PATIENT.LABS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18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 Fields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Condition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 Condition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(pregnancy)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wbc, wbcPrev, wbcPrevDate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wbcPrev + wbcPrevDate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wbc &gt; 15 → .warn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5,000-15,000/µL; up to 25,000 in active labor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hgb, hgbPrev, hgbPrevDate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hgbPrev + hgbPrevDate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hgb &lt; 10 → .lo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≥10 g/dL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hct, hctPrev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paired with hgb display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≥30%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plt, pltPrev, pltPrevDate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pltPrev + pltPrevDate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plt &lt; 100 → .flag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plt &lt; 150 → .lo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≥150,000/µL; &lt;100K = HELLP criterion; &lt;70K = epidural often CI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labTime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Timestamp of CBC draw (string, e.g. "7:00 AM"). Shown in section header.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3.3 COAGULATION — FIELD KEYS IN PATIENT.LABS (GRID: .LAB-GRID-4)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6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Keys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 Fields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Range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PT / INR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pt, inr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ptPrev, inrPrev, ptPrevDate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PT 10-13s; INR 0.8-1.2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PTT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ptt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pttPrev, pttPrevDate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25-35 seconds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Fibrinogen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fibrinogen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fibPrev (up/down arrow)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≥200 mg/dL (pregnancy elevated: 300-600). Drop = DIC/abruption/AFE.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D-Dimer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dDimer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 (nil/Pending only)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Normally elevated in pregnancy; not reliable for PE/DVT diagnosis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3.4 PREECLAMPSIA LABS — PATIENT.PREELABS (GRID: .LAB-GRID-4; CONDITIONAL: SHOWN IF P.PREE OR P.PREELABS)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24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Key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Threshold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 Fields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mag, magPrev, magPrevTime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Magnesium Level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up/down vs prev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1.8-3.0 mg/dL baseline; monitor on MgSO4 drip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bun, bunPrev, bunPrevTime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BUN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arrow + prev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≤12 mg/dL (pregnancy)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creat, creatPrev, creatPrevTime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Creatinine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creat &gt; 1.1 → .flag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arrow + prev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&lt;0.9 mg/dL in pregnancy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ast, astPrev, astPrevTime / alt, altPrev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AST / ALT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ast &gt; 70 → .flag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arrow on AST; alt shown with AST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≤35 U/L each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upCr, upCrPrev, upCrPrevTime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Uprot / Cr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upCr &gt; 0.3 → .flag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arrow + prev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&lt;0.3 mg/mg; ≥0.3 = significant proteinuria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uaProtein, uaProtPrev, uaProtPrevTime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UA Protein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truthy → .flag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arrow (always up)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Negative/Trace; ≥1+ = quantify with P/C ratio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egfr, egfrPrev, egfrPrevTime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eGFR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down=drop concern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Monitor trajectory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ldh, ldhPrev, ldhPrevTime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LDH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ldh &gt; 600 → .flag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arrow + prev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≤250 U/L; &gt;600 = HELLP criterion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uricAcid, uricAcidPrev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Uric Acid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uricAcid &gt; 6 → .flag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arrow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&lt;5.5 mg/dL; elevated = severity marker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glucose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Glucose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 (nil)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5C"/>
        </w:rPr>
        <w:t xml:space="preserve">4. Immunizations — patient.immunizations</w:t>
      </w:r>
    </w:p>
    <w:p>
      <w:pPr>
        <w:pBdr>
          <w:bottom w:val="single" w:color="0D7E7E" w:sz="4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Stored on patient.immunizations. Displayed in two lab subsections (Pregnancy Vaccines and Postpartum/At-Risk) and in the standalone collapsible .immunization-section in the patient drawer.</w:t>
      </w:r>
    </w:p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4.1 PREGNANCY VACCINES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500"/>
        <w:gridCol w:w="2000"/>
        <w:gridCol w:w="2000"/>
        <w:gridCol w:w="90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Green Condition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Condition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tdap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Tdap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27-36w EACH pregnancy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status === "Given"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status !== "Given" → .flag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Required every pregnancy for passive antibody transfer. Not just first.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flu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Flu Vaccine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Any trimester, Oct-May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status === "Given"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status !== "Given" → .flag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Injectable only. LAIV nasal spray contraindicated in pregnancy.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covid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COVID-19 Vaccine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Any trimester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status === "Up to date" OR "Given"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other → neutral (no explicit flag)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mRNA vaccines (Pfizer, Moderna). Updated annually.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rsv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RSV Vaccine (Abrysvo)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32-36w, Sept-Jan season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status === "Given"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not given → infant nirsevimab alternative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Maternal RSV vaccine OR infant nirsevimab — NOT both.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4.2 RHOGAM — RH PROPHYLAXIS (PATIENT.IMMUNIZATIONS.RHOGAM)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1800"/>
        <w:gridCol w:w="13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to Display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Condition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Note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pVal("bloodType").includes("NEG") OR patient.bloodType?.includes("NEG")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immunizations.rhogam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status === "Given" → .neg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rhogam.needsPostpartum = true → .flag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Give at 28w + within 72hrs postpartum if baby Rh+. Also after sensitizing events.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5FA0" w:sz="1"/>
              <w:left w:val="single" w:color="1E5FA0" w:sz="12"/>
              <w:bottom w:val="single" w:color="1E5FA0" w:sz="1"/>
              <w:right w:val="single" w:color="1E5FA0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📝 RhoGAM row is ONLY displayed for Rh-negative patients. For Rh-positive patients, this row does not appear at all.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4.3 POSTPARTUM/AT-RISK VACCINES — DYNAMIC FALLBACK LOGIC</w:t>
      </w:r>
    </w:p>
    <w:p>
      <w:pPr>
        <w:spacing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These are computed from prenatal immunity labs. Check patient.immunizations first; if null, fall back to immunity status from patient.prenatalLabs: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600"/>
        <w:gridCol w:w="2000"/>
        <w:gridCol w:w="96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Logic (if patient.immunizations.X is null)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Condition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mmr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MMR Vaccine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getRubellaImmune() AND getRubeolaImmune() → display "Immune"; else "Needed PP"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mmrStatus not "Immune" and not "Given" → .flag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LIVE VACCINE — postpartum only. CI in pregnancy.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varicella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Varicella Vaccine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getVaricellaImmune() → display "Immune"; else "Needed PP"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varicellaVaxStatus not "Immune" and not "Given" → .flag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LIVE VACCINE — postpartum only.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hepB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Hepatitis B Vaccine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null → display "Not indicated"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"Not indicated" → .neg (green); not immune + at-risk → .flag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3-dose series for high-risk patients only.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4.4 IMMUNIZATION ITEM CSS STATES (.IMM-ITEM — IN STANDALONE .IMMUNIZATION-SECTION)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Class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Border Color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Text Color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.imm-item.given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#f0fdf4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#86efac green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#16a34a green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Vaccine administered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.imm-item.needed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#fef3c7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#fcd34d yellow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#d97706 amber (bold)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Due — not yet given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.imm-item.declined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#fef2f2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#fca5a5 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#dc2626 red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Patient declined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.imm-item.unknown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#f3f4f6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#d1d5db gray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#6b7280 gray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Status unknown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.imm-item.rhogam-needed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#fef3c7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#f59e0b amber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#d97706 amber (bold 700)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RhoGAM overdue/needed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5C"/>
        </w:rPr>
        <w:t xml:space="preserve">5. Genetic Screening — patient.geneticScreening</w:t>
      </w:r>
    </w:p>
    <w:p>
      <w:pPr>
        <w:pBdr>
          <w:bottom w:val="single" w:color="0D7E7E" w:sz="4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Rendered as a .lab-section at the bottom of the lab panel. Only shown if patient.geneticScreening is truthy. Uses .lab-grid (3-col). Low Risk → .lv.neg; High Risk → .lv.flag.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2400"/>
        <w:gridCol w:w="2000"/>
        <w:gridCol w:w="5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 Risk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 Risk / Flag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Note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nipt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NIPT (Cell-Free DNA)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≥10 weeks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Low Risk → .neg (shows fetalSex if present)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HIGH RISK: T21/T18/T13/Sex Chr → .flag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SCREENING only. Confirm with amnio/CVS. No result = low fetal fraction.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first_trimester_screen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1st Trimester Screen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11-14 weeks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Low Risk → .neg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Screen Positive → .flag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Positive = genetic counseling, consider NIPT or CVS/amnio.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quad_screen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Quad Screen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15-22 weeks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Low Risk → .neg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Screen Positive → .flag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High AFP = rule out NTD. Screen positive = genetic counseling.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5C"/>
        </w:rPr>
        <w:t xml:space="preserve">6. LOINC Codes &amp; NM External Codes Reference</w:t>
      </w:r>
    </w:p>
    <w:p>
      <w:pPr>
        <w:pBdr>
          <w:bottom w:val="single" w:color="0D7E7E" w:sz="4"/>
        </w:pBdr>
        <w:spacing w:after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6.1 PRENATAL 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2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E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E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LOINC Codes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E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 Code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E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blood_type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34530-6, 883-9, 10331-7, 882-1, 78873-2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5436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antibody_screen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890-4, 1007-4, 1250-0, 10360-6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5437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rubella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25514-1, 8014-3, 40667-8, 5334-8, 22496-4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5441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rubeola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20479-2, 5244-9, 21500-4, 35275-7, 40648-8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24030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mumps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6477-4, 7966-5, 22415-4, 40737-9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supplemental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varicella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15410-4, 5403-1, 19162-7, 8046-5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24031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hiv_1st/3rd_tri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56888-1, 75622-1, 68961-2, 7917-8, 7918-6, 33866-5, 80387-4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5444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hep_b_surface_ag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5196-1, 7905-3, 75410-1, 63557-3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5443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hep_c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13955-0, 16128-1, 5199-5, 57006-9, 72376-7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5840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syphilis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47238-1, 24110-9, 20507-0, 31147-2, 5292-8, 22461-8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5442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chlamydia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21613-5, 43304-5, 45084-1, 45095-7, 45076-7, 21190-4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gonorrhea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24111-7, 43305-2, 45085-8, 45096-5, 45074-2, 21191-2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urine_culture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630-4, 6463-4, 88262-1, 88261-3, 41857-4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gbs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11267-2, 86596-4, 580-1, 76588-4, 5098-9, 87921-3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5452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glucose_screen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1504-0, 20438-8, 1518-0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gtt_3hr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1558-6, 1556-0, 1557-8, 1507-3, 76629-5, 77145-1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diabetes_status / hba1c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4548-4, 17856-6, 4549-2, 59261-8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hemoglobin_electrophoresis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4551-8, 4576-5, 4625-0, 4563-3, 71695-1, 50749-1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ferritin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2276-4, 20567-4, 24373-3, 14723-1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supplemental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tsh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3016-3, 11580-8, 27975-2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supplemental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free_t4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3024-7, 14920-3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supplemental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6.2 ENCOUNTER 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2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LOINC Codes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 Code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wbc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6690-2, 26464-8, 804-5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hemoglobin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718-7, 20509-6, 30313-1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hematocrit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4544-3, 20570-8, 32354-3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platelets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777-3, 778-1, 26515-7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1920-8, 30239-8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alt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1742-6, 1743-4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ldh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2532-0, 14804-9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creatinine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2160-0, 14682-9, 38483-4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bun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3094-0, 6299-2, 14937-7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supplemental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uric_acid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3084-1, 14933-6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supplemental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protein_creatinine_ratio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2890-2, 13801-6, 34366-5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magnesium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19123-9, 2601-3, 19124-7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5902-2, 5964-2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ptt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3173-2, 14979-9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inr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6301-6, 34714-6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fibrinogen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3255-7, 30902-1, 48664-0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d_dimer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48065-7, 48066-5, 30240-6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supplemental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covid_test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94500-6, 95406-5, 94845-5, 96119-3, 94762-2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influenza_test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76078-5, 80382-5, 85477-8, 92142-9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supplemental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rsv_test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92131-2, 40988-8, 88535-0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supplemental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fetal_fibronectin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31993-9, 20407-3, 49245-4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rom_status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19295-5, 2753-9, 5802-4, 50595-8, 89321-4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6.3 IMMUNIZATIONS LOINC / CVX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400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400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LOINC / CVX Codes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400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tdap_vaccine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30952-6, 30546-6, 11458-7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influenza_vaccine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46249-9, 30525-0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covid_vaccine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91375-6, 96766-1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rsv_vaccine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96895-8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mmr_vaccine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30939-3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varicella_vaccine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30942-7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supplemental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hepatitis_b_vaccine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30943-5, 46250-7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supplemental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rhogam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LOINC: 11150-3, 890-4 · CVX: 90 (RhIG)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E7E"/>
                <w:sz w:val="19"/>
                <w:szCs w:val="19"/>
              </w:rPr>
              <w:t xml:space="preserve">essential</w:t>
            </w:r>
          </w:p>
        </w:tc>
      </w:tr>
    </w:tbl>
    <w:p>
      <w:pPr>
        <w:spacing w:after="200"/>
      </w:pP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E7E" w:sz="4"/>
      </w:pBdr>
      <w:spacing w:after="60"/>
    </w:pPr>
    <w:r>
      <w:rPr>
        <w:rFonts w:ascii="Arial" w:cs="Arial" w:eastAsia="Arial" w:hAnsi="Arial"/>
        <w:color w:val="4B5563"/>
        <w:sz w:val="16"/>
        <w:szCs w:val="16"/>
      </w:rPr>
      <w:t xml:space="preserve">BIRTH MODEL — PRD Part 3: Labs · Immunizations · Genetic Screening · LOINC Codes | Dr. Anish J. Shah · Mar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556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D7E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5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2026-03-17T00:24:55.604Z</dcterms:created>
  <dcterms:modified xsi:type="dcterms:W3CDTF">2026-03-17T00:24:55.604Z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