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476A"/>
          <w:sz w:val="40"/>
        </w:rPr>
        <w:t>GEZGAH</w:t>
      </w:r>
    </w:p>
    <w:p>
      <w:pPr>
        <w:jc w:val="center"/>
      </w:pPr>
      <w:r>
        <w:rPr>
          <w:rFonts w:ascii="Arial" w:hAnsi="Arial"/>
          <w:b/>
          <w:color w:val="18476A"/>
          <w:sz w:val="32"/>
        </w:rPr>
        <w:t>03 - Gezgah KVKK Aydınlatma Metni</w:t>
      </w:r>
    </w:p>
    <w:p>
      <w:pPr>
        <w:jc w:val="center"/>
      </w:pPr>
      <w:r>
        <w:rPr>
          <w:rFonts w:ascii="Arial" w:hAnsi="Arial"/>
          <w:color w:val="666666"/>
          <w:sz w:val="20"/>
        </w:rPr>
        <w:t>6698 sayılı KVKK kapsamındaki bilgilendirme</w:t>
      </w:r>
    </w:p>
    <w:tbl>
      <w:tblPr>
        <w:tblStyle w:val="TableGrid"/>
        <w:tblW w:type="auto" w:w="0"/>
        <w:jc w:val="center"/>
        <w:tblLook w:firstColumn="1" w:firstRow="1" w:lastColumn="0" w:lastRow="0" w:noHBand="0" w:noVBand="1" w:val="04A0"/>
      </w:tblPr>
      <w:tblGrid>
        <w:gridCol w:w="5100"/>
        <w:gridCol w:w="5100"/>
      </w:tblGrid>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Marka / uygulama</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Gezgah</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Veri sorumlusu / hizmet sağlayıcı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[ŞİRKET/ŞAHIS İŞLETMESİ ÜNVANI]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Adres</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adres]</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İletişim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[destek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KVKK başvuru kanalı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[hukuk/kvkk e-posta adresi]</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Versiyon</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2.0 - Taslak</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Hazırlanma tarihi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14 Temmuz 2026</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Durum</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Avukat ve KVKK danışmanı incelemesine sunulacak profesyonel taslak</w:t>
            </w:r>
          </w:p>
        </w:tc>
      </w:tr>
    </w:tbl>
    <w:p/>
    <w:tbl>
      <w:tblPr>
        <w:tblW w:type="auto" w:w="0"/>
        <w:jc w:val="center"/>
        <w:tblLook w:firstColumn="1" w:firstRow="1" w:lastColumn="0" w:lastRow="0" w:noHBand="0" w:noVBand="1" w:val="04A0"/>
      </w:tblPr>
      <w:tblGrid>
        <w:gridCol w:w="10200"/>
      </w:tblGrid>
      <w:tr>
        <w:tc>
          <w:tcPr>
            <w:tcW w:type="dxa" w:w="10200"/>
            <w:shd w:fill="EEF6FA"/>
            <w:tcBorders>
              <w:top w:sz="8" w:val="single" w:color="A5C8D9"/>
              <w:left w:sz="8" w:val="single" w:color="A5C8D9"/>
              <w:bottom w:sz="8" w:val="single" w:color="A5C8D9"/>
              <w:right w:sz="8" w:val="single" w:color="A5C8D9"/>
            </w:tcBorders>
          </w:tcPr>
          <w:p>
            <w:pPr>
              <w:spacing w:after="0"/>
            </w:pPr>
            <w:r>
              <w:rPr>
                <w:rFonts w:ascii="Arial" w:hAnsi="Arial"/>
                <w:b/>
                <w:color w:val="18476A"/>
                <w:sz w:val="18"/>
              </w:rPr>
              <w:t xml:space="preserve">Önemli uyarı: </w:t>
            </w:r>
            <w:r>
              <w:rPr>
                <w:rFonts w:ascii="Arial" w:hAnsi="Arial"/>
                <w:sz w:val="18"/>
              </w:rPr>
              <w:t>Önemli not: Bu belge Gezgah kullanıcı uygulamasının bildirilen işleyişine göre hazırlanmış profesyonel taslak niteliğindedir. Nihai yayından önce şirket/şahıs işletmesi bilgileri, ödeme kuruluşu, saklama süreleri, yurt dışı aktarım durumu, kullanılan SDK/çerezler, İYS/VERBİS yükümlülükleri ve tüketici hukuku hükümleri bakımından avukat ve KVKK danışmanı tarafından kontrol edilmelidir.</w:t>
            </w:r>
          </w:p>
        </w:tc>
      </w:tr>
    </w:tbl>
    <w:p/>
    <w:p>
      <w:pPr>
        <w:pStyle w:val="Heading1"/>
      </w:pPr>
      <w:r>
        <w:t>1. Veri sorumlusu</w:t>
      </w:r>
    </w:p>
    <w:p>
      <w:r>
        <w:t>6698 sayılı Kişisel Verilerin Korunması Kanunu (“KVKK”) kapsamında kişisel verileriniz veri sorumlusu sıfatıyla [ŞİRKET/ŞAHIS İŞLETMESİ ÜNVANI] tarafından işlenmektedir.</w:t>
      </w:r>
    </w:p>
    <w:tbl>
      <w:tblPr>
        <w:tblStyle w:val="TableGrid"/>
        <w:tblW w:type="auto" w:w="0"/>
        <w:jc w:val="center"/>
        <w:tblLook w:firstColumn="1" w:firstRow="1" w:lastColumn="0" w:lastRow="0" w:noHBand="0" w:noVBand="1" w:val="04A0"/>
      </w:tblPr>
      <w:tblGrid>
        <w:gridCol w:w="5100"/>
        <w:gridCol w:w="5100"/>
      </w:tblGrid>
      <w:tr>
        <w:tc>
          <w:tcPr>
            <w:tcW w:type="dxa" w:w="2268"/>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Bilgi</w:t>
            </w:r>
          </w:p>
        </w:tc>
        <w:tc>
          <w:tcPr>
            <w:tcW w:type="dxa" w:w="6236"/>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İçerik</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Unvan</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[ŞİRKET/ŞAHIS İŞLETMESİ ÜNVANI]</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Adres</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[ticari adres]</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E-posta</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[hukuk/kvkk e-posta adresi]</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Telefon</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[telefon]</w:t>
            </w:r>
          </w:p>
        </w:tc>
      </w:tr>
      <w:tr>
        <w:tc>
          <w:tcPr>
            <w:tcW w:type="dxa" w:w="2268"/>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Vergi/MERSİS</w:t>
            </w:r>
          </w:p>
        </w:tc>
        <w:tc>
          <w:tcPr>
            <w:tcW w:type="dxa" w:w="6236"/>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[doldurulacak]</w:t>
            </w:r>
          </w:p>
        </w:tc>
      </w:tr>
    </w:tbl>
    <w:p/>
    <w:p>
      <w:pPr>
        <w:pStyle w:val="Heading1"/>
      </w:pPr>
      <w:r>
        <w:t>2. İşlenen kişisel veri kategorileri</w:t>
      </w:r>
    </w:p>
    <w:p>
      <w:r>
        <w:t>Gezgah tarafından işlenebilecek kişisel veri kategorileri şunlardır: kimlik verileri, iletişim verileri, kullanıcı işlem verileri, konum verileri, cihaz ve işlem güvenliği verileri, rezervasyon verileri, ödeme/depozito işlem verileri, favori ve tercih verileri, pazarlama izin verileri, değerlendirme/puanlama verileri, destek talebi verileri, Kedy yapay zeka etkileşim verileri ve uygulama içi izin kayıtları.</w:t>
      </w:r>
    </w:p>
    <w:p>
      <w:pPr>
        <w:pStyle w:val="Heading1"/>
      </w:pPr>
      <w:r>
        <w:t>3. Kişisel verilerin işlenme amaçları</w:t>
      </w:r>
    </w:p>
    <w:p>
      <w:pPr>
        <w:ind w:left="255" w:hanging="142"/>
      </w:pPr>
      <w:r>
        <w:rPr>
          <w:b/>
        </w:rPr>
        <w:t xml:space="preserve">• </w:t>
      </w:r>
      <w:r>
        <w:t>Üyelik oluşturma, hesap yönetimi ve kullanıcı kimliğinin doğrulanması.</w:t>
      </w:r>
    </w:p>
    <w:p>
      <w:pPr>
        <w:ind w:left="255" w:hanging="142"/>
      </w:pPr>
      <w:r>
        <w:rPr>
          <w:b/>
        </w:rPr>
        <w:t xml:space="preserve">• </w:t>
      </w:r>
      <w:r>
        <w:t>Mekan, menü, etkinlik, park, plaj, mesire alanı ve harita deneyiminin sağlanması.</w:t>
      </w:r>
    </w:p>
    <w:p>
      <w:pPr>
        <w:ind w:left="255" w:hanging="142"/>
      </w:pPr>
      <w:r>
        <w:rPr>
          <w:b/>
        </w:rPr>
        <w:t xml:space="preserve">• </w:t>
      </w:r>
      <w:r>
        <w:t>Yakınlık, yol tarifi, konum tabanlı keşif ve arama özelliklerinin çalıştırılması.</w:t>
      </w:r>
    </w:p>
    <w:p>
      <w:pPr>
        <w:ind w:left="255" w:hanging="142"/>
      </w:pPr>
      <w:r>
        <w:rPr>
          <w:b/>
        </w:rPr>
        <w:t xml:space="preserve">• </w:t>
      </w:r>
      <w:r>
        <w:t>Mikrofonla sesli arama fonksiyonunun sunulması.</w:t>
      </w:r>
    </w:p>
    <w:p>
      <w:pPr>
        <w:ind w:left="255" w:hanging="142"/>
      </w:pPr>
      <w:r>
        <w:rPr>
          <w:b/>
        </w:rPr>
        <w:t xml:space="preserve">• </w:t>
      </w:r>
      <w:r>
        <w:t>Kedy yapay zeka asistanı ile mekan önerisi ve sohbet deneyimi sağlanması.</w:t>
      </w:r>
    </w:p>
    <w:p>
      <w:pPr>
        <w:ind w:left="255" w:hanging="142"/>
      </w:pPr>
      <w:r>
        <w:rPr>
          <w:b/>
        </w:rPr>
        <w:t xml:space="preserve">• </w:t>
      </w:r>
      <w:r>
        <w:t>Favoriler, kullanıcı tercihleri ve kişiselleştirilmiş keşif deneyiminin oluşturulması.</w:t>
      </w:r>
    </w:p>
    <w:p>
      <w:pPr>
        <w:ind w:left="255" w:hanging="142"/>
      </w:pPr>
      <w:r>
        <w:rPr>
          <w:b/>
        </w:rPr>
        <w:t xml:space="preserve">• </w:t>
      </w:r>
      <w:r>
        <w:t>Rezervasyon talebinin alınması, işletmeye iletilmesi, onay/ret/iptal süreçlerinin yürütülmesi.</w:t>
      </w:r>
    </w:p>
    <w:p>
      <w:pPr>
        <w:ind w:left="255" w:hanging="142"/>
      </w:pPr>
      <w:r>
        <w:rPr>
          <w:b/>
        </w:rPr>
        <w:t xml:space="preserve">• </w:t>
      </w:r>
      <w:r>
        <w:t>Depozito/ön ödeme, işlem ücreti, ödeme, iade, muhasebe ve finans kayıtlarının oluşturulması.</w:t>
      </w:r>
    </w:p>
    <w:p>
      <w:pPr>
        <w:ind w:left="255" w:hanging="142"/>
      </w:pPr>
      <w:r>
        <w:rPr>
          <w:b/>
        </w:rPr>
        <w:t xml:space="preserve">• </w:t>
      </w:r>
      <w:r>
        <w:t>Değerlendirme ve puanların ilgili işletmeye Gezgah Pro üzerinden gösterilmesi; kalite ölçümü yapılması.</w:t>
      </w:r>
    </w:p>
    <w:p>
      <w:pPr>
        <w:ind w:left="255" w:hanging="142"/>
      </w:pPr>
      <w:r>
        <w:rPr>
          <w:b/>
        </w:rPr>
        <w:t xml:space="preserve">• </w:t>
      </w:r>
      <w:r>
        <w:t>Kampanya, etkinlik, sponsorlu içerik ve ticari bildirimlerin kullanıcı tercihleri doğrultusunda gönderilmesi.</w:t>
      </w:r>
    </w:p>
    <w:p>
      <w:pPr>
        <w:ind w:left="255" w:hanging="142"/>
      </w:pPr>
      <w:r>
        <w:rPr>
          <w:b/>
        </w:rPr>
        <w:t xml:space="preserve">• </w:t>
      </w:r>
      <w:r>
        <w:t>Kullanıcı destek taleplerinin yönetilmesi; güvenlik, dolandırıcılık ve kötüye kullanımın önlenmesi.</w:t>
      </w:r>
    </w:p>
    <w:p>
      <w:pPr>
        <w:ind w:left="255" w:hanging="142"/>
      </w:pPr>
      <w:r>
        <w:rPr>
          <w:b/>
        </w:rPr>
        <w:t xml:space="preserve">• </w:t>
      </w:r>
      <w:r>
        <w:t>Hata kayıtlarının tutulması, ürün geliştirme, analitik, raporlama ve anonim istatistik üretimi.</w:t>
      </w:r>
    </w:p>
    <w:p>
      <w:pPr>
        <w:ind w:left="255" w:hanging="142"/>
      </w:pPr>
      <w:r>
        <w:rPr>
          <w:b/>
        </w:rPr>
        <w:t xml:space="preserve">• </w:t>
      </w:r>
      <w:r>
        <w:t>Yasal yükümlülüklerin yerine getirilmesi, yetkili kurum taleplerinin karşılanması, uyuşmazlıkların çözülmesi ve hakların korunması.</w:t>
      </w:r>
    </w:p>
    <w:p>
      <w:pPr>
        <w:pStyle w:val="Heading1"/>
      </w:pPr>
      <w:r>
        <w:t>4. Kişisel verilerin işlenme hukuki sebepleri</w:t>
      </w:r>
    </w:p>
    <w:p>
      <w:r>
        <w:t>Kişisel verileriniz KVKK m.5 ve ilgili mevzuatta yer alan hukuki sebeplere dayanılarak işlenir. Başlıca hukuki sebepler şunlardır: bir sözleşmenin kurulması veya ifası için gerekli olması; veri sorumlusunun hukuki yükümlülüğünü yerine getirmesi; bir hakkın tesisi, kullanılması veya korunması için veri işlemenin zorunlu olması; ilgili kişinin temel hak ve özgürlüklerine zarar vermemek kaydıyla veri sorumlusunun meşru menfaati; kanunlarda açıkça öngörülmesi; ilgili kişinin kendisi tarafından alenileştirilmiş olması ve gerekli hallerde açık rıza.</w:t>
      </w:r>
    </w:p>
    <w:tbl>
      <w:tblPr>
        <w:tblStyle w:val="TableGrid"/>
        <w:tblW w:type="auto" w:w="0"/>
        <w:jc w:val="center"/>
        <w:tblLook w:firstColumn="1" w:firstRow="1" w:lastColumn="0" w:lastRow="0" w:noHBand="0" w:noVBand="1" w:val="04A0"/>
      </w:tblPr>
      <w:tblGrid>
        <w:gridCol w:w="5100"/>
        <w:gridCol w:w="5100"/>
      </w:tblGrid>
      <w:tr>
        <w:tc>
          <w:tcPr>
            <w:tcW w:type="dxa" w:w="3402"/>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İşleme faaliyeti</w:t>
            </w:r>
          </w:p>
        </w:tc>
        <w:tc>
          <w:tcPr>
            <w:tcW w:type="dxa" w:w="5102"/>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Muhtemel hukuki sebep</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Hesap oluşturma ve kullanıcı sözleşmesinin yürütülmesi</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Sözleşmenin kurulması/ifası; meşru menfaat; hukuki yükümlülük</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Rezervasyon talebinin işletmeye iletilmesi</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Sözleşmenin kurulması/ifası; kullanıcıya açık bilgilendirme</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Ödeme/depozito ve iade süreçleri</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Sözleşmenin ifası; hukuki yükümlülük; hakkın tesisi/kullanılması/korunması</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Konum tabanlı kişiselleştirilmiş keşif</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Özelliğin niteliğine göre açık rıza/cihaz izni veya sözleşmenin ifası/meşru menfaat değerlendirmesi</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Mikrofonla sesli arama</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Kullanıcının başlattığı özellik kapsamında cihaz izni; gerektiğinde açık rıza</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Ticari elektronik ileti</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Ayrı ticari ileti onayı ve mevzuat kapsamındaki izin/ret kayıtları</w:t>
            </w:r>
          </w:p>
        </w:tc>
      </w:tr>
      <w:tr>
        <w:tc>
          <w:tcPr>
            <w:tcW w:type="dxa" w:w="3402"/>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Kedy yapay zeka etkileşimi</w:t>
            </w:r>
          </w:p>
        </w:tc>
        <w:tc>
          <w:tcPr>
            <w:tcW w:type="dxa" w:w="5102"/>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Özelliğin kullanımı için sözleşmenin ifası; kalite/güvenlik için meşru menfaat; gerekiyorsa açık rıza/yurt dışı aktarım mekanizması</w:t>
            </w:r>
          </w:p>
        </w:tc>
      </w:tr>
    </w:tbl>
    <w:p/>
    <w:p>
      <w:pPr>
        <w:pStyle w:val="Heading1"/>
      </w:pPr>
      <w:r>
        <w:t>5. Kişisel verilerin aktarılması</w:t>
      </w:r>
    </w:p>
    <w:p>
      <w:r>
        <w:t>Kişisel verileriniz; rezervasyon talebinin yürütülmesi için ilgili işletmeye; ödeme/depozito işlemleri için ödeme kuruluşuna; bildirim, SMS, e-posta, sunucu, barındırma, veri tabanı, analitik, hata izleme, güvenlik, harita, müşteri destek ve yapay zeka altyapısı sağlayıcılarına; mali müşavir, hukuk danışmanı ve denetçilere; yetkili kamu kurum ve kuruluşlarına; uyuşmazlık halinde mahkemeler, icra daireleri ve yetkili mercilere aktarılabilir.</w:t>
      </w:r>
    </w:p>
    <w:p>
      <w:r>
        <w:t>Aktarım yalnızca ilgili amaçla sınırlı, ölçülü ve hukuki dayanağa uygun şekilde yapılmalıdır. Yurt dışına veri aktarımı söz konusuysa KVKK m.9 ve ilgili ikincil mevzuatta öngörülen uygun aktarım mekanizması ayrıca belirlenmeli; gerekiyorsa kullanıcıdan ayrı açık rıza alınmalıdır.</w:t>
      </w:r>
    </w:p>
    <w:p>
      <w:pPr>
        <w:pStyle w:val="Heading1"/>
      </w:pPr>
      <w:r>
        <w:t>6. Kişisel veri toplama yöntemleri</w:t>
      </w:r>
    </w:p>
    <w:p>
      <w:r>
        <w:t>Kişisel verileriniz; mobil uygulama üyelik formu, hesap ekranı, rezervasyon ekranı, ödeme/depozito ekranı, favori ve değerlendirme işlemleri, Kedy sohbet ekranı, sesli arama, cihaz izinleri, çerez/SDK teknolojileri, destek talepleri, bildirim izinleri, işletme ile yürütülen rezervasyon süreçleri ve sistem kayıtları aracılığıyla otomatik veya otomatik olmayan yollarla toplanabilir.</w:t>
      </w:r>
    </w:p>
    <w:p>
      <w:pPr>
        <w:pStyle w:val="Heading1"/>
      </w:pPr>
      <w:r>
        <w:t>7. Saklama ve imha</w:t>
      </w:r>
    </w:p>
    <w:p>
      <w:r>
        <w:t>Kişisel verileriniz işleme amacının gerektirdiği süre boyunca ve ilgili mevzuatta öngörülen saklama süreleri kadar saklanır. İşleme sebebi ortadan kalktığında veriler silinir, yok edilir veya anonim hale getirilir. Anonim hale getirilen veriler kullanıcıyla ilişkilendirilemeyecek şekilde istatistik, raporlama ve ürün geliştirme amacıyla kullanılabilir.</w:t>
      </w:r>
    </w:p>
    <w:tbl>
      <w:tblPr>
        <w:tblStyle w:val="TableGrid"/>
        <w:tblW w:type="auto" w:w="0"/>
        <w:jc w:val="center"/>
        <w:tblLook w:firstColumn="1" w:firstRow="1" w:lastColumn="0" w:lastRow="0" w:noHBand="0" w:noVBand="1" w:val="04A0"/>
      </w:tblPr>
      <w:tblGrid>
        <w:gridCol w:w="5100"/>
        <w:gridCol w:w="5100"/>
      </w:tblGrid>
      <w:tr>
        <w:tc>
          <w:tcPr>
            <w:tcW w:type="dxa" w:w="2835"/>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Veri türü</w:t>
            </w:r>
          </w:p>
        </w:tc>
        <w:tc>
          <w:tcPr>
            <w:tcW w:type="dxa" w:w="5669"/>
            <w:vAlign w:val="top"/>
            <w:tcBorders>
              <w:top w:sz="4" w:val="single" w:color="D9D9D9"/>
              <w:left w:sz="4" w:val="single" w:color="D9D9D9"/>
              <w:bottom w:sz="4" w:val="single" w:color="D9D9D9"/>
              <w:right w:sz="4" w:val="single" w:color="D9D9D9"/>
            </w:tcBorders>
            <w:shd w:fill="18476A"/>
          </w:tcPr>
          <w:p>
            <w:pPr>
              <w:spacing w:after="0"/>
            </w:pPr>
            <w:r>
              <w:rPr>
                <w:rFonts w:ascii="Arial" w:hAnsi="Arial" w:eastAsia="Arial"/>
                <w:b/>
                <w:color w:val="FFFFFF"/>
                <w:sz w:val="17"/>
              </w:rPr>
              <w:t>Saklama yaklaşımı</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Üyelik/hesap verileri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Hesap aktif olduğu sürece; hesap silme sonrası hukuki zorunluluklar için gerekli süre kadar</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Rezervasyon ve ödeme işlem kayıtları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İlgili mevzuat, muhasebe, uyuşmazlık ve zamanaşımı süreleri boyunca</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İletişim ve destek kayıtları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Talebin sonuçlanması ve olası uyuşmazlıkların çözümü için makul süre boyunca</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Pazarlama izin kayıtları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Onayın geçerliliği ve ret/şikayet süreçlerinin ispatı için gerekli süre boyunca</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Log, güvenlik ve hata kayıtları</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Güvenlik ve teknik gereklilikler için makul süre boyunca</w:t>
            </w:r>
          </w:p>
        </w:tc>
      </w:tr>
      <w:tr>
        <w:tc>
          <w:tcPr>
            <w:tcW w:type="dxa" w:w="2835"/>
            <w:vAlign w:val="top"/>
            <w:tcBorders>
              <w:top w:sz="4" w:val="single" w:color="D9D9D9"/>
              <w:left w:sz="4" w:val="single" w:color="D9D9D9"/>
              <w:bottom w:sz="4" w:val="single" w:color="D9D9D9"/>
              <w:right w:sz="4" w:val="single" w:color="D9D9D9"/>
            </w:tcBorders>
            <w:shd w:fill="F2F6F8"/>
          </w:tcPr>
          <w:p>
            <w:pPr>
              <w:spacing w:after="0"/>
            </w:pPr>
            <w:r>
              <w:rPr>
                <w:rFonts w:ascii="Arial" w:hAnsi="Arial" w:eastAsia="Arial"/>
                <w:b/>
                <w:sz w:val="17"/>
              </w:rPr>
              <w:t>Favori, tercih ve kullanım verileri</w:t>
            </w:r>
          </w:p>
        </w:tc>
        <w:tc>
          <w:tcPr>
            <w:tcW w:type="dxa" w:w="5669"/>
            <w:vAlign w:val="top"/>
            <w:tcBorders>
              <w:top w:sz="4" w:val="single" w:color="D9D9D9"/>
              <w:left w:sz="4" w:val="single" w:color="D9D9D9"/>
              <w:bottom w:sz="4" w:val="single" w:color="D9D9D9"/>
              <w:right w:sz="4" w:val="single" w:color="D9D9D9"/>
            </w:tcBorders>
          </w:tcPr>
          <w:p>
            <w:pPr>
              <w:spacing w:after="0"/>
            </w:pPr>
            <w:r>
              <w:rPr>
                <w:rFonts w:ascii="Arial" w:hAnsi="Arial" w:eastAsia="Arial"/>
                <w:sz w:val="17"/>
              </w:rPr>
              <w:t>Hesap aktif olduğu veya kullanıcı silmediği sürece; anonimleştirilmiş istatistikler kullanıcıyla ilişkilendirilemeyecek şekilde saklanabilir</w:t>
            </w:r>
          </w:p>
        </w:tc>
      </w:tr>
    </w:tbl>
    <w:p/>
    <w:p>
      <w:pPr>
        <w:pStyle w:val="Heading1"/>
      </w:pPr>
      <w:r>
        <w:t>8. İlgili kişinin hakları</w:t>
      </w:r>
    </w:p>
    <w:p>
      <w:r>
        <w:t>KVKK m.11 kapsamında; kişisel verilerinizin işlenip işlenmediğini öğrenme, işlenmişse bilgi talep etme, işlenme amacını ve amaca uygun kullanılıp kullanılmadığını öğrenme, yurt içinde veya yurt dışında aktarıldığı üçüncü kişileri bilme, eksik veya yanlış işlenmişse düzeltilmesini isteme, şartları oluşmuşsa silinmesini veya yok edilmesini isteme, bu işlemlerin aktarıldığı üçüncü kişilere bildirilmesini isteme, münhasıran otomatik sistemler yoluyla aleyhinize bir sonucun ortaya çıkmasına itiraz etme ve kanuna aykırı işleme nedeniyle zarara uğramanız halinde zararın giderilmesini talep etme haklarına sahipsiniz.</w:t>
      </w:r>
    </w:p>
    <w:p>
      <w:pPr>
        <w:pStyle w:val="Heading1"/>
      </w:pPr>
      <w:r>
        <w:t>9. Başvuru yöntemi</w:t>
      </w:r>
    </w:p>
    <w:p>
      <w:r>
        <w:t>KVKK kapsamındaki taleplerinizi [hukuk/kvkk e-posta adresi] adresine veya [ticari adres] adresine yazılı olarak iletebilirsiniz. Başvuruda ad, soyad, iletişim bilgisi, talep konusu ve kimliğinizi doğrulamaya yarayacak bilgiler bulunmalıdır. Gezgah başvuruları mevzuatta öngörülen sürelerde sonuçlandırır. Talep konusu ayrıca işlem maliyeti gerektiriyorsa mevzuatta belirlenen ücret talep edilebilir.</w:t>
      </w:r>
    </w:p>
    <w:p>
      <w:pPr>
        <w:pStyle w:val="Heading1"/>
      </w:pPr>
      <w:r>
        <w:t>10. Aydınlatma metninin güncellenmesi</w:t>
      </w:r>
    </w:p>
    <w:p>
      <w:r>
        <w:t>Bu Aydınlatma Metni; uygulama özellikleri, veri işleme amaçları, üçüncü taraf sağlayıcılar, hukuki sebepler veya mevzuat değişiklikleri nedeniyle güncellenebilir. Önemli değişiklikler kullanıcıya uygun yöntemlerle duyurulur.</w:t>
      </w:r>
    </w:p>
    <w:sectPr w:rsidR="00FC693F" w:rsidRPr="0006063C" w:rsidSect="00034616">
      <w:headerReference w:type="default" r:id="rId9"/>
      <w:footerReference w:type="default" r:id="rId10"/>
      <w:pgSz w:w="12240" w:h="15840"/>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Taslak belge - Nihai yayın öncesinde hukuki kontrol önerilir.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GEZGAH | Hukuki Metin Taslağı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18476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847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