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Final Professor Feedback Remediation Matrix</w:t>
      </w:r>
    </w:p>
    <w:p>
      <w:r>
        <w:rPr>
          <w:b/>
        </w:rPr>
        <w:t xml:space="preserve">Purpose. </w:t>
      </w:r>
      <w:r>
        <w:t>This document consolidates the major professor and advisor concerns, the completed remediation actions, the evidence artifacts, and the remaining manuscript-use boundary. It is an inventory and planning artifact only; it does not alter any experiment or result.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c>
          <w:tcPr>
            <w:tcW w:type="dxa" w:w="835"/>
          </w:tcPr>
          <w:p>
            <w:r>
              <w:rPr>
                <w:b/>
                <w:sz w:val="16"/>
              </w:rPr>
              <w:t>Feedback ID</w:t>
            </w:r>
          </w:p>
        </w:tc>
        <w:tc>
          <w:tcPr>
            <w:tcW w:type="dxa" w:w="2088"/>
          </w:tcPr>
          <w:p>
            <w:r>
              <w:rPr>
                <w:b/>
                <w:sz w:val="16"/>
              </w:rPr>
              <w:t>Professor Feedback</w:t>
            </w:r>
          </w:p>
        </w:tc>
        <w:tc>
          <w:tcPr>
            <w:tcW w:type="dxa" w:w="2520"/>
          </w:tcPr>
          <w:p>
            <w:r>
              <w:rPr>
                <w:b/>
                <w:sz w:val="16"/>
              </w:rPr>
              <w:t>Remediation Action</w:t>
            </w:r>
          </w:p>
        </w:tc>
        <w:tc>
          <w:tcPr>
            <w:tcW w:type="dxa" w:w="2664"/>
          </w:tcPr>
          <w:p>
            <w:r>
              <w:rPr>
                <w:b/>
                <w:sz w:val="16"/>
              </w:rPr>
              <w:t>Key Result</w:t>
            </w:r>
          </w:p>
        </w:tc>
        <w:tc>
          <w:tcPr>
            <w:tcW w:type="dxa" w:w="2088"/>
          </w:tcPr>
          <w:p>
            <w:r>
              <w:rPr>
                <w:b/>
                <w:sz w:val="16"/>
              </w:rPr>
              <w:t>Final Status</w:t>
            </w:r>
          </w:p>
        </w:tc>
        <w:tc>
          <w:tcPr>
            <w:tcW w:type="dxa" w:w="1296"/>
          </w:tcPr>
          <w:p>
            <w:r>
              <w:rPr>
                <w:b/>
                <w:sz w:val="16"/>
              </w:rPr>
              <w:t>Praxis Chapter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Defense Talking Point</w:t>
            </w:r>
          </w:p>
        </w:tc>
      </w:tr>
      <w:tr>
        <w:tc>
          <w:tcPr>
            <w:tcW w:type="dxa" w:w="835"/>
            <w:vAlign w:val="center"/>
          </w:tcPr>
          <w:p>
            <w:r>
              <w:rPr>
                <w:sz w:val="14"/>
              </w:rPr>
              <w:t>PF01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4"/>
              </w:rPr>
              <w:t>Cloudflare label provenance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4"/>
              </w:rPr>
              <w:t>Completed label provenance and Cloudflare label-entry trace.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4"/>
              </w:rPr>
              <w:t>Endpoints, fields, event identifiers, and local conversion paths documented.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4"/>
              </w:rPr>
              <w:t>ADDRESSED_WITH_DOCUMENTED_LIMITATION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4"/>
              </w:rPr>
              <w:t>Cloudflare is the corpus source; independent validation is limited and separately documented.</w:t>
            </w:r>
          </w:p>
        </w:tc>
      </w:tr>
      <w:tr>
        <w:tc>
          <w:tcPr>
            <w:tcW w:type="dxa" w:w="835"/>
            <w:vAlign w:val="center"/>
          </w:tcPr>
          <w:p>
            <w:r>
              <w:rPr>
                <w:sz w:val="14"/>
              </w:rPr>
              <w:t>PF02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4"/>
              </w:rPr>
              <w:t>Label and feature dependence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4"/>
              </w:rPr>
              <w:t>Classified overlap into predictive association, partial evidence overlap, circular risk, target leakage, or review.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4"/>
              </w:rPr>
              <w:t>Conceptual overlap documented separately from direct target leakage.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4"/>
              </w:rPr>
              <w:t>ADDRESSED_WITH_DOCUMENTED_LIMITATION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3,5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4"/>
              </w:rPr>
              <w:t>Conceptual overlap is not the same as leakage; direct target leakage was separately checked.</w:t>
            </w:r>
          </w:p>
        </w:tc>
      </w:tr>
      <w:tr>
        <w:tc>
          <w:tcPr>
            <w:tcW w:type="dxa" w:w="835"/>
            <w:vAlign w:val="center"/>
          </w:tcPr>
          <w:p>
            <w:r>
              <w:rPr>
                <w:sz w:val="14"/>
              </w:rPr>
              <w:t>PF03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4"/>
              </w:rPr>
              <w:t>Direct target leakage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4"/>
              </w:rPr>
              <w:t>Audited all 74 features for class/source-label encodings.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4"/>
              </w:rPr>
              <w:t>No direct class, source event type, label text, or label-derived numeric encoding found among model features.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4"/>
              </w:rPr>
              <w:t>ADDRESSED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4"/>
              </w:rPr>
              <w:t>No direct target field is present in V4.</w:t>
            </w:r>
          </w:p>
        </w:tc>
      </w:tr>
      <w:tr>
        <w:tc>
          <w:tcPr>
            <w:tcW w:type="dxa" w:w="835"/>
            <w:vAlign w:val="center"/>
          </w:tcPr>
          <w:p>
            <w:r>
              <w:rPr>
                <w:sz w:val="14"/>
              </w:rPr>
              <w:t>PF04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4"/>
              </w:rPr>
              <w:t>Class balancing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4"/>
              </w:rPr>
              <w:t>Completed corpus balancing audit and natural-prior sensitivity.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4"/>
              </w:rPr>
              <w:t>Final corpus verified at 473/473/473; source raw counts were much larger for Hijack/Leak than Outage.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4"/>
              </w:rPr>
              <w:t>ADDRESSED_WITH_DOCUMENTED_LIMITATION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3,5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4"/>
              </w:rPr>
              <w:t>Balanced corpus supports per-class comparison; it does not estimate global prevalence.</w:t>
            </w:r>
          </w:p>
        </w:tc>
      </w:tr>
      <w:tr>
        <w:tc>
          <w:tcPr>
            <w:tcW w:type="dxa" w:w="835"/>
            <w:vAlign w:val="center"/>
          </w:tcPr>
          <w:p>
            <w:r>
              <w:rPr>
                <w:sz w:val="14"/>
              </w:rPr>
              <w:t>PF05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4"/>
              </w:rPr>
              <w:t>Observed natural class distribution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4"/>
              </w:rPr>
              <w:t>Completed collected-source prior-shift sensitivity.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4"/>
              </w:rPr>
              <w:t>Observed proportions: Hijack 47.2176%, Leak 52.5835%, Outage 0.1989%; reweighted Macro F1 0.722300, weighted F1 0.916680.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4"/>
              </w:rPr>
              <w:t>ADDRESSED_WITH_DOCUMENTED_LIMITATION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4,5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4"/>
              </w:rPr>
              <w:t>This is best named prevalence-reweighted sensitivity, not natural global distribution validation.</w:t>
            </w:r>
          </w:p>
        </w:tc>
      </w:tr>
      <w:tr>
        <w:tc>
          <w:tcPr>
            <w:tcW w:type="dxa" w:w="835"/>
            <w:vAlign w:val="center"/>
          </w:tcPr>
          <w:p>
            <w:r>
              <w:rPr>
                <w:sz w:val="14"/>
              </w:rPr>
              <w:t>PF06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4"/>
              </w:rPr>
              <w:t>Incident weighting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4"/>
              </w:rPr>
              <w:t>Documented I1 incident-aware weighting and imbalance experiments.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4"/>
              </w:rPr>
              <w:t>I1 retained to equalize incident influence while retaining all windows.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4"/>
              </w:rPr>
              <w:t>ADDRESSED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3,4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4"/>
              </w:rPr>
              <w:t>I1 solves unequal incident influence better than raw window weighting.</w:t>
            </w:r>
          </w:p>
        </w:tc>
      </w:tr>
      <w:tr>
        <w:tc>
          <w:tcPr>
            <w:tcW w:type="dxa" w:w="835"/>
            <w:vAlign w:val="center"/>
          </w:tcPr>
          <w:p>
            <w:r>
              <w:rPr>
                <w:sz w:val="14"/>
              </w:rPr>
              <w:t>PF07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4"/>
              </w:rPr>
              <w:t>Train/development/holdout split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4"/>
              </w:rPr>
              <w:t>Froze v2 partitions and documented access chronology.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4"/>
              </w:rPr>
              <w:t>TRAIN 993, Validation 213, Holdout 213; Holdout sealed until Phase L.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4"/>
              </w:rPr>
              <w:t>ADDRESSED_WITH_DOCUMENTED_LIMITATION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3,5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4"/>
              </w:rPr>
              <w:t>Validation supported earlier Level-1 candidate; Final Holdout is K1's independent estimate.</w:t>
            </w:r>
          </w:p>
        </w:tc>
      </w:tr>
      <w:tr>
        <w:tc>
          <w:tcPr>
            <w:tcW w:type="dxa" w:w="835"/>
            <w:vAlign w:val="center"/>
          </w:tcPr>
          <w:p>
            <w:r>
              <w:rPr>
                <w:sz w:val="14"/>
              </w:rPr>
              <w:t>PF08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4"/>
              </w:rPr>
              <w:t>Partition independence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4"/>
              </w:rPr>
              <w:t>Completed partition independence audit.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4"/>
              </w:rPr>
              <w:t>Exact UID overlap 0 and confirmed duplicate-event pairs across partitions 0; related events documented.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4"/>
              </w:rPr>
              <w:t>ADDRESSED_WITH_DOCUMENTED_LIMITATION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4"/>
              </w:rPr>
              <w:t>No confirmed duplicate-event leakage across partitions.</w:t>
            </w:r>
          </w:p>
        </w:tc>
      </w:tr>
      <w:tr>
        <w:tc>
          <w:tcPr>
            <w:tcW w:type="dxa" w:w="835"/>
            <w:vAlign w:val="center"/>
          </w:tcPr>
          <w:p>
            <w:r>
              <w:rPr>
                <w:sz w:val="14"/>
              </w:rPr>
              <w:t>PF09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4"/>
              </w:rPr>
              <w:t>Independent/source-separated confirmation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4"/>
              </w:rPr>
              <w:t>Built IEC rosters and closed execution transparently.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4"/>
              </w:rPr>
              <w:t>Level-1 source-separated validation is inconclusive; no IEC incidents scored due missing verified reconstruction implementation.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4"/>
              </w:rPr>
              <w:t>INCONCLUSIVE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4"/>
              </w:rPr>
              <w:t>We attempted but did not execute source-separated model validation under the strict reproducibility gate.</w:t>
            </w:r>
          </w:p>
        </w:tc>
      </w:tr>
      <w:tr>
        <w:tc>
          <w:tcPr>
            <w:tcW w:type="dxa" w:w="835"/>
            <w:vAlign w:val="center"/>
          </w:tcPr>
          <w:p>
            <w:r>
              <w:rPr>
                <w:sz w:val="14"/>
              </w:rPr>
              <w:t>PF10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4"/>
              </w:rPr>
              <w:t>H1/H2/H3 confirmation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4"/>
              </w:rPr>
              <w:t>Mapped H1/H2/H3 to actual evidence and Level-2 closure.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4"/>
              </w:rPr>
              <w:t>H3 external status is H3_EXTERNAL_CONFIRMATION_NOT_EXECUTED_LEVEL2_ARTIFACT_NOT_PERSISTED.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4"/>
              </w:rPr>
              <w:t>ADDRESSED_WITH_DOCUMENTED_LIMITATION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4"/>
              </w:rPr>
              <w:t>State exactly which hypotheses are supported and where limitations remain.</w:t>
            </w:r>
          </w:p>
        </w:tc>
      </w:tr>
      <w:tr>
        <w:tc>
          <w:tcPr>
            <w:tcW w:type="dxa" w:w="835"/>
            <w:vAlign w:val="center"/>
          </w:tcPr>
          <w:p>
            <w:r>
              <w:rPr>
                <w:sz w:val="14"/>
              </w:rPr>
              <w:t>PF11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4"/>
              </w:rPr>
              <w:t>Five-minute analytical horizon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4"/>
              </w:rPr>
              <w:t>Completed early-horizon/TTI experiment and saturation check.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4"/>
              </w:rPr>
              <w:t>Performance improved through five minutes; beyond 300s gains were small/inconsistent.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4"/>
              </w:rPr>
              <w:t>ADDRESSED_WITH_DOCUMENTED_LIMITATION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3,4,5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4"/>
              </w:rPr>
              <w:t>Five-minute is an analytical tradeoff, not live deployment latency.</w:t>
            </w:r>
          </w:p>
        </w:tc>
      </w:tr>
      <w:tr>
        <w:tc>
          <w:tcPr>
            <w:tcW w:type="dxa" w:w="835"/>
            <w:vAlign w:val="center"/>
          </w:tcPr>
          <w:p>
            <w:r>
              <w:rPr>
                <w:sz w:val="14"/>
              </w:rPr>
              <w:t>PF12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4"/>
              </w:rPr>
              <w:t>TTI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4"/>
              </w:rPr>
              <w:t>Completed retrospective checkpoint TTI with 30/60/120/300/600/900 horizons.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4"/>
              </w:rPr>
              <w:t>Top-1 cumulative by 300s 910/983; Top-2 cumulative by 300s 965/983; 600/900 exploratory.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4"/>
              </w:rPr>
              <w:t>ADDRESSED_WITH_DOCUMENTED_LIMITATION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4,5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4"/>
              </w:rPr>
              <w:t>Checkpoint TTI is retrospective RouteViews-observable time, not wall-clock enterprise alerting time.</w:t>
            </w:r>
          </w:p>
        </w:tc>
      </w:tr>
      <w:tr>
        <w:tc>
          <w:tcPr>
            <w:tcW w:type="dxa" w:w="835"/>
            <w:vAlign w:val="center"/>
          </w:tcPr>
          <w:p>
            <w:r>
              <w:rPr>
                <w:sz w:val="14"/>
              </w:rPr>
              <w:t>PF13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4"/>
              </w:rPr>
              <w:t>Real-time versus retrospective claims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4"/>
              </w:rPr>
              <w:t>Added latency and TTI boundary docs and future Kafka/BMP architecture plan.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4"/>
              </w:rPr>
              <w:t>25.58 ms downstream latency is computational scoring latency, not full detection latency.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4"/>
              </w:rPr>
              <w:t>ADDRESSED_WITH_DOCUMENTED_LIMITATION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4"/>
              </w:rPr>
              <w:t>Retrospective RouteViews analysis is not live enterprise deployment.</w:t>
            </w:r>
          </w:p>
        </w:tc>
      </w:tr>
      <w:tr>
        <w:tc>
          <w:tcPr>
            <w:tcW w:type="dxa" w:w="835"/>
            <w:vAlign w:val="center"/>
          </w:tcPr>
          <w:p>
            <w:r>
              <w:rPr>
                <w:sz w:val="14"/>
              </w:rPr>
              <w:t>PF14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4"/>
              </w:rPr>
              <w:t>Level-2 temporal causality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4"/>
              </w:rPr>
              <w:t>Independent validation V1 causality audit and Level-2 closure produced limitations.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4"/>
              </w:rPr>
              <w:t>Level-2 is retrospective incident-level aggregation, not prospective temporal-causal inference.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4"/>
              </w:rPr>
              <w:t>ADDRESSED_WITH_DOCUMENTED_LIMITATION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3,5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4"/>
              </w:rPr>
              <w:t>The final K1 stacker is retrospective over configured observation windows.</w:t>
            </w:r>
          </w:p>
        </w:tc>
      </w:tr>
      <w:tr>
        <w:tc>
          <w:tcPr>
            <w:tcW w:type="dxa" w:w="835"/>
            <w:vAlign w:val="center"/>
          </w:tcPr>
          <w:p>
            <w:r>
              <w:rPr>
                <w:sz w:val="14"/>
              </w:rPr>
              <w:t>PF15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4"/>
              </w:rPr>
              <w:t>Calibration/probability terminology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4"/>
              </w:rPr>
              <w:t>Completed frozen-prediction calibration audit.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4"/>
              </w:rPr>
              <w:t>Use normalized class probabilities/scores with calibration caveat; no recalibration performed.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4"/>
              </w:rPr>
              <w:t>ADDRESSED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4,5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4"/>
              </w:rPr>
              <w:t>Do not claim calibrated probabilities.</w:t>
            </w:r>
          </w:p>
        </w:tc>
      </w:tr>
      <w:tr>
        <w:tc>
          <w:tcPr>
            <w:tcW w:type="dxa" w:w="835"/>
            <w:vAlign w:val="center"/>
          </w:tcPr>
          <w:p>
            <w:r>
              <w:rPr>
                <w:sz w:val="14"/>
              </w:rPr>
              <w:t>PF16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4"/>
              </w:rPr>
              <w:t>Hijack:68538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4"/>
              </w:rPr>
              <w:t>Completed forensic audit and exclusion sensitivity.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4"/>
              </w:rPr>
              <w:t>Disposition QUALITY_GATE_INCONSISTENCY; official result unchanged.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4"/>
              </w:rPr>
              <w:t>ADDRESSED_WITH_DOCUMENTED_LIMITATION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4"/>
              </w:rPr>
              <w:t>The case is a documented quality-gate caveat, not a reason to alter final holdout.</w:t>
            </w:r>
          </w:p>
        </w:tc>
      </w:tr>
      <w:tr>
        <w:tc>
          <w:tcPr>
            <w:tcW w:type="dxa" w:w="835"/>
            <w:vAlign w:val="center"/>
          </w:tcPr>
          <w:p>
            <w:r>
              <w:rPr>
                <w:sz w:val="14"/>
              </w:rPr>
              <w:t>PF17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4"/>
              </w:rPr>
              <w:t>Reproducibility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4"/>
              </w:rPr>
              <w:t>Completed reproducibility audit and feature dictionary.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4"/>
              </w:rPr>
              <w:t>Data acquisition, features, weighting, models, and metrics documented; Level-2 binary not persisted.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4"/>
              </w:rPr>
              <w:t>ADDRESSED_WITH_DOCUMENTED_LIMITATION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3,5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4"/>
              </w:rPr>
              <w:t>Level-2 artifact limitation is now documented and bounded.</w:t>
            </w:r>
          </w:p>
        </w:tc>
      </w:tr>
      <w:tr>
        <w:tc>
          <w:tcPr>
            <w:tcW w:type="dxa" w:w="835"/>
            <w:vAlign w:val="center"/>
          </w:tcPr>
          <w:p>
            <w:r>
              <w:rPr>
                <w:sz w:val="14"/>
              </w:rPr>
              <w:t>PF18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4"/>
              </w:rPr>
              <w:t>Feature dictionary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4"/>
              </w:rPr>
              <w:t>Created full 74-feature reproducibility dictionary.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4"/>
              </w:rPr>
              <w:t>44 Behavioral + 14 CAIDA + 16 RPKI/ROV definitions available.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4"/>
              </w:rPr>
              <w:t>ADDRESSED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4"/>
              </w:rPr>
              <w:t>Main text summarizes; appendix carries full feature dictionary.</w:t>
            </w:r>
          </w:p>
        </w:tc>
      </w:tr>
      <w:tr>
        <w:tc>
          <w:tcPr>
            <w:tcW w:type="dxa" w:w="835"/>
            <w:vAlign w:val="center"/>
          </w:tcPr>
          <w:p>
            <w:r>
              <w:rPr>
                <w:sz w:val="14"/>
              </w:rPr>
              <w:t>PF19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4"/>
              </w:rPr>
              <w:t>Incident-level error analysis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4"/>
              </w:rPr>
              <w:t>Completed final incident-level error analysis.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4"/>
              </w:rPr>
              <w:t>17 Final Holdout Top-1 errors; 15/17 rescued by Top-2; dominant confusion Hijack to Leak.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4"/>
              </w:rPr>
              <w:t>ADDRESSED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4,5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4"/>
              </w:rPr>
              <w:t>Top-2 ranking value is a defensible final contribution.</w:t>
            </w:r>
          </w:p>
        </w:tc>
      </w:tr>
      <w:tr>
        <w:tc>
          <w:tcPr>
            <w:tcW w:type="dxa" w:w="835"/>
            <w:vAlign w:val="center"/>
          </w:tcPr>
          <w:p>
            <w:r>
              <w:rPr>
                <w:sz w:val="14"/>
              </w:rPr>
              <w:t>PF20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4"/>
              </w:rPr>
              <w:t>Root-cause terminology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4"/>
              </w:rPr>
              <w:t>Claims boundary narrows language to incident class/cause ranking.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4"/>
              </w:rPr>
              <w:t>Root-cause determination is not claimed; ranked incident-cause classification is claimed.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4"/>
              </w:rPr>
              <w:t>MANUSCRIPT_REMEDIATION_REQUIRED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1,3,5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4"/>
              </w:rPr>
              <w:t>Use incident type/class/cause ranking, not definitive root-cause determination.</w:t>
            </w:r>
          </w:p>
        </w:tc>
      </w:tr>
      <w:tr>
        <w:tc>
          <w:tcPr>
            <w:tcW w:type="dxa" w:w="835"/>
            <w:vAlign w:val="center"/>
          </w:tcPr>
          <w:p>
            <w:r>
              <w:rPr>
                <w:sz w:val="14"/>
              </w:rPr>
              <w:t>PF21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4"/>
              </w:rPr>
              <w:t>Enterprise-network claims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4"/>
              </w:rPr>
              <w:t>Limitations/future work now distinguish public RouteViews from enterprise BMP/Kafka telemetry.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4"/>
              </w:rPr>
              <w:t>Enterprise-local deployment remains future work.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4"/>
              </w:rPr>
              <w:t>MANUSCRIPT_REMEDIATION_REQUIRED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1,5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4"/>
              </w:rPr>
              <w:t>Keep enterprise language as motivation and future deployment context, not proven operational environment.</w:t>
            </w:r>
          </w:p>
        </w:tc>
      </w:tr>
      <w:tr>
        <w:tc>
          <w:tcPr>
            <w:tcW w:type="dxa" w:w="835"/>
            <w:vAlign w:val="center"/>
          </w:tcPr>
          <w:p>
            <w:r>
              <w:rPr>
                <w:sz w:val="14"/>
              </w:rPr>
              <w:t>PF22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4"/>
              </w:rPr>
              <w:t>Page-count compliance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4"/>
              </w:rPr>
              <w:t>Prepared page reduction plan and appendices.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4"/>
              </w:rPr>
              <w:t>Target 80-100 pages for Chapters 1-5 with details moved to appendices.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4"/>
              </w:rPr>
              <w:t>MANUSCRIPT_REMEDIATION_REQUIRED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All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4"/>
              </w:rPr>
              <w:t>Move audit detail to appendix; keep main chapters answer-driven.</w:t>
            </w:r>
          </w:p>
        </w:tc>
      </w:tr>
      <w:tr>
        <w:tc>
          <w:tcPr>
            <w:tcW w:type="dxa" w:w="835"/>
            <w:vAlign w:val="center"/>
          </w:tcPr>
          <w:p>
            <w:r>
              <w:rPr>
                <w:sz w:val="14"/>
              </w:rPr>
              <w:t>PF23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4"/>
              </w:rPr>
              <w:t>Obsolete methodology/results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4"/>
              </w:rPr>
              <w:t>Phase M and this package identify current vs historical artifacts.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4"/>
              </w:rPr>
              <w:t>Final model is K1 XGB/XGB; Stage 1 auxiliary/unresolved; RF and early feature counts historical.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4"/>
              </w:rPr>
              <w:t>MANUSCRIPT_REMEDIATION_REQUIRED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3,4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4"/>
              </w:rPr>
              <w:t>Do not present old experiments as final architecture.</w:t>
            </w:r>
          </w:p>
        </w:tc>
      </w:tr>
      <w:tr>
        <w:tc>
          <w:tcPr>
            <w:tcW w:type="dxa" w:w="835"/>
            <w:vAlign w:val="center"/>
          </w:tcPr>
          <w:p>
            <w:r>
              <w:rPr>
                <w:sz w:val="14"/>
              </w:rPr>
              <w:t>PF24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4"/>
              </w:rPr>
              <w:t>References/citations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4"/>
              </w:rPr>
              <w:t>Created final reference remediation plan from existing audits.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4"/>
              </w:rPr>
              <w:t>Citation/reference remediation items identified; bibliography not rewritten in this task.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4"/>
              </w:rPr>
              <w:t>MANUSCRIPT_REMEDIATION_REQUIRED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2,References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4"/>
              </w:rPr>
              <w:t>Reference remediation remains a manuscript task, not an experiment.</w:t>
            </w:r>
          </w:p>
        </w:tc>
      </w:tr>
      <w:tr>
        <w:tc>
          <w:tcPr>
            <w:tcW w:type="dxa" w:w="835"/>
            <w:vAlign w:val="center"/>
          </w:tcPr>
          <w:p>
            <w:r>
              <w:rPr>
                <w:sz w:val="14"/>
              </w:rPr>
              <w:t>PF25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4"/>
              </w:rPr>
              <w:t>Figure/table numbering and manuscript/template integrity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4"/>
              </w:rPr>
              <w:t>Created final table/figure inventory and page-reduction plan.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4"/>
              </w:rPr>
              <w:t>Main figures/tables selected and appendix candidates identified.</w:t>
            </w:r>
          </w:p>
        </w:tc>
        <w:tc>
          <w:tcPr>
            <w:tcW w:type="dxa" w:w="2088"/>
            <w:vAlign w:val="center"/>
          </w:tcPr>
          <w:p>
            <w:r>
              <w:rPr>
                <w:sz w:val="14"/>
              </w:rPr>
              <w:t>MANUSCRIPT_REMEDIATION_REQUIRED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4"/>
              </w:rPr>
              <w:t>All</w:t>
            </w:r>
          </w:p>
        </w:tc>
        <w:tc>
          <w:tcPr>
            <w:tcW w:type="dxa" w:w="2880"/>
            <w:vAlign w:val="center"/>
          </w:tcPr>
          <w:p>
            <w:r>
              <w:rPr>
                <w:sz w:val="14"/>
              </w:rPr>
              <w:t>Use fewer main visuals and move audit detail to appendices.</w:t>
            </w:r>
          </w:p>
        </w:tc>
      </w:tr>
    </w:tbl>
    <w:p>
      <w:r>
        <w:t>Note. Full artifact paths and appendix mappings are preserved in the CSV and Markdown versions.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