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Table Level1 External Validation Performance V1</w:t>
      </w:r>
    </w:p>
    <w:tbl>
      <w:tr>
        <w:tc>
          <w:p>
            <w:r>
              <w:t>evaluation</w:t>
            </w:r>
          </w:p>
        </w:tc>
        <w:tc>
          <w:p>
            <w:r>
              <w:t>n_evaluable</w:t>
            </w:r>
          </w:p>
        </w:tc>
        <w:tc>
          <w:p>
            <w:r>
              <w:t>macro_f1</w:t>
            </w:r>
          </w:p>
        </w:tc>
        <w:tc>
          <w:p>
            <w:r>
              <w:t>top1</w:t>
            </w:r>
          </w:p>
        </w:tc>
        <w:tc>
          <w:p>
            <w:r>
              <w:t>top2</w:t>
            </w:r>
          </w:p>
        </w:tc>
        <w:tc>
          <w:p>
            <w:r>
              <w:t>mrr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Level-1 IEC H1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NOT_EXECUTED_NO_EVALUABLE_INCIDENTS_AFTER_PROSPECTIVE_GATE</w:t>
            </w:r>
          </w:p>
        </w:tc>
      </w:tr>
    </w:tbl>
    <w:sectPr/>
  </w:body>
</w:document>
</file>