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BA" w:rsidRDefault="00DF34BA" w:rsidP="002567F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</w:p>
    <w:p w:rsidR="002567FF" w:rsidRDefault="000F5971" w:rsidP="002567F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Transações</w:t>
      </w:r>
    </w:p>
    <w:p w:rsidR="00FC11EC" w:rsidRDefault="00FC11EC" w:rsidP="002567F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</w:p>
    <w:p w:rsidR="000F5971" w:rsidRDefault="000F5971" w:rsidP="000F5971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 xml:space="preserve">Veja os links: </w:t>
      </w:r>
    </w:p>
    <w:p w:rsidR="000F5971" w:rsidRPr="00322431" w:rsidRDefault="000F5971" w:rsidP="000F5971">
      <w:pPr>
        <w:autoSpaceDE w:val="0"/>
        <w:autoSpaceDN w:val="0"/>
        <w:adjustRightInd w:val="0"/>
        <w:rPr>
          <w:lang w:val="pt-BR"/>
        </w:rPr>
      </w:pPr>
      <w:proofErr w:type="spellStart"/>
      <w:proofErr w:type="gramStart"/>
      <w:r w:rsidRPr="00322431">
        <w:rPr>
          <w:lang w:val="pt-BR"/>
        </w:rPr>
        <w:t>PostgreSQL</w:t>
      </w:r>
      <w:proofErr w:type="spellEnd"/>
      <w:proofErr w:type="gramEnd"/>
      <w:r w:rsidRPr="00322431">
        <w:rPr>
          <w:lang w:val="pt-BR"/>
        </w:rPr>
        <w:t xml:space="preserve">: </w:t>
      </w:r>
      <w:hyperlink r:id="rId8" w:history="1">
        <w:r w:rsidRPr="00322431">
          <w:rPr>
            <w:rStyle w:val="Hyperlink"/>
            <w:lang w:val="pt-BR"/>
          </w:rPr>
          <w:t>http://pgdocptbr.sourceforge.net/pg80/transaction-iso.html</w:t>
        </w:r>
      </w:hyperlink>
    </w:p>
    <w:p w:rsidR="000F5971" w:rsidRDefault="000F5971" w:rsidP="000F5971">
      <w:pPr>
        <w:autoSpaceDE w:val="0"/>
        <w:autoSpaceDN w:val="0"/>
        <w:adjustRightInd w:val="0"/>
      </w:pPr>
      <w:r>
        <w:t xml:space="preserve">Oracle: </w:t>
      </w:r>
      <w:r>
        <w:fldChar w:fldCharType="begin"/>
      </w:r>
      <w:r>
        <w:instrText xml:space="preserve"> HYPERLINK "http://docs.oracle.com/cd/E11882_01/server.112/e40540/transact.htm" \l "CNCPT016" </w:instrText>
      </w:r>
      <w:r>
        <w:fldChar w:fldCharType="separate"/>
      </w:r>
      <w:r>
        <w:rPr>
          <w:rStyle w:val="Hyperlink"/>
        </w:rPr>
        <w:t>http://docs.oracle.com/cd/E11882_01/server.112/e40540/transact.htm#CNCPT016</w:t>
      </w:r>
      <w:r>
        <w:fldChar w:fldCharType="end"/>
      </w:r>
    </w:p>
    <w:p w:rsidR="000F5971" w:rsidRDefault="000F5971" w:rsidP="000F5971">
      <w:pPr>
        <w:autoSpaceDE w:val="0"/>
        <w:autoSpaceDN w:val="0"/>
        <w:adjustRightInd w:val="0"/>
      </w:pPr>
      <w:r>
        <w:t xml:space="preserve">SQL Server: </w:t>
      </w:r>
      <w:r>
        <w:fldChar w:fldCharType="begin"/>
      </w:r>
      <w:r>
        <w:instrText xml:space="preserve"> HYPERLINK "http://technet.microsoft.com/pt-br/library/ms189122(v=sql.105).aspx" </w:instrText>
      </w:r>
      <w:r>
        <w:fldChar w:fldCharType="separate"/>
      </w:r>
      <w:r>
        <w:rPr>
          <w:rStyle w:val="Hyperlink"/>
        </w:rPr>
        <w:t>http://technet.microsoft.com/pt-br/library/ms189122(v=sql.105).aspx</w:t>
      </w:r>
      <w:r>
        <w:fldChar w:fldCharType="end"/>
      </w:r>
    </w:p>
    <w:p w:rsidR="000F5971" w:rsidRPr="000F5971" w:rsidRDefault="000F5971" w:rsidP="000F5971">
      <w:pPr>
        <w:autoSpaceDE w:val="0"/>
        <w:autoSpaceDN w:val="0"/>
        <w:adjustRightInd w:val="0"/>
        <w:rPr>
          <w:lang w:val="en-US"/>
        </w:rPr>
      </w:pPr>
      <w:proofErr w:type="spellStart"/>
      <w:r w:rsidRPr="000F5971">
        <w:rPr>
          <w:lang w:val="en-US"/>
        </w:rPr>
        <w:t>MySql</w:t>
      </w:r>
      <w:proofErr w:type="spellEnd"/>
      <w:r w:rsidRPr="000F5971">
        <w:rPr>
          <w:lang w:val="en-US"/>
        </w:rPr>
        <w:t xml:space="preserve">: </w:t>
      </w:r>
      <w:hyperlink r:id="rId9" w:history="1">
        <w:r w:rsidRPr="000F5971">
          <w:rPr>
            <w:rStyle w:val="Hyperlink"/>
            <w:lang w:val="en-US"/>
          </w:rPr>
          <w:t>http://dev.mysql.com/doc/refman/5.6/en/dynindex-isolevel.html</w:t>
        </w:r>
      </w:hyperlink>
    </w:p>
    <w:p w:rsidR="000F5971" w:rsidRPr="000F5971" w:rsidRDefault="000F5971" w:rsidP="000F5971">
      <w:pPr>
        <w:autoSpaceDE w:val="0"/>
        <w:autoSpaceDN w:val="0"/>
        <w:adjustRightInd w:val="0"/>
        <w:rPr>
          <w:lang w:val="en-US"/>
        </w:rPr>
      </w:pPr>
    </w:p>
    <w:p w:rsidR="000F5971" w:rsidRPr="000F5971" w:rsidRDefault="000F5971" w:rsidP="000F5971">
      <w:pPr>
        <w:autoSpaceDE w:val="0"/>
        <w:autoSpaceDN w:val="0"/>
        <w:adjustRightInd w:val="0"/>
        <w:rPr>
          <w:rFonts w:ascii="Arial" w:hAnsi="Arial" w:cs="Arial"/>
          <w:b/>
          <w:noProof/>
          <w:sz w:val="20"/>
          <w:szCs w:val="20"/>
          <w:lang w:val="en-US"/>
        </w:rPr>
      </w:pP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b/>
          <w:noProof/>
          <w:sz w:val="20"/>
          <w:szCs w:val="20"/>
        </w:rPr>
      </w:pPr>
      <w:r w:rsidRPr="003122F5">
        <w:rPr>
          <w:rFonts w:ascii="Arial" w:hAnsi="Arial" w:cs="Arial"/>
          <w:b/>
          <w:noProof/>
          <w:sz w:val="20"/>
          <w:szCs w:val="20"/>
        </w:rPr>
        <w:t>Propriedades de uma transação: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0000FF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808080"/>
          <w:sz w:val="20"/>
          <w:szCs w:val="20"/>
        </w:rPr>
      </w:pPr>
      <w:r w:rsidRPr="003122F5">
        <w:rPr>
          <w:rFonts w:ascii="Arial" w:hAnsi="Arial" w:cs="Arial"/>
          <w:noProof/>
          <w:color w:val="0000FF"/>
          <w:sz w:val="20"/>
          <w:szCs w:val="20"/>
        </w:rPr>
        <w:t>Atomicidade:</w:t>
      </w:r>
      <w:r w:rsidRPr="003122F5">
        <w:rPr>
          <w:rFonts w:ascii="Arial" w:hAnsi="Arial" w:cs="Arial"/>
          <w:noProof/>
          <w:sz w:val="20"/>
          <w:szCs w:val="20"/>
        </w:rPr>
        <w:t xml:space="preserve"> propriedade que garante que todas </w:t>
      </w:r>
      <w:r>
        <w:rPr>
          <w:rFonts w:ascii="Arial" w:hAnsi="Arial" w:cs="Arial"/>
          <w:noProof/>
          <w:sz w:val="20"/>
          <w:szCs w:val="20"/>
        </w:rPr>
        <w:t>as</w:t>
      </w:r>
      <w:r w:rsidRPr="003122F5">
        <w:rPr>
          <w:rFonts w:ascii="Arial" w:hAnsi="Arial" w:cs="Arial"/>
          <w:noProof/>
          <w:sz w:val="20"/>
          <w:szCs w:val="20"/>
        </w:rPr>
        <w:t xml:space="preserve"> operações que modificam o banco de dados são executadas</w:t>
      </w:r>
      <w:r w:rsidRPr="003122F5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122F5">
        <w:rPr>
          <w:rFonts w:ascii="Arial" w:hAnsi="Arial" w:cs="Arial"/>
          <w:noProof/>
          <w:sz w:val="20"/>
          <w:szCs w:val="20"/>
        </w:rPr>
        <w:t xml:space="preserve"> ou nenhum das operações é executada</w:t>
      </w:r>
      <w:r w:rsidRPr="003122F5">
        <w:rPr>
          <w:rFonts w:ascii="Arial" w:hAnsi="Arial" w:cs="Arial"/>
          <w:noProof/>
          <w:color w:val="808080"/>
          <w:sz w:val="20"/>
          <w:szCs w:val="20"/>
        </w:rPr>
        <w:t>.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F7048D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0"/>
          <w:szCs w:val="20"/>
        </w:rPr>
      </w:pPr>
      <w:r w:rsidRPr="003122F5">
        <w:rPr>
          <w:rFonts w:ascii="Arial" w:hAnsi="Arial" w:cs="Arial"/>
          <w:noProof/>
          <w:color w:val="0000FF"/>
          <w:sz w:val="20"/>
          <w:szCs w:val="20"/>
        </w:rPr>
        <w:t>Consistência:</w:t>
      </w:r>
      <w:r w:rsidRPr="003122F5">
        <w:rPr>
          <w:rFonts w:ascii="Arial" w:hAnsi="Arial" w:cs="Arial"/>
          <w:noProof/>
          <w:sz w:val="20"/>
          <w:szCs w:val="20"/>
        </w:rPr>
        <w:t xml:space="preserve"> </w:t>
      </w:r>
      <w:r w:rsidRPr="00776B79">
        <w:rPr>
          <w:rFonts w:ascii="Arial" w:hAnsi="Arial" w:cs="Arial"/>
          <w:noProof/>
          <w:sz w:val="20"/>
          <w:szCs w:val="20"/>
        </w:rPr>
        <w:t>as</w:t>
      </w:r>
      <w:r w:rsidRPr="003122F5">
        <w:rPr>
          <w:rFonts w:ascii="Arial" w:hAnsi="Arial" w:cs="Arial"/>
          <w:noProof/>
          <w:sz w:val="20"/>
          <w:szCs w:val="20"/>
        </w:rPr>
        <w:t xml:space="preserve"> operações de uma transação não podem resultar em violações das restrições de integridades definidas para o  banco de dados</w:t>
      </w:r>
      <w:r w:rsidRPr="003122F5">
        <w:rPr>
          <w:rFonts w:ascii="Arial" w:hAnsi="Arial" w:cs="Arial"/>
          <w:noProof/>
          <w:color w:val="0000FF"/>
          <w:sz w:val="20"/>
          <w:szCs w:val="20"/>
        </w:rPr>
        <w:t xml:space="preserve"> </w:t>
      </w:r>
      <w:r w:rsidRPr="00F7048D">
        <w:rPr>
          <w:rFonts w:ascii="Arial" w:hAnsi="Arial" w:cs="Arial"/>
          <w:noProof/>
          <w:sz w:val="20"/>
          <w:szCs w:val="20"/>
        </w:rPr>
        <w:t>(unique, pk, fk, check, domínio).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808080"/>
          <w:sz w:val="20"/>
          <w:szCs w:val="20"/>
        </w:rPr>
      </w:pPr>
      <w:r w:rsidRPr="003122F5">
        <w:rPr>
          <w:rFonts w:ascii="Arial" w:hAnsi="Arial" w:cs="Arial"/>
          <w:noProof/>
          <w:color w:val="0000FF"/>
          <w:sz w:val="20"/>
          <w:szCs w:val="20"/>
        </w:rPr>
        <w:t>Isolamento:</w:t>
      </w:r>
      <w:r w:rsidRPr="003122F5">
        <w:rPr>
          <w:rFonts w:ascii="Arial" w:hAnsi="Arial" w:cs="Arial"/>
          <w:noProof/>
          <w:sz w:val="20"/>
          <w:szCs w:val="20"/>
        </w:rPr>
        <w:t xml:space="preserve"> o isolamento de uma transação define quais os tipos de bloqueio que serão executados para suas operações e também define como </w:t>
      </w:r>
      <w:r>
        <w:rPr>
          <w:rFonts w:ascii="Arial" w:hAnsi="Arial" w:cs="Arial"/>
          <w:noProof/>
          <w:sz w:val="20"/>
          <w:szCs w:val="20"/>
        </w:rPr>
        <w:t>as</w:t>
      </w:r>
      <w:r w:rsidRPr="003122F5">
        <w:rPr>
          <w:rFonts w:ascii="Arial" w:hAnsi="Arial" w:cs="Arial"/>
          <w:noProof/>
          <w:sz w:val="20"/>
          <w:szCs w:val="20"/>
        </w:rPr>
        <w:t xml:space="preserve"> demais transações irão concorrer pelos recursos  do bd</w:t>
      </w:r>
      <w:r w:rsidRPr="003122F5">
        <w:rPr>
          <w:rFonts w:ascii="Arial" w:hAnsi="Arial" w:cs="Arial"/>
          <w:noProof/>
          <w:color w:val="808080"/>
          <w:sz w:val="20"/>
          <w:szCs w:val="20"/>
        </w:rPr>
        <w:t>.</w:t>
      </w:r>
      <w:r w:rsidRPr="003122F5">
        <w:rPr>
          <w:rFonts w:ascii="Arial" w:hAnsi="Arial" w:cs="Arial"/>
          <w:noProof/>
          <w:sz w:val="20"/>
          <w:szCs w:val="20"/>
        </w:rPr>
        <w:t xml:space="preserve"> Existem 5 tipos de isolamento de transações que foram discutidos na aula</w:t>
      </w:r>
      <w:r w:rsidRPr="003122F5">
        <w:rPr>
          <w:rFonts w:ascii="Arial" w:hAnsi="Arial" w:cs="Arial"/>
          <w:noProof/>
          <w:color w:val="808080"/>
          <w:sz w:val="20"/>
          <w:szCs w:val="20"/>
        </w:rPr>
        <w:t>.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808080"/>
          <w:sz w:val="20"/>
          <w:szCs w:val="20"/>
        </w:rPr>
      </w:pPr>
      <w:r w:rsidRPr="003122F5">
        <w:rPr>
          <w:rFonts w:ascii="Arial" w:hAnsi="Arial" w:cs="Arial"/>
          <w:noProof/>
          <w:color w:val="0000FF"/>
          <w:sz w:val="20"/>
          <w:szCs w:val="20"/>
        </w:rPr>
        <w:t>Durabilidade:</w:t>
      </w:r>
      <w:r w:rsidRPr="003122F5">
        <w:rPr>
          <w:rFonts w:ascii="Arial" w:hAnsi="Arial" w:cs="Arial"/>
          <w:noProof/>
          <w:sz w:val="20"/>
          <w:szCs w:val="20"/>
        </w:rPr>
        <w:t xml:space="preserve"> é uma propriedade que garante que </w:t>
      </w:r>
      <w:r>
        <w:rPr>
          <w:rFonts w:ascii="Arial" w:hAnsi="Arial" w:cs="Arial"/>
          <w:noProof/>
          <w:sz w:val="20"/>
          <w:szCs w:val="20"/>
        </w:rPr>
        <w:t>as</w:t>
      </w:r>
      <w:r w:rsidRPr="003122F5">
        <w:rPr>
          <w:rFonts w:ascii="Arial" w:hAnsi="Arial" w:cs="Arial"/>
          <w:noProof/>
          <w:sz w:val="20"/>
          <w:szCs w:val="20"/>
        </w:rPr>
        <w:t xml:space="preserve"> modificações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3122F5">
        <w:rPr>
          <w:rFonts w:ascii="Arial" w:hAnsi="Arial" w:cs="Arial"/>
          <w:noProof/>
          <w:sz w:val="20"/>
          <w:szCs w:val="20"/>
        </w:rPr>
        <w:t>causadas pelas operações de uma transação</w:t>
      </w:r>
      <w:r w:rsidRPr="003122F5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122F5">
        <w:rPr>
          <w:rFonts w:ascii="Arial" w:hAnsi="Arial" w:cs="Arial"/>
          <w:noProof/>
          <w:sz w:val="20"/>
          <w:szCs w:val="20"/>
        </w:rPr>
        <w:t xml:space="preserve"> caso ela seja concluída com sucesso</w:t>
      </w:r>
      <w:r w:rsidRPr="003122F5">
        <w:rPr>
          <w:rFonts w:ascii="Arial" w:hAnsi="Arial" w:cs="Arial"/>
          <w:noProof/>
          <w:color w:val="808080"/>
          <w:sz w:val="20"/>
          <w:szCs w:val="20"/>
        </w:rPr>
        <w:t>,</w:t>
      </w:r>
      <w:r w:rsidRPr="003122F5">
        <w:rPr>
          <w:rFonts w:ascii="Arial" w:hAnsi="Arial" w:cs="Arial"/>
          <w:noProof/>
          <w:sz w:val="20"/>
          <w:szCs w:val="20"/>
        </w:rPr>
        <w:t xml:space="preserve"> devem ser persistentes</w:t>
      </w:r>
      <w:r w:rsidRPr="003122F5">
        <w:rPr>
          <w:rFonts w:ascii="Arial" w:hAnsi="Arial" w:cs="Arial"/>
          <w:noProof/>
          <w:color w:val="808080"/>
          <w:sz w:val="20"/>
          <w:szCs w:val="20"/>
        </w:rPr>
        <w:t>.</w:t>
      </w: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Violações:</w:t>
      </w: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</w:rPr>
      </w:pPr>
      <w:r w:rsidRPr="003122F5">
        <w:rPr>
          <w:rFonts w:ascii="Arial" w:hAnsi="Arial" w:cs="Arial"/>
          <w:noProof/>
          <w:color w:val="0000FF"/>
          <w:sz w:val="20"/>
          <w:szCs w:val="20"/>
        </w:rPr>
        <w:t>Leitura suja: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0"/>
          <w:szCs w:val="20"/>
        </w:rPr>
      </w:pPr>
      <w:r w:rsidRPr="003122F5">
        <w:rPr>
          <w:rFonts w:ascii="Arial" w:hAnsi="Arial" w:cs="Arial"/>
          <w:noProof/>
          <w:sz w:val="20"/>
          <w:szCs w:val="20"/>
        </w:rPr>
        <w:t>Uma transação T1 pode le</w:t>
      </w:r>
      <w:r>
        <w:rPr>
          <w:rFonts w:ascii="Arial" w:hAnsi="Arial" w:cs="Arial"/>
          <w:noProof/>
          <w:sz w:val="20"/>
          <w:szCs w:val="20"/>
        </w:rPr>
        <w:t>r</w:t>
      </w:r>
      <w:r w:rsidRPr="003122F5">
        <w:rPr>
          <w:rFonts w:ascii="Arial" w:hAnsi="Arial" w:cs="Arial"/>
          <w:noProof/>
          <w:sz w:val="20"/>
          <w:szCs w:val="20"/>
        </w:rPr>
        <w:t xml:space="preserve"> uma atualização ainda não efetivada de uma transação T2. Se T2 falhar e for abortada, então T1 lerá um valor que não existe e está incorreto.</w:t>
      </w: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</w:rPr>
      </w:pPr>
      <w:r w:rsidRPr="003122F5">
        <w:rPr>
          <w:rFonts w:ascii="Arial" w:hAnsi="Arial" w:cs="Arial"/>
          <w:noProof/>
          <w:color w:val="0000FF"/>
          <w:sz w:val="20"/>
          <w:szCs w:val="20"/>
        </w:rPr>
        <w:t>Leitura não-repetível: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0"/>
          <w:szCs w:val="20"/>
        </w:rPr>
      </w:pPr>
      <w:r w:rsidRPr="003122F5">
        <w:rPr>
          <w:rFonts w:ascii="Arial" w:hAnsi="Arial" w:cs="Arial"/>
          <w:noProof/>
          <w:sz w:val="20"/>
          <w:szCs w:val="20"/>
        </w:rPr>
        <w:t>Um transação T1 pode ler um dado valor em uma tabela. Se, depois,  uma outra transação, T2 atualizar esse valor e T1 lê-lo novamente, T1 exergará uma valor diferente.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</w:rPr>
      </w:pPr>
      <w:r w:rsidRPr="003122F5">
        <w:rPr>
          <w:rFonts w:ascii="Arial" w:hAnsi="Arial" w:cs="Arial"/>
          <w:noProof/>
          <w:color w:val="0000FF"/>
          <w:sz w:val="20"/>
          <w:szCs w:val="20"/>
        </w:rPr>
        <w:t>Fastasma:</w:t>
      </w:r>
    </w:p>
    <w:p w:rsidR="000F5971" w:rsidRPr="003122F5" w:rsidRDefault="000F5971" w:rsidP="000F5971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0"/>
          <w:szCs w:val="20"/>
        </w:rPr>
      </w:pPr>
      <w:r w:rsidRPr="003122F5">
        <w:rPr>
          <w:rFonts w:ascii="Arial" w:hAnsi="Arial" w:cs="Arial"/>
          <w:noProof/>
          <w:sz w:val="20"/>
          <w:szCs w:val="20"/>
        </w:rPr>
        <w:t>Um</w:t>
      </w:r>
      <w:r>
        <w:rPr>
          <w:rFonts w:ascii="Arial" w:hAnsi="Arial" w:cs="Arial"/>
          <w:noProof/>
          <w:sz w:val="20"/>
          <w:szCs w:val="20"/>
        </w:rPr>
        <w:t>a</w:t>
      </w:r>
      <w:r w:rsidRPr="003122F5">
        <w:rPr>
          <w:rFonts w:ascii="Arial" w:hAnsi="Arial" w:cs="Arial"/>
          <w:noProof/>
          <w:sz w:val="20"/>
          <w:szCs w:val="20"/>
        </w:rPr>
        <w:t xml:space="preserve"> transação T1 pode ler conjunto de linhas de uma tabela, provavelmento com condição especificada pela claúsula WHERE. Suponha agora, que uma transação T2 insira uma nova linha que também satisfaç</w:t>
      </w:r>
      <w:r>
        <w:rPr>
          <w:rFonts w:ascii="Arial" w:hAnsi="Arial" w:cs="Arial"/>
          <w:noProof/>
          <w:sz w:val="20"/>
          <w:szCs w:val="20"/>
        </w:rPr>
        <w:t>a</w:t>
      </w:r>
      <w:r w:rsidRPr="003122F5">
        <w:rPr>
          <w:rFonts w:ascii="Arial" w:hAnsi="Arial" w:cs="Arial"/>
          <w:noProof/>
          <w:sz w:val="20"/>
          <w:szCs w:val="20"/>
        </w:rPr>
        <w:t xml:space="preserve"> a condição da claúsula WHERE</w:t>
      </w:r>
      <w:r>
        <w:rPr>
          <w:rFonts w:ascii="Arial" w:hAnsi="Arial" w:cs="Arial"/>
          <w:noProof/>
          <w:sz w:val="20"/>
          <w:szCs w:val="20"/>
        </w:rPr>
        <w:t xml:space="preserve"> usa</w:t>
      </w:r>
      <w:r w:rsidRPr="003122F5">
        <w:rPr>
          <w:rFonts w:ascii="Arial" w:hAnsi="Arial" w:cs="Arial"/>
          <w:noProof/>
          <w:sz w:val="20"/>
          <w:szCs w:val="20"/>
        </w:rPr>
        <w:t>d</w:t>
      </w:r>
      <w:r>
        <w:rPr>
          <w:rFonts w:ascii="Arial" w:hAnsi="Arial" w:cs="Arial"/>
          <w:noProof/>
          <w:sz w:val="20"/>
          <w:szCs w:val="20"/>
        </w:rPr>
        <w:t>a</w:t>
      </w:r>
      <w:r w:rsidRPr="003122F5">
        <w:rPr>
          <w:rFonts w:ascii="Arial" w:hAnsi="Arial" w:cs="Arial"/>
          <w:noProof/>
          <w:sz w:val="20"/>
          <w:szCs w:val="20"/>
        </w:rPr>
        <w:t xml:space="preserve"> em T1. Se T1 for repetida, então verá um fantasma, uma linha que não existia anterior.</w:t>
      </w:r>
    </w:p>
    <w:p w:rsidR="000F5971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Default="000F5971" w:rsidP="000F5971">
      <w:pPr>
        <w:autoSpaceDE w:val="0"/>
        <w:autoSpaceDN w:val="0"/>
        <w:adjustRightInd w:val="0"/>
        <w:rPr>
          <w:rFonts w:ascii="Arial" w:hAnsi="Arial" w:cs="Arial"/>
          <w:noProof/>
          <w:color w:val="808080"/>
          <w:sz w:val="20"/>
          <w:szCs w:val="20"/>
        </w:rPr>
      </w:pPr>
    </w:p>
    <w:p w:rsidR="000F5971" w:rsidRPr="003122F5" w:rsidRDefault="000F5971" w:rsidP="000F5971">
      <w:pPr>
        <w:autoSpaceDE w:val="0"/>
        <w:autoSpaceDN w:val="0"/>
        <w:adjustRightInd w:val="0"/>
        <w:rPr>
          <w:rFonts w:ascii="Arial" w:hAnsi="Arial" w:cs="Arial"/>
          <w:b/>
          <w:noProof/>
          <w:sz w:val="20"/>
          <w:szCs w:val="20"/>
        </w:rPr>
      </w:pPr>
      <w:r w:rsidRPr="003122F5">
        <w:rPr>
          <w:rFonts w:ascii="Arial" w:hAnsi="Arial" w:cs="Arial"/>
          <w:b/>
          <w:noProof/>
          <w:sz w:val="20"/>
          <w:szCs w:val="20"/>
        </w:rPr>
        <w:t>Possível violações com base em Isolamento:</w:t>
      </w:r>
    </w:p>
    <w:p w:rsidR="000F5971" w:rsidRDefault="000F5971" w:rsidP="000F597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1"/>
        <w:gridCol w:w="1903"/>
        <w:gridCol w:w="3181"/>
        <w:gridCol w:w="1614"/>
      </w:tblGrid>
      <w:tr w:rsidR="000F5971" w:rsidRPr="00176F9B" w:rsidTr="00C12012">
        <w:trPr>
          <w:trHeight w:val="218"/>
        </w:trPr>
        <w:tc>
          <w:tcPr>
            <w:tcW w:w="0" w:type="auto"/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176F9B" w:rsidRDefault="000F5971" w:rsidP="00C1201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76F9B">
              <w:rPr>
                <w:rFonts w:ascii="Arial" w:hAnsi="Arial" w:cs="Arial"/>
                <w:b/>
                <w:color w:val="000000"/>
                <w:sz w:val="20"/>
                <w:szCs w:val="20"/>
              </w:rPr>
              <w:t>Nível de isolamento</w:t>
            </w:r>
          </w:p>
        </w:tc>
        <w:tc>
          <w:tcPr>
            <w:tcW w:w="0" w:type="auto"/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176F9B" w:rsidRDefault="000F5971" w:rsidP="00C1201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76F9B">
              <w:rPr>
                <w:rFonts w:ascii="Arial" w:hAnsi="Arial" w:cs="Arial"/>
                <w:b/>
                <w:color w:val="000000"/>
                <w:sz w:val="20"/>
                <w:szCs w:val="20"/>
              </w:rPr>
              <w:t>Leitura suja</w:t>
            </w:r>
          </w:p>
        </w:tc>
        <w:tc>
          <w:tcPr>
            <w:tcW w:w="0" w:type="auto"/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176F9B" w:rsidRDefault="000F5971" w:rsidP="00C1201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76F9B">
              <w:rPr>
                <w:rFonts w:ascii="Arial" w:hAnsi="Arial" w:cs="Arial"/>
                <w:b/>
                <w:color w:val="000000"/>
                <w:sz w:val="20"/>
                <w:szCs w:val="20"/>
              </w:rPr>
              <w:t>Leitura não repetível</w:t>
            </w:r>
          </w:p>
        </w:tc>
        <w:tc>
          <w:tcPr>
            <w:tcW w:w="0" w:type="auto"/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176F9B" w:rsidRDefault="000F5971" w:rsidP="00C1201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76F9B">
              <w:rPr>
                <w:rFonts w:ascii="Arial" w:hAnsi="Arial" w:cs="Arial"/>
                <w:b/>
                <w:color w:val="000000"/>
                <w:sz w:val="20"/>
                <w:szCs w:val="20"/>
              </w:rPr>
              <w:t>Fantasma</w:t>
            </w:r>
          </w:p>
        </w:tc>
      </w:tr>
      <w:tr w:rsidR="000F5971" w:rsidRPr="00BC66D1" w:rsidTr="00C1201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BC66D1">
              <w:rPr>
                <w:rStyle w:val="Forte"/>
                <w:rFonts w:ascii="Arial" w:hAnsi="Arial" w:cs="Arial"/>
                <w:color w:val="000000"/>
                <w:sz w:val="20"/>
                <w:szCs w:val="20"/>
                <w:lang w:val="en-US"/>
              </w:rPr>
              <w:t>Read uncommitted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</w:tr>
      <w:tr w:rsidR="000F5971" w:rsidRPr="00BC66D1" w:rsidTr="00C1201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BC66D1">
              <w:rPr>
                <w:rStyle w:val="Forte"/>
                <w:rFonts w:ascii="Arial" w:hAnsi="Arial" w:cs="Arial"/>
                <w:color w:val="000000"/>
                <w:sz w:val="20"/>
                <w:szCs w:val="20"/>
                <w:lang w:val="en-US"/>
              </w:rPr>
              <w:t>Read committed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</w:tr>
      <w:tr w:rsidR="000F5971" w:rsidRPr="00BC66D1" w:rsidTr="00C1201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BC66D1">
              <w:rPr>
                <w:rStyle w:val="Forte"/>
                <w:rFonts w:ascii="Arial" w:hAnsi="Arial" w:cs="Arial"/>
                <w:color w:val="000000"/>
                <w:sz w:val="20"/>
                <w:szCs w:val="20"/>
                <w:lang w:val="en-US"/>
              </w:rPr>
              <w:t>Repeatable read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Sim</w:t>
            </w:r>
          </w:p>
        </w:tc>
      </w:tr>
      <w:tr w:rsidR="000F5971" w:rsidRPr="00BC66D1" w:rsidTr="00C1201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BC66D1">
              <w:rPr>
                <w:rStyle w:val="Forte"/>
                <w:rFonts w:ascii="Arial" w:hAnsi="Arial" w:cs="Arial"/>
                <w:color w:val="000000"/>
                <w:sz w:val="20"/>
                <w:szCs w:val="20"/>
                <w:lang w:val="en-US"/>
              </w:rPr>
              <w:t>Serializable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</w:tr>
      <w:tr w:rsidR="000F5971" w:rsidRPr="00BC66D1" w:rsidTr="00C12012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BC66D1">
              <w:rPr>
                <w:rStyle w:val="Forte"/>
                <w:rFonts w:ascii="Arial" w:hAnsi="Arial" w:cs="Arial"/>
                <w:color w:val="000000"/>
                <w:sz w:val="20"/>
                <w:szCs w:val="20"/>
                <w:lang w:val="en-US"/>
              </w:rPr>
              <w:t>Snapshot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F5971" w:rsidRPr="00BC66D1" w:rsidRDefault="000F5971" w:rsidP="00C12012">
            <w:pPr>
              <w:pStyle w:val="NormalWeb"/>
              <w:spacing w:line="336" w:lineRule="auto"/>
              <w:ind w:left="15" w:righ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66D1">
              <w:rPr>
                <w:rFonts w:ascii="Arial" w:hAnsi="Arial" w:cs="Arial"/>
                <w:color w:val="000000"/>
                <w:sz w:val="20"/>
                <w:szCs w:val="20"/>
              </w:rPr>
              <w:t>Não</w:t>
            </w:r>
          </w:p>
        </w:tc>
      </w:tr>
    </w:tbl>
    <w:p w:rsidR="002567FF" w:rsidRDefault="002567FF" w:rsidP="00322431">
      <w:pPr>
        <w:rPr>
          <w:rFonts w:ascii="Arial" w:hAnsi="Arial" w:cs="Arial"/>
          <w:sz w:val="22"/>
          <w:szCs w:val="22"/>
          <w:lang w:val="pt-BR"/>
        </w:rPr>
      </w:pPr>
      <w:bookmarkStart w:id="0" w:name="_GoBack"/>
      <w:bookmarkEnd w:id="0"/>
    </w:p>
    <w:sectPr w:rsidR="002567FF" w:rsidSect="000F5971">
      <w:headerReference w:type="default" r:id="rId10"/>
      <w:pgSz w:w="11907" w:h="16840" w:code="9"/>
      <w:pgMar w:top="1134" w:right="1134" w:bottom="1134" w:left="1134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82C" w:rsidRDefault="0068182C">
      <w:r>
        <w:separator/>
      </w:r>
    </w:p>
  </w:endnote>
  <w:endnote w:type="continuationSeparator" w:id="0">
    <w:p w:rsidR="0068182C" w:rsidRDefault="0068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82C" w:rsidRDefault="0068182C">
      <w:r>
        <w:separator/>
      </w:r>
    </w:p>
  </w:footnote>
  <w:footnote w:type="continuationSeparator" w:id="0">
    <w:p w:rsidR="0068182C" w:rsidRDefault="00681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260"/>
    </w:tblGrid>
    <w:tr w:rsidR="00AE1F88" w:rsidRPr="00442C22" w:rsidTr="00694ACD">
      <w:trPr>
        <w:trHeight w:val="847"/>
      </w:trPr>
      <w:tc>
        <w:tcPr>
          <w:tcW w:w="10260" w:type="dxa"/>
        </w:tcPr>
        <w:tbl>
          <w:tblPr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1545"/>
            <w:gridCol w:w="8560"/>
          </w:tblGrid>
          <w:tr w:rsidR="00724109" w:rsidRPr="00E8396C" w:rsidTr="00694ACD">
            <w:tc>
              <w:tcPr>
                <w:tcW w:w="1545" w:type="dxa"/>
                <w:shd w:val="clear" w:color="auto" w:fill="auto"/>
                <w:vAlign w:val="center"/>
              </w:tcPr>
              <w:p w:rsidR="00724109" w:rsidRPr="00E8396C" w:rsidRDefault="002567FF" w:rsidP="00694ACD">
                <w:pPr>
                  <w:pStyle w:val="Cabealho"/>
                  <w:tabs>
                    <w:tab w:val="clear" w:pos="8838"/>
                  </w:tabs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drawing>
                    <wp:inline distT="0" distB="0" distL="0" distR="0" wp14:anchorId="6E5760DF" wp14:editId="292C338A">
                      <wp:extent cx="819785" cy="647065"/>
                      <wp:effectExtent l="0" t="0" r="0" b="635"/>
                      <wp:docPr id="2" name="Imagem 2" descr="Novo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Novo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9785" cy="647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560" w:type="dxa"/>
                <w:shd w:val="clear" w:color="auto" w:fill="auto"/>
                <w:vAlign w:val="center"/>
              </w:tcPr>
              <w:p w:rsidR="00AA2412" w:rsidRDefault="002567FF" w:rsidP="00F83111">
                <w:pPr>
                  <w:pStyle w:val="Cabealho"/>
                  <w:tabs>
                    <w:tab w:val="clear" w:pos="4419"/>
                    <w:tab w:val="left" w:pos="1980"/>
                  </w:tabs>
                  <w:rPr>
                    <w:rFonts w:ascii="Arial" w:hAnsi="Arial" w:cs="Arial"/>
                    <w:b/>
                    <w:color w:val="0070C0"/>
                    <w:sz w:val="22"/>
                  </w:rPr>
                </w:pPr>
                <w:r w:rsidRPr="00694ACD">
                  <w:rPr>
                    <w:rFonts w:ascii="Arial" w:hAnsi="Arial" w:cs="Arial"/>
                    <w:b/>
                    <w:color w:val="0070C0"/>
                    <w:sz w:val="22"/>
                  </w:rPr>
                  <w:t>Lista de Exercícios</w:t>
                </w:r>
              </w:p>
              <w:p w:rsidR="00724109" w:rsidRPr="00694ACD" w:rsidRDefault="002567FF" w:rsidP="00F83111">
                <w:pPr>
                  <w:pStyle w:val="Cabealho"/>
                  <w:tabs>
                    <w:tab w:val="clear" w:pos="4419"/>
                    <w:tab w:val="left" w:pos="1980"/>
                  </w:tabs>
                  <w:rPr>
                    <w:rFonts w:ascii="Arial" w:hAnsi="Arial" w:cs="Arial"/>
                    <w:b/>
                    <w:color w:val="0070C0"/>
                    <w:sz w:val="22"/>
                  </w:rPr>
                </w:pPr>
                <w:r w:rsidRPr="00694ACD">
                  <w:rPr>
                    <w:rFonts w:ascii="Arial" w:hAnsi="Arial" w:cs="Arial"/>
                    <w:b/>
                    <w:color w:val="0070C0"/>
                    <w:sz w:val="22"/>
                  </w:rPr>
                  <w:t>Prof. Sérgio Borges</w:t>
                </w:r>
              </w:p>
              <w:p w:rsidR="00694ACD" w:rsidRPr="00E8396C" w:rsidRDefault="002567FF" w:rsidP="00F83111">
                <w:pPr>
                  <w:pStyle w:val="Cabealho"/>
                  <w:tabs>
                    <w:tab w:val="clear" w:pos="4419"/>
                    <w:tab w:val="left" w:pos="1980"/>
                  </w:tabs>
                  <w:rPr>
                    <w:rFonts w:ascii="Arial" w:hAnsi="Arial" w:cs="Arial"/>
                    <w:b/>
                    <w:sz w:val="22"/>
                  </w:rPr>
                </w:pPr>
                <w:r w:rsidRPr="00694ACD">
                  <w:rPr>
                    <w:rFonts w:ascii="Arial" w:hAnsi="Arial" w:cs="Arial"/>
                    <w:b/>
                    <w:color w:val="0070C0"/>
                    <w:sz w:val="22"/>
                  </w:rPr>
                  <w:t>ensinalegal@gmail.com</w:t>
                </w:r>
              </w:p>
            </w:tc>
          </w:tr>
        </w:tbl>
        <w:p w:rsidR="00AE1F88" w:rsidRPr="00442C22" w:rsidRDefault="0068182C" w:rsidP="003F5858">
          <w:pPr>
            <w:pStyle w:val="Cabealho"/>
            <w:tabs>
              <w:tab w:val="clear" w:pos="8838"/>
            </w:tabs>
            <w:rPr>
              <w:rFonts w:ascii="Arial" w:hAnsi="Arial" w:cs="Arial"/>
              <w:sz w:val="20"/>
              <w:szCs w:val="20"/>
            </w:rPr>
          </w:pPr>
        </w:p>
      </w:tc>
    </w:tr>
  </w:tbl>
  <w:p w:rsidR="00AE1F88" w:rsidRPr="00E37CFF" w:rsidRDefault="0068182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5551"/>
    <w:multiLevelType w:val="hybridMultilevel"/>
    <w:tmpl w:val="ADB80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451C8"/>
    <w:multiLevelType w:val="hybridMultilevel"/>
    <w:tmpl w:val="62EA24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E3786"/>
    <w:multiLevelType w:val="hybridMultilevel"/>
    <w:tmpl w:val="1728D45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E679A2"/>
    <w:multiLevelType w:val="hybridMultilevel"/>
    <w:tmpl w:val="8E9C6F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C6414B"/>
    <w:multiLevelType w:val="hybridMultilevel"/>
    <w:tmpl w:val="FC1EC8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E2E28"/>
    <w:multiLevelType w:val="hybridMultilevel"/>
    <w:tmpl w:val="5D60B4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E2677"/>
    <w:multiLevelType w:val="hybridMultilevel"/>
    <w:tmpl w:val="36EC79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FF"/>
    <w:rsid w:val="000F5971"/>
    <w:rsid w:val="002567FF"/>
    <w:rsid w:val="00322431"/>
    <w:rsid w:val="003B47F8"/>
    <w:rsid w:val="00584E40"/>
    <w:rsid w:val="00585B94"/>
    <w:rsid w:val="005C02D6"/>
    <w:rsid w:val="0068182C"/>
    <w:rsid w:val="007A25B0"/>
    <w:rsid w:val="00AD1F8A"/>
    <w:rsid w:val="00C524CE"/>
    <w:rsid w:val="00C54CE4"/>
    <w:rsid w:val="00DF34BA"/>
    <w:rsid w:val="00FC11EC"/>
    <w:rsid w:val="00FE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567F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567FF"/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PargrafodaLista">
    <w:name w:val="List Paragraph"/>
    <w:basedOn w:val="Normal"/>
    <w:uiPriority w:val="34"/>
    <w:qFormat/>
    <w:rsid w:val="002567FF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67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7FF"/>
    <w:rPr>
      <w:rFonts w:ascii="Tahoma" w:eastAsia="Times New Roman" w:hAnsi="Tahoma" w:cs="Tahoma"/>
      <w:sz w:val="16"/>
      <w:szCs w:val="16"/>
      <w:lang w:val="pt-PT" w:eastAsia="pt-BR"/>
    </w:rPr>
  </w:style>
  <w:style w:type="paragraph" w:styleId="NormalWeb">
    <w:name w:val="Normal (Web)"/>
    <w:basedOn w:val="Normal"/>
    <w:rsid w:val="000F5971"/>
    <w:pPr>
      <w:spacing w:before="100" w:beforeAutospacing="1" w:after="100" w:afterAutospacing="1"/>
    </w:pPr>
    <w:rPr>
      <w:lang w:val="pt-BR"/>
    </w:rPr>
  </w:style>
  <w:style w:type="character" w:styleId="Forte">
    <w:name w:val="Strong"/>
    <w:qFormat/>
    <w:rsid w:val="000F597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F59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567F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567FF"/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PargrafodaLista">
    <w:name w:val="List Paragraph"/>
    <w:basedOn w:val="Normal"/>
    <w:uiPriority w:val="34"/>
    <w:qFormat/>
    <w:rsid w:val="002567FF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67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7FF"/>
    <w:rPr>
      <w:rFonts w:ascii="Tahoma" w:eastAsia="Times New Roman" w:hAnsi="Tahoma" w:cs="Tahoma"/>
      <w:sz w:val="16"/>
      <w:szCs w:val="16"/>
      <w:lang w:val="pt-PT" w:eastAsia="pt-BR"/>
    </w:rPr>
  </w:style>
  <w:style w:type="paragraph" w:styleId="NormalWeb">
    <w:name w:val="Normal (Web)"/>
    <w:basedOn w:val="Normal"/>
    <w:rsid w:val="000F5971"/>
    <w:pPr>
      <w:spacing w:before="100" w:beforeAutospacing="1" w:after="100" w:afterAutospacing="1"/>
    </w:pPr>
    <w:rPr>
      <w:lang w:val="pt-BR"/>
    </w:rPr>
  </w:style>
  <w:style w:type="character" w:styleId="Forte">
    <w:name w:val="Strong"/>
    <w:qFormat/>
    <w:rsid w:val="000F597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F5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gdocptbr.sourceforge.net/pg80/transaction-iso.html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.mysql.com/doc/refman/5.6/en/dynindex-isolevel.html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8E51CFAC58844AA936F1A50ED2F24B" ma:contentTypeVersion="6" ma:contentTypeDescription="Crie um novo documento." ma:contentTypeScope="" ma:versionID="b92441e4fd5dd4c648e5a481ced6250f">
  <xsd:schema xmlns:xsd="http://www.w3.org/2001/XMLSchema" xmlns:xs="http://www.w3.org/2001/XMLSchema" xmlns:p="http://schemas.microsoft.com/office/2006/metadata/properties" xmlns:ns2="49ddcd33-83ad-4b20-a655-84ae996d5577" targetNamespace="http://schemas.microsoft.com/office/2006/metadata/properties" ma:root="true" ma:fieldsID="e02ce5899452a0da7af970e1de2b4077" ns2:_="">
    <xsd:import namespace="49ddcd33-83ad-4b20-a655-84ae996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dcd33-83ad-4b20-a655-84ae996d5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75167-D41E-458F-9152-6EF2606445F9}"/>
</file>

<file path=customXml/itemProps2.xml><?xml version="1.0" encoding="utf-8"?>
<ds:datastoreItem xmlns:ds="http://schemas.openxmlformats.org/officeDocument/2006/customXml" ds:itemID="{B289F076-3F5B-469A-8D15-BAC01824E77D}"/>
</file>

<file path=customXml/itemProps3.xml><?xml version="1.0" encoding="utf-8"?>
<ds:datastoreItem xmlns:ds="http://schemas.openxmlformats.org/officeDocument/2006/customXml" ds:itemID="{E1E421D9-B130-441A-A4C1-CF538705BD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11</cp:revision>
  <dcterms:created xsi:type="dcterms:W3CDTF">2013-10-31T14:50:00Z</dcterms:created>
  <dcterms:modified xsi:type="dcterms:W3CDTF">2013-11-05T12:32:00Z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0x0101006F8E51CFAC58844AA936F1A50ED2F24B</vt:lpwstr>
  </property>
</Properties>
</file>