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 a Lotka-Volterra model, evolutionary stability does not align with ecological predictions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evaluated the invasion fitness of a novel phage specialist in a generalist population and vice versa to compare evolutionary stability with the ecological predictions of our Lotka-Volterra model. We found that, regardless of the type of prey interactions, a specialist strategy was not evolutionarily stable and was vulnerable to invasion by a generalist. When prey were mutualistic, invasion by a generalist was possible given a minimum threshold of infective ability (as measured by the product of attachment and burst size) on the novel prey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coli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given an infective advantage on the shared prey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enterica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invasion was made more difficult if expanded diet breadth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coli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offset by a cost of generalism, in comparison to the resident specialist, on the shared prey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coli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(Supplemental Figure 2A). When prey competed, invasion of a generalist required a minimum threshold of infectivity on the novel prey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coli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that threshold decreased as the specialist’s infectivity on the shared prey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enterica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increased, likely due to competitive release of the novel prey facilitated by efficient predation of the shared prey (Supplemental Figure 2B).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comparison, our analyses demonstrated that phage generalism was evolutionarily stable in certain cases and was not always vulnerable to invasion by a specialist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enterica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shared prey. In particular, when prey were mutualistic, a specialist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enterica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could never invade; this result stands in contrast to our findings on ecological selection (Supplemental Figure 2C). However, when prey competed, a specialist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enterica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could invade a resident generalist population depending on the interaction outcomes between prey and the infective ability of the generalist (Supplemental Figure 2D). If the shared prey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enterica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the stronger competitor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𝜷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e,s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𝜷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s,e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𝝁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𝝁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then invasion by the specialist was generally possible assuming that the infectivity of the specialist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enterica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greater than that of the generalist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enterica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This was consistent with the expectation that, if the alternative prey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coli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eliminated by competitive exclusion, then the invasion ability of the novel specialist must depend only on the relative abilities of the two phage predators to compete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enterica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These results demonstrated the importance of competitive prey outcomes for the evolutionary stability of predator diet breadth.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analyses were completed in Mathematica 13.1, with pairwise invasibility plots and related simulations completed in R v. 4.2.1. Notebooks and corresponding pdf outputs are available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https://github.com/bisesi/Host-Ecology-and-Host-Range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isesi/Host-Ecology-and-Host-R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