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9A795C">
        <w:trPr>
          <w:trHeight w:val="227"/>
          <w:jc w:val="center"/>
        </w:trPr>
        <w:tc>
          <w:tcPr>
            <w:tcW w:w="2127" w:type="dxa"/>
            <w:gridSpan w:val="3"/>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6517F256" w:rsidR="0063651F" w:rsidRPr="00D95DB0" w:rsidRDefault="00C6705A" w:rsidP="00D95DB0">
            <w:pPr>
              <w:pStyle w:val="Body"/>
              <w:spacing w:before="60" w:after="60" w:line="240" w:lineRule="auto"/>
              <w:rPr>
                <w:color w:val="404040" w:themeColor="text1" w:themeTint="BF"/>
              </w:rPr>
            </w:pPr>
            <w:r>
              <w:rPr>
                <w:color w:val="404040" w:themeColor="text1" w:themeTint="BF"/>
              </w:rPr>
              <w:t>Driving Operations in from Roma in Queensland</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2FC73728" w:rsidR="0063651F" w:rsidRPr="00D95DB0" w:rsidRDefault="003C62DE" w:rsidP="00D95DB0">
            <w:pPr>
              <w:pStyle w:val="Body"/>
              <w:spacing w:before="60" w:after="60" w:line="240" w:lineRule="auto"/>
              <w:rPr>
                <w:color w:val="404040" w:themeColor="text1" w:themeTint="BF"/>
              </w:rPr>
            </w:pPr>
            <w:r>
              <w:rPr>
                <w:color w:val="404040" w:themeColor="text1" w:themeTint="BF"/>
              </w:rPr>
              <w:t>GN01</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nil"/>
            </w:tcBorders>
            <w:vAlign w:val="center"/>
          </w:tcPr>
          <w:p w14:paraId="56903E20" w14:textId="41E7D2ED"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1D3E21">
              <w:rPr>
                <w:color w:val="404040" w:themeColor="text1" w:themeTint="BF"/>
              </w:rPr>
              <w:t>3</w:t>
            </w:r>
          </w:p>
        </w:tc>
      </w:tr>
      <w:tr w:rsidR="00D95DB0" w:rsidRPr="00D95DB0" w14:paraId="1CDEEE39" w14:textId="77777777" w:rsidTr="009A795C">
        <w:trPr>
          <w:trHeight w:val="227"/>
          <w:jc w:val="center"/>
        </w:trPr>
        <w:tc>
          <w:tcPr>
            <w:tcW w:w="2127" w:type="dxa"/>
            <w:gridSpan w:val="3"/>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nil"/>
            </w:tcBorders>
            <w:vAlign w:val="center"/>
          </w:tcPr>
          <w:p w14:paraId="283F3B9E" w14:textId="2482039E" w:rsidR="0063651F" w:rsidRPr="00D95DB0" w:rsidRDefault="001D3E21" w:rsidP="00D95DB0">
            <w:pPr>
              <w:pStyle w:val="Body"/>
              <w:spacing w:before="60" w:after="60" w:line="240" w:lineRule="auto"/>
              <w:rPr>
                <w:color w:val="404040" w:themeColor="text1" w:themeTint="BF"/>
              </w:rPr>
            </w:pPr>
            <w:r>
              <w:rPr>
                <w:color w:val="404040" w:themeColor="text1" w:themeTint="BF"/>
              </w:rPr>
              <w:t>26</w:t>
            </w:r>
            <w:r w:rsidR="003C62DE">
              <w:rPr>
                <w:color w:val="404040" w:themeColor="text1" w:themeTint="BF"/>
              </w:rPr>
              <w:t>-M</w:t>
            </w:r>
            <w:r>
              <w:rPr>
                <w:color w:val="404040" w:themeColor="text1" w:themeTint="BF"/>
              </w:rPr>
              <w:t>ay</w:t>
            </w:r>
            <w:r w:rsidR="003C62DE">
              <w:rPr>
                <w:color w:val="404040" w:themeColor="text1" w:themeTint="BF"/>
              </w:rPr>
              <w:t>-2</w:t>
            </w:r>
            <w:r>
              <w:rPr>
                <w:color w:val="404040" w:themeColor="text1" w:themeTint="BF"/>
              </w:rPr>
              <w:t>1</w:t>
            </w:r>
          </w:p>
        </w:tc>
      </w:tr>
      <w:tr w:rsidR="00D95DB0" w:rsidRPr="00D95DB0" w14:paraId="42F50D8E" w14:textId="77777777" w:rsidTr="009A795C">
        <w:trPr>
          <w:trHeight w:val="227"/>
          <w:jc w:val="center"/>
        </w:trPr>
        <w:tc>
          <w:tcPr>
            <w:tcW w:w="2127" w:type="dxa"/>
            <w:gridSpan w:val="3"/>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2BF5BD91" w14:textId="1A4543EC" w:rsidR="007E1796" w:rsidRPr="00D95DB0" w:rsidRDefault="00C6705A" w:rsidP="00D95DB0">
            <w:pPr>
              <w:pStyle w:val="BulletPoint"/>
              <w:spacing w:before="60" w:after="60" w:line="240" w:lineRule="auto"/>
              <w:rPr>
                <w:color w:val="404040" w:themeColor="text1" w:themeTint="BF"/>
              </w:rPr>
            </w:pPr>
            <w:r>
              <w:rPr>
                <w:color w:val="404040" w:themeColor="text1" w:themeTint="BF"/>
              </w:rPr>
              <w:t>Local Journey Management Plan</w:t>
            </w:r>
          </w:p>
          <w:p w14:paraId="5E3BC2AB" w14:textId="77777777" w:rsidR="007E1796" w:rsidRDefault="00C6705A" w:rsidP="00D95DB0">
            <w:pPr>
              <w:pStyle w:val="BulletPoint"/>
              <w:spacing w:before="60" w:after="60" w:line="240" w:lineRule="auto"/>
              <w:rPr>
                <w:color w:val="404040" w:themeColor="text1" w:themeTint="BF"/>
              </w:rPr>
            </w:pPr>
            <w:r>
              <w:rPr>
                <w:color w:val="404040" w:themeColor="text1" w:themeTint="BF"/>
              </w:rPr>
              <w:t>Huracan Land Transport Standard</w:t>
            </w:r>
          </w:p>
          <w:p w14:paraId="0D763CEB" w14:textId="6896049C" w:rsidR="00C6705A" w:rsidRPr="00D95DB0" w:rsidRDefault="00C6705A" w:rsidP="00C6705A">
            <w:pPr>
              <w:pStyle w:val="BulletPoint"/>
              <w:numPr>
                <w:ilvl w:val="0"/>
                <w:numId w:val="0"/>
              </w:numPr>
              <w:spacing w:before="60" w:after="60" w:line="240" w:lineRule="auto"/>
              <w:rPr>
                <w:color w:val="404040" w:themeColor="text1" w:themeTint="BF"/>
              </w:rPr>
            </w:pP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nil"/>
            </w:tcBorders>
            <w:vAlign w:val="center"/>
          </w:tcPr>
          <w:p w14:paraId="3A5DFE64" w14:textId="1C7D4CEC"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J. Hollingworth</w:t>
            </w:r>
            <w:r w:rsidR="00C6705A">
              <w:rPr>
                <w:color w:val="404040" w:themeColor="text1" w:themeTint="BF"/>
              </w:rPr>
              <w:t xml:space="preserve">, </w:t>
            </w:r>
            <w:r w:rsidR="001D3E21">
              <w:rPr>
                <w:color w:val="404040" w:themeColor="text1" w:themeTint="BF"/>
              </w:rPr>
              <w:t>M. Auld</w:t>
            </w:r>
          </w:p>
        </w:tc>
      </w:tr>
      <w:tr w:rsidR="00D95DB0" w:rsidRPr="00D95DB0" w14:paraId="454BA60F" w14:textId="77777777" w:rsidTr="009A795C">
        <w:trPr>
          <w:trHeight w:val="227"/>
          <w:jc w:val="center"/>
        </w:trPr>
        <w:tc>
          <w:tcPr>
            <w:tcW w:w="2127" w:type="dxa"/>
            <w:gridSpan w:val="3"/>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nil"/>
            </w:tcBorders>
            <w:vAlign w:val="center"/>
          </w:tcPr>
          <w:p w14:paraId="7F218DD8" w14:textId="5AE48CF6" w:rsidR="0063651F" w:rsidRPr="00D95DB0" w:rsidRDefault="00E76DCF" w:rsidP="00D95DB0">
            <w:pPr>
              <w:pStyle w:val="Body"/>
              <w:spacing w:before="60" w:after="60" w:line="240" w:lineRule="auto"/>
              <w:rPr>
                <w:color w:val="404040" w:themeColor="text1" w:themeTint="BF"/>
              </w:rPr>
            </w:pPr>
            <w:r>
              <w:rPr>
                <w:color w:val="404040" w:themeColor="text1" w:themeTint="BF"/>
              </w:rPr>
              <w:t xml:space="preserve">Huracan / </w:t>
            </w:r>
            <w:r w:rsidR="00C6705A">
              <w:rPr>
                <w:color w:val="404040" w:themeColor="text1" w:themeTint="BF"/>
              </w:rPr>
              <w:t>Roma</w:t>
            </w:r>
          </w:p>
        </w:tc>
      </w:tr>
      <w:tr w:rsidR="00D95DB0" w:rsidRPr="00D95DB0" w14:paraId="21672CF2" w14:textId="77777777" w:rsidTr="009A795C">
        <w:trPr>
          <w:trHeight w:val="227"/>
          <w:jc w:val="center"/>
        </w:trPr>
        <w:tc>
          <w:tcPr>
            <w:tcW w:w="2127" w:type="dxa"/>
            <w:gridSpan w:val="3"/>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nil"/>
            </w:tcBorders>
            <w:vAlign w:val="center"/>
          </w:tcPr>
          <w:p w14:paraId="047F442D" w14:textId="5593E8AE" w:rsidR="0063651F" w:rsidRPr="00D95DB0" w:rsidRDefault="00C6705A" w:rsidP="00D95DB0">
            <w:pPr>
              <w:pStyle w:val="Body"/>
              <w:spacing w:before="60" w:after="60" w:line="240" w:lineRule="auto"/>
              <w:rPr>
                <w:color w:val="404040" w:themeColor="text1" w:themeTint="BF"/>
              </w:rPr>
            </w:pPr>
            <w:r>
              <w:rPr>
                <w:color w:val="404040" w:themeColor="text1" w:themeTint="BF"/>
              </w:rPr>
              <w:t>Daily</w:t>
            </w:r>
          </w:p>
        </w:tc>
      </w:tr>
      <w:tr w:rsidR="00D95DB0" w:rsidRPr="00D95DB0" w14:paraId="3000A154" w14:textId="77777777" w:rsidTr="009A795C">
        <w:trPr>
          <w:trHeight w:val="227"/>
          <w:jc w:val="center"/>
        </w:trPr>
        <w:tc>
          <w:tcPr>
            <w:tcW w:w="2127" w:type="dxa"/>
            <w:gridSpan w:val="3"/>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right w:val="nil"/>
            </w:tcBorders>
            <w:vAlign w:val="center"/>
          </w:tcPr>
          <w:p w14:paraId="47520117" w14:textId="2652319C"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p>
        </w:tc>
      </w:tr>
      <w:tr w:rsidR="00D95DB0" w:rsidRPr="00D95DB0" w14:paraId="4C3938D9" w14:textId="77777777" w:rsidTr="009A795C">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C670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E5DFEC" w:themeFill="accent4" w:themeFillTint="33"/>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E5DFEC" w:themeFill="accent4" w:themeFillTint="33"/>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E5DFEC" w:themeFill="accent4" w:themeFillTint="33"/>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E5DFEC" w:themeFill="accent4" w:themeFillTint="33"/>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E5DFEC" w:themeFill="accent4" w:themeFillTint="33"/>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E5DFEC" w:themeFill="accent4" w:themeFillTint="33"/>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C670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E5DFEC" w:themeFill="accent4" w:themeFillTint="33"/>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E5DFEC" w:themeFill="accent4" w:themeFillTint="33"/>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E5DFEC" w:themeFill="accent4" w:themeFillTint="33"/>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E5DFEC" w:themeFill="accent4" w:themeFillTint="33"/>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E5DFEC" w:themeFill="accent4" w:themeFillTint="33"/>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E5DFEC" w:themeFill="accent4" w:themeFillTint="33"/>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E5DFEC" w:themeFill="accent4" w:themeFillTint="33"/>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E5DFEC" w:themeFill="accent4" w:themeFillTint="33"/>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E5DFEC" w:themeFill="accent4" w:themeFillTint="33"/>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E5DFEC" w:themeFill="accent4" w:themeFillTint="33"/>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E5DFEC" w:themeFill="accent4" w:themeFillTint="33"/>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E5DFEC" w:themeFill="accent4" w:themeFillTint="33"/>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C6705A" w:rsidRPr="00D95DB0" w14:paraId="1574BE33" w14:textId="77777777" w:rsidTr="003C62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27193AB3" w:rsidR="00C6705A" w:rsidRPr="00D95DB0" w:rsidRDefault="00C6705A" w:rsidP="00C6705A">
            <w:pPr>
              <w:autoSpaceDE w:val="0"/>
              <w:autoSpaceDN w:val="0"/>
              <w:adjustRightInd w:val="0"/>
              <w:spacing w:before="60" w:after="60" w:line="240" w:lineRule="auto"/>
              <w:rPr>
                <w:color w:val="404040" w:themeColor="text1" w:themeTint="BF"/>
              </w:rPr>
            </w:pPr>
            <w:r w:rsidRPr="00C6705A">
              <w:rPr>
                <w:rFonts w:ascii="Arial" w:eastAsiaTheme="minorEastAsia" w:hAnsi="Arial" w:cs="Arial"/>
                <w:color w:val="404040" w:themeColor="text1" w:themeTint="BF"/>
                <w:sz w:val="20"/>
                <w:szCs w:val="20"/>
                <w:lang w:val="en-AU"/>
              </w:rPr>
              <w:t xml:space="preserve">Driving </w:t>
            </w:r>
            <w:r w:rsidR="003C62DE">
              <w:rPr>
                <w:rFonts w:ascii="Arial" w:eastAsiaTheme="minorEastAsia" w:hAnsi="Arial" w:cs="Arial"/>
                <w:color w:val="404040" w:themeColor="text1" w:themeTint="BF"/>
                <w:sz w:val="20"/>
                <w:szCs w:val="20"/>
                <w:lang w:val="en-AU"/>
              </w:rPr>
              <w:t>in Queensland</w:t>
            </w:r>
          </w:p>
        </w:tc>
        <w:tc>
          <w:tcPr>
            <w:tcW w:w="1984" w:type="dxa"/>
            <w:tcBorders>
              <w:top w:val="single" w:sz="6" w:space="0" w:color="auto"/>
              <w:left w:val="single" w:sz="6" w:space="0" w:color="auto"/>
              <w:bottom w:val="single" w:sz="6" w:space="0" w:color="auto"/>
              <w:right w:val="single" w:sz="6" w:space="0" w:color="auto"/>
            </w:tcBorders>
          </w:tcPr>
          <w:p w14:paraId="5CD48637" w14:textId="77777777" w:rsidR="00C6705A" w:rsidRDefault="00C6705A" w:rsidP="00C6705A">
            <w:pPr>
              <w:spacing w:before="20" w:after="20"/>
              <w:ind w:left="-58"/>
              <w:rPr>
                <w:rFonts w:ascii="Arial" w:hAnsi="Arial" w:cs="Arial"/>
                <w:b/>
                <w:bCs/>
                <w:color w:val="000000"/>
                <w:sz w:val="16"/>
              </w:rPr>
            </w:pPr>
            <w:r w:rsidRPr="00FB4864">
              <w:rPr>
                <w:rFonts w:ascii="Arial" w:hAnsi="Arial" w:cs="Arial"/>
                <w:b/>
                <w:bCs/>
                <w:color w:val="000000"/>
                <w:sz w:val="16"/>
              </w:rPr>
              <w:t>Land Transport</w:t>
            </w:r>
          </w:p>
          <w:p w14:paraId="602DC598" w14:textId="77777777" w:rsidR="00C6705A" w:rsidRPr="003C0ECA" w:rsidRDefault="00C6705A" w:rsidP="00C6705A">
            <w:pPr>
              <w:spacing w:before="20" w:after="20"/>
              <w:ind w:left="-58"/>
              <w:rPr>
                <w:rFonts w:ascii="Arial" w:hAnsi="Arial" w:cs="Arial"/>
                <w:bCs/>
                <w:color w:val="000000"/>
                <w:sz w:val="16"/>
              </w:rPr>
            </w:pPr>
            <w:r w:rsidRPr="003C0ECA">
              <w:rPr>
                <w:rFonts w:ascii="Arial" w:hAnsi="Arial" w:cs="Arial"/>
                <w:bCs/>
                <w:color w:val="000000"/>
                <w:sz w:val="16"/>
              </w:rPr>
              <w:t>-Collision with Vehicles</w:t>
            </w:r>
          </w:p>
          <w:p w14:paraId="57023B59" w14:textId="77777777" w:rsidR="00C6705A" w:rsidRPr="003C0ECA" w:rsidRDefault="00C6705A" w:rsidP="00C6705A">
            <w:pPr>
              <w:spacing w:before="20" w:after="20"/>
              <w:ind w:left="-58"/>
              <w:rPr>
                <w:rFonts w:ascii="Arial" w:hAnsi="Arial" w:cs="Arial"/>
                <w:bCs/>
                <w:color w:val="000000"/>
                <w:sz w:val="16"/>
              </w:rPr>
            </w:pPr>
            <w:r w:rsidRPr="003C0ECA">
              <w:rPr>
                <w:rFonts w:ascii="Arial" w:hAnsi="Arial" w:cs="Arial"/>
                <w:bCs/>
                <w:color w:val="000000"/>
                <w:sz w:val="16"/>
              </w:rPr>
              <w:t>People or roadside equipment</w:t>
            </w:r>
          </w:p>
          <w:p w14:paraId="0BABAB17" w14:textId="77777777" w:rsidR="00C6705A" w:rsidRPr="003C0ECA" w:rsidRDefault="00C6705A" w:rsidP="00C6705A">
            <w:pPr>
              <w:spacing w:before="20" w:after="20"/>
              <w:ind w:left="-58"/>
              <w:rPr>
                <w:rFonts w:ascii="Arial" w:hAnsi="Arial" w:cs="Arial"/>
                <w:bCs/>
                <w:color w:val="000000"/>
                <w:sz w:val="16"/>
              </w:rPr>
            </w:pPr>
            <w:r w:rsidRPr="003C0ECA">
              <w:rPr>
                <w:rFonts w:ascii="Arial" w:hAnsi="Arial" w:cs="Arial"/>
                <w:bCs/>
                <w:color w:val="000000"/>
                <w:sz w:val="16"/>
              </w:rPr>
              <w:t>-Overturning of vehicle.</w:t>
            </w:r>
          </w:p>
          <w:p w14:paraId="53CF3818" w14:textId="77777777" w:rsidR="00C6705A" w:rsidRPr="003C0ECA" w:rsidRDefault="00C6705A" w:rsidP="00C6705A">
            <w:pPr>
              <w:spacing w:before="20" w:after="20"/>
              <w:ind w:left="-58"/>
              <w:rPr>
                <w:rFonts w:ascii="Arial" w:hAnsi="Arial" w:cs="Arial"/>
                <w:bCs/>
                <w:color w:val="000000"/>
                <w:sz w:val="16"/>
              </w:rPr>
            </w:pPr>
            <w:r w:rsidRPr="003C0ECA">
              <w:rPr>
                <w:rFonts w:ascii="Arial" w:hAnsi="Arial" w:cs="Arial"/>
                <w:bCs/>
                <w:color w:val="000000"/>
                <w:sz w:val="16"/>
              </w:rPr>
              <w:t>-Injury or death</w:t>
            </w:r>
          </w:p>
          <w:p w14:paraId="4FA7C709" w14:textId="77777777" w:rsidR="00C6705A" w:rsidRPr="003C0ECA" w:rsidRDefault="00C6705A" w:rsidP="00C6705A">
            <w:pPr>
              <w:spacing w:before="20" w:after="20"/>
              <w:ind w:left="-58"/>
              <w:rPr>
                <w:rFonts w:ascii="Arial" w:hAnsi="Arial" w:cs="Arial"/>
                <w:bCs/>
                <w:color w:val="000000"/>
                <w:sz w:val="16"/>
              </w:rPr>
            </w:pPr>
            <w:r w:rsidRPr="003C0ECA">
              <w:rPr>
                <w:rFonts w:ascii="Arial" w:hAnsi="Arial" w:cs="Arial"/>
                <w:bCs/>
                <w:color w:val="000000"/>
                <w:sz w:val="16"/>
              </w:rPr>
              <w:t>-Fallen trees</w:t>
            </w:r>
          </w:p>
          <w:p w14:paraId="728B87B2" w14:textId="4853DB06" w:rsidR="00C6705A" w:rsidRPr="003C0ECA" w:rsidRDefault="00C6705A" w:rsidP="00C6705A">
            <w:pPr>
              <w:spacing w:before="20" w:after="20"/>
              <w:ind w:left="-58"/>
              <w:rPr>
                <w:rFonts w:ascii="Arial" w:hAnsi="Arial" w:cs="Arial"/>
                <w:bCs/>
                <w:color w:val="000000"/>
                <w:sz w:val="16"/>
              </w:rPr>
            </w:pPr>
            <w:r>
              <w:rPr>
                <w:rFonts w:ascii="Arial" w:hAnsi="Arial" w:cs="Arial"/>
                <w:bCs/>
                <w:color w:val="000000"/>
                <w:sz w:val="16"/>
              </w:rPr>
              <w:t>-W</w:t>
            </w:r>
            <w:r w:rsidRPr="003C0ECA">
              <w:rPr>
                <w:rFonts w:ascii="Arial" w:hAnsi="Arial" w:cs="Arial"/>
                <w:bCs/>
                <w:color w:val="000000"/>
                <w:sz w:val="16"/>
              </w:rPr>
              <w:t>ildlife</w:t>
            </w:r>
          </w:p>
          <w:p w14:paraId="5EA98155" w14:textId="77777777" w:rsidR="00C6705A" w:rsidRDefault="00C6705A" w:rsidP="00C6705A">
            <w:pPr>
              <w:spacing w:before="20" w:after="20"/>
              <w:ind w:left="-58"/>
              <w:rPr>
                <w:rFonts w:ascii="Arial" w:hAnsi="Arial" w:cs="Arial"/>
                <w:bCs/>
                <w:color w:val="000000"/>
                <w:sz w:val="16"/>
              </w:rPr>
            </w:pPr>
            <w:r w:rsidRPr="003C0ECA">
              <w:rPr>
                <w:rFonts w:ascii="Arial" w:hAnsi="Arial" w:cs="Arial"/>
                <w:bCs/>
                <w:color w:val="000000"/>
                <w:sz w:val="16"/>
              </w:rPr>
              <w:t>-Floods</w:t>
            </w:r>
          </w:p>
          <w:p w14:paraId="24B2208F" w14:textId="2DBA49AF" w:rsidR="00C6705A" w:rsidRPr="00D95DB0" w:rsidRDefault="00C6705A" w:rsidP="00C6705A">
            <w:pPr>
              <w:spacing w:before="20" w:after="20"/>
              <w:ind w:left="-58"/>
              <w:rPr>
                <w:rFonts w:ascii="Arial" w:eastAsiaTheme="minorEastAsia" w:hAnsi="Arial" w:cs="Arial"/>
                <w:color w:val="404040" w:themeColor="text1" w:themeTint="BF"/>
                <w:sz w:val="20"/>
                <w:szCs w:val="20"/>
                <w:lang w:val="en-AU"/>
              </w:rPr>
            </w:pPr>
            <w:r w:rsidRPr="003C0ECA">
              <w:rPr>
                <w:rFonts w:ascii="Arial" w:hAnsi="Arial" w:cs="Arial"/>
                <w:bCs/>
                <w:color w:val="000000"/>
                <w:sz w:val="16"/>
              </w:rPr>
              <w:t>-Water over roads</w:t>
            </w:r>
          </w:p>
        </w:tc>
        <w:tc>
          <w:tcPr>
            <w:tcW w:w="2977" w:type="dxa"/>
            <w:gridSpan w:val="2"/>
            <w:tcBorders>
              <w:top w:val="single" w:sz="6" w:space="0" w:color="auto"/>
              <w:left w:val="single" w:sz="6" w:space="0" w:color="auto"/>
              <w:bottom w:val="single" w:sz="6" w:space="0" w:color="auto"/>
              <w:right w:val="single" w:sz="6" w:space="0" w:color="auto"/>
            </w:tcBorders>
          </w:tcPr>
          <w:p w14:paraId="64858EE4" w14:textId="77777777" w:rsidR="00C6705A" w:rsidRDefault="00C6705A" w:rsidP="00C6705A">
            <w:pPr>
              <w:spacing w:before="20" w:after="20"/>
              <w:ind w:left="-58"/>
              <w:rPr>
                <w:rFonts w:ascii="Arial" w:hAnsi="Arial" w:cs="Arial"/>
                <w:color w:val="000000"/>
                <w:sz w:val="16"/>
              </w:rPr>
            </w:pPr>
            <w:r w:rsidRPr="00FB4864">
              <w:rPr>
                <w:rFonts w:ascii="Arial" w:hAnsi="Arial" w:cs="Arial"/>
                <w:b/>
                <w:bCs/>
                <w:color w:val="000000"/>
                <w:sz w:val="16"/>
              </w:rPr>
              <w:t>Personnel</w:t>
            </w:r>
          </w:p>
          <w:p w14:paraId="594F17E6" w14:textId="77777777" w:rsidR="00C6705A" w:rsidRDefault="00C6705A" w:rsidP="00C6705A">
            <w:pPr>
              <w:spacing w:before="20" w:after="20"/>
              <w:ind w:left="-58"/>
              <w:rPr>
                <w:rFonts w:ascii="Arial" w:hAnsi="Arial" w:cs="Arial"/>
                <w:color w:val="000000"/>
                <w:sz w:val="16"/>
              </w:rPr>
            </w:pPr>
            <w:r>
              <w:rPr>
                <w:rFonts w:ascii="Arial" w:hAnsi="Arial" w:cs="Arial"/>
                <w:color w:val="000000"/>
                <w:sz w:val="16"/>
              </w:rPr>
              <w:t>Employee’s</w:t>
            </w:r>
          </w:p>
          <w:p w14:paraId="0BAA5DD0" w14:textId="1265753B" w:rsidR="00C6705A" w:rsidRPr="00D95DB0" w:rsidRDefault="00C6705A" w:rsidP="00C6705A">
            <w:pPr>
              <w:spacing w:before="20" w:after="20"/>
              <w:ind w:left="-58"/>
              <w:rPr>
                <w:rFonts w:ascii="Arial" w:eastAsiaTheme="minorEastAsia" w:hAnsi="Arial" w:cs="Arial"/>
                <w:color w:val="404040" w:themeColor="text1" w:themeTint="BF"/>
                <w:sz w:val="20"/>
                <w:szCs w:val="20"/>
                <w:lang w:val="en-AU"/>
              </w:rPr>
            </w:pPr>
            <w:r>
              <w:rPr>
                <w:rFonts w:ascii="Arial" w:hAnsi="Arial" w:cs="Arial"/>
                <w:color w:val="000000"/>
                <w:sz w:val="16"/>
              </w:rPr>
              <w:t>Third party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C6705A" w:rsidRPr="003C62DE" w:rsidRDefault="00C6705A" w:rsidP="00C6705A">
            <w:pPr>
              <w:pStyle w:val="Body"/>
              <w:spacing w:before="60" w:after="60" w:line="240" w:lineRule="auto"/>
              <w:ind w:left="113" w:right="113"/>
              <w:jc w:val="center"/>
              <w:rPr>
                <w:color w:val="404040" w:themeColor="text1" w:themeTint="BF"/>
              </w:rPr>
            </w:pPr>
            <w:r w:rsidRPr="003C62DE">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C6705A" w:rsidRPr="003C62DE" w:rsidRDefault="00C6705A" w:rsidP="00C6705A">
            <w:pPr>
              <w:pStyle w:val="Body"/>
              <w:spacing w:before="60" w:after="60" w:line="240" w:lineRule="auto"/>
              <w:ind w:left="113" w:right="113"/>
              <w:jc w:val="center"/>
              <w:rPr>
                <w:color w:val="404040" w:themeColor="text1" w:themeTint="BF"/>
              </w:rPr>
            </w:pPr>
            <w:r w:rsidRPr="003C62DE">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C000"/>
            <w:textDirection w:val="btLr"/>
            <w:vAlign w:val="center"/>
          </w:tcPr>
          <w:p w14:paraId="6E74569C" w14:textId="6BE0B07E" w:rsidR="00C6705A" w:rsidRPr="007C74DF" w:rsidRDefault="003C62DE" w:rsidP="00C6705A">
            <w:pPr>
              <w:pStyle w:val="Heading8"/>
              <w:framePr w:hSpace="0" w:wrap="auto" w:vAnchor="margin" w:hAnchor="text" w:xAlign="left" w:yAlign="inline"/>
            </w:pPr>
            <w:r>
              <w:t>High (c5)</w:t>
            </w:r>
          </w:p>
        </w:tc>
        <w:tc>
          <w:tcPr>
            <w:tcW w:w="2943" w:type="dxa"/>
            <w:gridSpan w:val="3"/>
            <w:tcBorders>
              <w:top w:val="single" w:sz="6" w:space="0" w:color="auto"/>
              <w:left w:val="single" w:sz="6" w:space="0" w:color="auto"/>
              <w:bottom w:val="single" w:sz="6" w:space="0" w:color="auto"/>
              <w:right w:val="single" w:sz="6" w:space="0" w:color="auto"/>
            </w:tcBorders>
          </w:tcPr>
          <w:p w14:paraId="4C37EBDC" w14:textId="1E7BA615" w:rsidR="001D3E21" w:rsidRDefault="001D3E21"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In-Vehicle Monitoring System (IVMS) installed and monitored for compliance in field vehicles</w:t>
            </w:r>
          </w:p>
          <w:p w14:paraId="59CAD294" w14:textId="556CDBC5"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Regular vehicle servicing and maintenance</w:t>
            </w:r>
          </w:p>
          <w:p w14:paraId="54FD6516"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Regular vehicle checks</w:t>
            </w:r>
          </w:p>
          <w:p w14:paraId="181BD75C"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Use alternative public transport where practical</w:t>
            </w:r>
          </w:p>
          <w:p w14:paraId="7F219A24"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Driver 4WD training and current Driver Commentary</w:t>
            </w:r>
          </w:p>
          <w:p w14:paraId="47236059"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Biannual driver commentary</w:t>
            </w:r>
          </w:p>
          <w:p w14:paraId="3334072E"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Company provided information on local traffic conditions / hazards, road works, etc.</w:t>
            </w:r>
          </w:p>
          <w:p w14:paraId="6E04492C"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Personal risk assessment of route prior to departure</w:t>
            </w:r>
          </w:p>
          <w:p w14:paraId="3578188B"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Follow Huracan Journey Management and Driving Policy</w:t>
            </w:r>
          </w:p>
          <w:p w14:paraId="5B525433" w14:textId="77777777" w:rsidR="00C6705A" w:rsidRPr="009C41A8"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Follow Huracan Drug and Alcohol Policy</w:t>
            </w:r>
          </w:p>
          <w:p w14:paraId="6B05E6B7"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Use seat belt</w:t>
            </w:r>
          </w:p>
          <w:p w14:paraId="5C70FB6E"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Airbag and safety features</w:t>
            </w:r>
          </w:p>
          <w:p w14:paraId="756A9C06"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Driving Laws and national speed limits adhered to.</w:t>
            </w:r>
          </w:p>
          <w:p w14:paraId="15F0960E"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Local emergency services</w:t>
            </w:r>
          </w:p>
          <w:p w14:paraId="49B964F0"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lastRenderedPageBreak/>
              <w:t xml:space="preserve">Ensure adequate rest prior to departure </w:t>
            </w:r>
          </w:p>
          <w:p w14:paraId="68621A76"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Ensure to update JM every two hours and or if conditions change</w:t>
            </w:r>
          </w:p>
          <w:p w14:paraId="169E0174"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Engage 4WD off-road</w:t>
            </w:r>
          </w:p>
          <w:p w14:paraId="46AA77C9"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If dust is encountered ensure to keep a safe distance behind dust cloud, never drive through a dust cloud</w:t>
            </w:r>
          </w:p>
          <w:p w14:paraId="14C24026"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Drive to conditions</w:t>
            </w:r>
          </w:p>
          <w:p w14:paraId="143EB409" w14:textId="7B23BB62" w:rsidR="00C6705A" w:rsidRPr="00D95DB0" w:rsidRDefault="00C6705A" w:rsidP="00C6705A">
            <w:pPr>
              <w:pStyle w:val="ListParagraph"/>
              <w:numPr>
                <w:ilvl w:val="0"/>
                <w:numId w:val="43"/>
              </w:numPr>
              <w:autoSpaceDE w:val="0"/>
              <w:autoSpaceDN w:val="0"/>
              <w:adjustRightInd w:val="0"/>
              <w:spacing w:after="0" w:line="240" w:lineRule="auto"/>
              <w:rPr>
                <w:rFonts w:ascii="Arial" w:eastAsiaTheme="minorEastAsia" w:hAnsi="Arial" w:cs="Arial"/>
                <w:color w:val="404040" w:themeColor="text1" w:themeTint="BF"/>
                <w:sz w:val="20"/>
                <w:szCs w:val="20"/>
                <w:lang w:val="en-AU"/>
              </w:rPr>
            </w:pPr>
            <w:r>
              <w:rPr>
                <w:rFonts w:ascii="Arial" w:hAnsi="Arial" w:cs="Arial"/>
                <w:color w:val="000000"/>
                <w:sz w:val="16"/>
              </w:rPr>
              <w:t>Poor driving performance demerit system</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6C70EF59" w:rsidR="00C6705A" w:rsidRPr="003C62DE" w:rsidRDefault="00C6705A" w:rsidP="00C6705A">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sidRPr="003C62DE">
              <w:rPr>
                <w:rFonts w:ascii="Arial" w:eastAsiaTheme="minorEastAsia" w:hAnsi="Arial" w:cs="Arial"/>
                <w:color w:val="404040" w:themeColor="text1" w:themeTint="BF"/>
                <w:sz w:val="16"/>
                <w:szCs w:val="16"/>
                <w:lang w:val="en-AU"/>
              </w:rPr>
              <w:lastRenderedPageBreak/>
              <w:t>Huracan Driver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12FD0B0D" w:rsidR="00C6705A" w:rsidRPr="003C62DE" w:rsidRDefault="00C6705A" w:rsidP="00C6705A">
            <w:pPr>
              <w:pStyle w:val="Body"/>
              <w:spacing w:before="60" w:after="60" w:line="240" w:lineRule="auto"/>
              <w:jc w:val="both"/>
              <w:rPr>
                <w:color w:val="404040" w:themeColor="text1" w:themeTint="BF"/>
                <w:sz w:val="16"/>
                <w:szCs w:val="16"/>
              </w:rPr>
            </w:pPr>
            <w:r w:rsidRPr="003C62DE">
              <w:rPr>
                <w:rFonts w:eastAsiaTheme="minorEastAsia" w:cs="Arial"/>
                <w:color w:val="404040" w:themeColor="text1" w:themeTint="BF"/>
                <w:sz w:val="16"/>
                <w:szCs w:val="16"/>
                <w:lang w:val="en-AU"/>
              </w:rPr>
              <w:t>Huracan Director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269659DD" w:rsidR="00C6705A" w:rsidRPr="00D95DB0" w:rsidRDefault="003C62DE" w:rsidP="003C62DE">
            <w:pPr>
              <w:pStyle w:val="Body"/>
              <w:spacing w:before="60" w:after="60" w:line="240" w:lineRule="auto"/>
              <w:ind w:left="113" w:right="113"/>
              <w:jc w:val="center"/>
              <w:rPr>
                <w:color w:val="404040" w:themeColor="text1" w:themeTint="BF"/>
              </w:rPr>
            </w:pPr>
            <w:r>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62F59357" w:rsidR="00C6705A" w:rsidRPr="00D95DB0" w:rsidRDefault="003C62DE" w:rsidP="00C6705A">
            <w:pPr>
              <w:pStyle w:val="Body"/>
              <w:spacing w:before="60" w:after="60" w:line="240" w:lineRule="auto"/>
              <w:ind w:left="113" w:right="113"/>
              <w:jc w:val="center"/>
              <w:rPr>
                <w:color w:val="404040" w:themeColor="text1" w:themeTint="BF"/>
              </w:rPr>
            </w:pPr>
            <w:r>
              <w:rPr>
                <w:rFonts w:eastAsiaTheme="minorEastAsia" w:cs="Arial"/>
                <w:color w:val="404040" w:themeColor="text1" w:themeTint="BF"/>
                <w:lang w:val="en-AU"/>
              </w:rPr>
              <w:t>Minor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139F1BBA" w:rsidR="00C6705A" w:rsidRPr="007C74DF" w:rsidRDefault="00C6705A" w:rsidP="00C6705A">
            <w:pPr>
              <w:pStyle w:val="Heading8"/>
              <w:framePr w:hSpace="0" w:wrap="auto" w:vAnchor="margin" w:hAnchor="text" w:xAlign="left" w:yAlign="inline"/>
            </w:pPr>
            <w:r w:rsidRPr="007C74DF">
              <w:t xml:space="preserve">Low </w:t>
            </w:r>
            <w:r w:rsidR="003C62DE">
              <w:t>C2</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1118CE69" w:rsidR="009A795C" w:rsidRPr="00D95DB0" w:rsidRDefault="002E3C50"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3D3E2023" w:rsidR="009A795C" w:rsidRPr="002E3C50" w:rsidRDefault="002E3C50" w:rsidP="00D95DB0">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13A0E44B" w:rsidR="009A795C" w:rsidRPr="00D95DB0" w:rsidRDefault="003C62DE" w:rsidP="00D95DB0">
            <w:pPr>
              <w:pStyle w:val="NoSpacing"/>
              <w:spacing w:before="60" w:after="60"/>
              <w:rPr>
                <w:rFonts w:ascii="Arial" w:hAnsi="Arial" w:cs="Arial"/>
                <w:color w:val="404040" w:themeColor="text1" w:themeTint="BF"/>
                <w:sz w:val="20"/>
                <w:szCs w:val="20"/>
              </w:rPr>
            </w:pPr>
            <w:r w:rsidRPr="003C62DE">
              <w:rPr>
                <w:rFonts w:ascii="Arial" w:hAnsi="Arial" w:cs="Arial"/>
                <w:color w:val="404040" w:themeColor="text1" w:themeTint="BF"/>
                <w:sz w:val="20"/>
                <w:szCs w:val="20"/>
              </w:rPr>
              <w:t>4-Mar-20</w:t>
            </w:r>
          </w:p>
        </w:tc>
      </w:tr>
    </w:tbl>
    <w:p w14:paraId="14E774E4" w14:textId="77777777" w:rsidR="000C5109" w:rsidRDefault="000C5109" w:rsidP="00D44727">
      <w:pPr>
        <w:jc w:val="both"/>
        <w:rPr>
          <w:rFonts w:ascii="Arial" w:hAnsi="Arial" w:cs="Arial"/>
          <w:b/>
          <w:color w:val="FF0000"/>
          <w:sz w:val="18"/>
          <w:szCs w:val="18"/>
        </w:rPr>
      </w:pPr>
    </w:p>
    <w:p w14:paraId="0E7C10B2" w14:textId="77777777" w:rsidR="007C74DF" w:rsidRDefault="007C74DF" w:rsidP="00D44727">
      <w:pPr>
        <w:jc w:val="both"/>
        <w:rPr>
          <w:rFonts w:ascii="Arial" w:hAnsi="Arial" w:cs="Arial"/>
          <w:b/>
          <w:color w:val="FF0000"/>
          <w:sz w:val="18"/>
          <w:szCs w:val="18"/>
        </w:rPr>
      </w:pPr>
    </w:p>
    <w:p w14:paraId="4899232D" w14:textId="77777777" w:rsidR="007C74DF" w:rsidRDefault="007C74DF" w:rsidP="00D44727">
      <w:pPr>
        <w:jc w:val="both"/>
        <w:rPr>
          <w:rFonts w:ascii="Arial" w:hAnsi="Arial" w:cs="Arial"/>
          <w:b/>
          <w:color w:val="FF0000"/>
          <w:sz w:val="18"/>
          <w:szCs w:val="18"/>
        </w:rPr>
      </w:pPr>
    </w:p>
    <w:p w14:paraId="72CD35BE" w14:textId="77777777" w:rsidR="003C62DE" w:rsidRDefault="003C62DE">
      <w:pPr>
        <w:spacing w:after="0" w:line="240" w:lineRule="auto"/>
        <w:rPr>
          <w:rFonts w:ascii="Arial" w:hAnsi="Arial" w:cs="Arial"/>
          <w:b/>
          <w:color w:val="FF0000"/>
          <w:sz w:val="18"/>
          <w:szCs w:val="18"/>
        </w:rPr>
      </w:pPr>
      <w:r>
        <w:rPr>
          <w:rFonts w:ascii="Arial" w:hAnsi="Arial" w:cs="Arial"/>
          <w:b/>
          <w:color w:val="FF0000"/>
          <w:sz w:val="18"/>
          <w:szCs w:val="18"/>
        </w:rPr>
        <w:br w:type="page"/>
      </w:r>
    </w:p>
    <w:p w14:paraId="35E75D20" w14:textId="3F09B763"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No breach of regulations / EA. Minimal and short term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0901BF">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CC855" w14:textId="77777777" w:rsidR="008D4B5F" w:rsidRDefault="008D4B5F" w:rsidP="000E736D">
      <w:r>
        <w:separator/>
      </w:r>
    </w:p>
    <w:p w14:paraId="702E574B" w14:textId="77777777" w:rsidR="008D4B5F" w:rsidRDefault="008D4B5F"/>
  </w:endnote>
  <w:endnote w:type="continuationSeparator" w:id="0">
    <w:p w14:paraId="3BF14FA1" w14:textId="77777777" w:rsidR="008D4B5F" w:rsidRDefault="008D4B5F" w:rsidP="000E736D">
      <w:r>
        <w:continuationSeparator/>
      </w:r>
    </w:p>
    <w:p w14:paraId="3388B772" w14:textId="77777777" w:rsidR="008D4B5F" w:rsidRDefault="008D4B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253E810D" w:rsidR="00160CA9" w:rsidRPr="00A670D2" w:rsidRDefault="0069772E" w:rsidP="00762247">
          <w:pPr>
            <w:pStyle w:val="Footer"/>
            <w:framePr w:hSpace="0" w:wrap="auto" w:vAnchor="margin" w:hAnchor="text" w:xAlign="left" w:yAlign="inline"/>
          </w:pPr>
          <w:r>
            <w:t xml:space="preserve">Rev 1.2, </w:t>
          </w:r>
          <w:r w:rsidR="003C62DE">
            <w:t>4-Mar-20</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02084263" w:rsidR="00160CA9" w:rsidRPr="00A670D2" w:rsidRDefault="003C62DE" w:rsidP="00762247">
          <w:pPr>
            <w:pStyle w:val="Footer"/>
            <w:framePr w:hSpace="0" w:wrap="auto" w:vAnchor="margin" w:hAnchor="text" w:xAlign="left" w:yAlign="inline"/>
          </w:pPr>
          <w:r>
            <w:t>4-Mar-22</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fldSimple w:instr=" NUMPAGES  \* Arabic  \* MERGEFORMAT ">
            <w:r w:rsidR="007C74DF">
              <w:rPr>
                <w:noProof/>
              </w:rPr>
              <w:t>6</w:t>
            </w:r>
          </w:fldSimple>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C0435" w14:textId="77777777" w:rsidR="008D4B5F" w:rsidRDefault="008D4B5F" w:rsidP="000E736D">
      <w:r>
        <w:separator/>
      </w:r>
    </w:p>
    <w:p w14:paraId="33CA3534" w14:textId="77777777" w:rsidR="008D4B5F" w:rsidRDefault="008D4B5F"/>
  </w:footnote>
  <w:footnote w:type="continuationSeparator" w:id="0">
    <w:p w14:paraId="7ECE3526" w14:textId="77777777" w:rsidR="008D4B5F" w:rsidRDefault="008D4B5F" w:rsidP="000E736D">
      <w:r>
        <w:continuationSeparator/>
      </w:r>
    </w:p>
    <w:p w14:paraId="47D9DC61" w14:textId="77777777" w:rsidR="008D4B5F" w:rsidRDefault="008D4B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94BDE35" w14:textId="169DDA03" w:rsidR="00160CA9" w:rsidRPr="00E76DCF" w:rsidRDefault="00160CA9" w:rsidP="001229BB">
                          <w:pPr>
                            <w:pStyle w:val="SmallHeader"/>
                            <w:rPr>
                              <w:color w:val="7030A0"/>
                            </w:rPr>
                          </w:pPr>
                          <w:r w:rsidRPr="00E76DCF">
                            <w:rPr>
                              <w:color w:val="7030A0"/>
                            </w:rPr>
                            <w:t>Document Number</w:t>
                          </w:r>
                          <w:r w:rsidRPr="00E76DCF">
                            <w:rPr>
                              <w:color w:val="7030A0"/>
                            </w:rPr>
                            <w:br/>
                          </w:r>
                          <w:r w:rsidR="00C6705A">
                            <w:rPr>
                              <w:color w:val="7030A0"/>
                            </w:rPr>
                            <w:t>HSE</w:t>
                          </w:r>
                          <w:r w:rsidR="00E76DCF">
                            <w:rPr>
                              <w:color w:val="7030A0"/>
                            </w:rPr>
                            <w:t>-LP</w:t>
                          </w:r>
                          <w:r w:rsidRPr="00E76DCF">
                            <w:rPr>
                              <w:color w:val="7030A0"/>
                            </w:rPr>
                            <w:t xml:space="preserve">-JSA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169DDA03" w:rsidR="00160CA9" w:rsidRPr="00E76DCF" w:rsidRDefault="00160CA9" w:rsidP="001229BB">
                    <w:pPr>
                      <w:pStyle w:val="SmallHeader"/>
                      <w:rPr>
                        <w:color w:val="7030A0"/>
                      </w:rPr>
                    </w:pPr>
                    <w:r w:rsidRPr="00E76DCF">
                      <w:rPr>
                        <w:color w:val="7030A0"/>
                      </w:rPr>
                      <w:t>Document Number</w:t>
                    </w:r>
                    <w:r w:rsidRPr="00E76DCF">
                      <w:rPr>
                        <w:color w:val="7030A0"/>
                      </w:rPr>
                      <w:br/>
                    </w:r>
                    <w:r w:rsidR="00C6705A">
                      <w:rPr>
                        <w:color w:val="7030A0"/>
                      </w:rPr>
                      <w:t>HSE</w:t>
                    </w:r>
                    <w:r w:rsidR="00E76DCF">
                      <w:rPr>
                        <w:color w:val="7030A0"/>
                      </w:rPr>
                      <w:t>-LP</w:t>
                    </w:r>
                    <w:r w:rsidRPr="00E76DCF">
                      <w:rPr>
                        <w:color w:val="7030A0"/>
                      </w:rPr>
                      <w:t xml:space="preserve">-JSA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39EF6C2A" w:rsidR="00160CA9" w:rsidRPr="00E76DCF" w:rsidRDefault="00E76DCF" w:rsidP="000F21FB">
    <w:pPr>
      <w:pStyle w:val="Header"/>
      <w:spacing w:line="240" w:lineRule="exact"/>
      <w:rPr>
        <w:b w:val="0"/>
        <w:caps w:val="0"/>
        <w:color w:val="7030A0"/>
      </w:rPr>
    </w:pPr>
    <w:r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00160CA9"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D866DFC"/>
    <w:multiLevelType w:val="hybridMultilevel"/>
    <w:tmpl w:val="1AE2C02A"/>
    <w:lvl w:ilvl="0" w:tplc="54748050">
      <w:numFmt w:val="bullet"/>
      <w:lvlText w:val=""/>
      <w:lvlJc w:val="left"/>
      <w:pPr>
        <w:tabs>
          <w:tab w:val="num" w:pos="360"/>
        </w:tabs>
        <w:ind w:left="360" w:hanging="36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0" w15:restartNumberingAfterBreak="0">
    <w:nsid w:val="30C93AB4"/>
    <w:multiLevelType w:val="hybridMultilevel"/>
    <w:tmpl w:val="91AAC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2"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7"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21"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5"/>
  </w:num>
  <w:num w:numId="2">
    <w:abstractNumId w:val="20"/>
  </w:num>
  <w:num w:numId="3">
    <w:abstractNumId w:val="7"/>
  </w:num>
  <w:num w:numId="4">
    <w:abstractNumId w:val="11"/>
  </w:num>
  <w:num w:numId="5">
    <w:abstractNumId w:val="25"/>
  </w:num>
  <w:num w:numId="6">
    <w:abstractNumId w:val="8"/>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4"/>
  </w:num>
  <w:num w:numId="27">
    <w:abstractNumId w:val="18"/>
  </w:num>
  <w:num w:numId="28">
    <w:abstractNumId w:val="23"/>
  </w:num>
  <w:num w:numId="29">
    <w:abstractNumId w:val="17"/>
  </w:num>
  <w:num w:numId="30">
    <w:abstractNumId w:val="4"/>
  </w:num>
  <w:num w:numId="31">
    <w:abstractNumId w:val="12"/>
  </w:num>
  <w:num w:numId="32">
    <w:abstractNumId w:val="15"/>
  </w:num>
  <w:num w:numId="33">
    <w:abstractNumId w:val="1"/>
  </w:num>
  <w:num w:numId="34">
    <w:abstractNumId w:val="3"/>
  </w:num>
  <w:num w:numId="35">
    <w:abstractNumId w:val="13"/>
  </w:num>
  <w:num w:numId="36">
    <w:abstractNumId w:val="6"/>
  </w:num>
  <w:num w:numId="37">
    <w:abstractNumId w:val="24"/>
  </w:num>
  <w:num w:numId="38">
    <w:abstractNumId w:val="22"/>
  </w:num>
  <w:num w:numId="39">
    <w:abstractNumId w:val="21"/>
  </w:num>
  <w:num w:numId="40">
    <w:abstractNumId w:val="16"/>
  </w:num>
  <w:num w:numId="41">
    <w:abstractNumId w:val="9"/>
  </w:num>
  <w:num w:numId="42">
    <w:abstractNumId w:val="0"/>
  </w:num>
  <w:num w:numId="43">
    <w:abstractNumId w:val="2"/>
  </w:num>
  <w:num w:numId="44">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kwrgUAunJ7DywAAAA="/>
  </w:docVars>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3E21"/>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62DE"/>
    <w:rsid w:val="003C75F7"/>
    <w:rsid w:val="003D771D"/>
    <w:rsid w:val="003E2397"/>
    <w:rsid w:val="003F3286"/>
    <w:rsid w:val="00400BCE"/>
    <w:rsid w:val="004176DC"/>
    <w:rsid w:val="00424608"/>
    <w:rsid w:val="00427636"/>
    <w:rsid w:val="00437A85"/>
    <w:rsid w:val="004454C8"/>
    <w:rsid w:val="00446852"/>
    <w:rsid w:val="00473FF1"/>
    <w:rsid w:val="004A4E9D"/>
    <w:rsid w:val="004A76CF"/>
    <w:rsid w:val="004A7F60"/>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C1DF0"/>
    <w:rsid w:val="008C6EEB"/>
    <w:rsid w:val="008D4B5F"/>
    <w:rsid w:val="008E0F06"/>
    <w:rsid w:val="008E48AA"/>
    <w:rsid w:val="008E727B"/>
    <w:rsid w:val="009173CE"/>
    <w:rsid w:val="0093571D"/>
    <w:rsid w:val="00937694"/>
    <w:rsid w:val="00940350"/>
    <w:rsid w:val="00947A6F"/>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71883"/>
    <w:rsid w:val="00A846E3"/>
    <w:rsid w:val="00A86395"/>
    <w:rsid w:val="00A91B34"/>
    <w:rsid w:val="00AC28CA"/>
    <w:rsid w:val="00AC2BAA"/>
    <w:rsid w:val="00AE6993"/>
    <w:rsid w:val="00AF3223"/>
    <w:rsid w:val="00B20F07"/>
    <w:rsid w:val="00B34A05"/>
    <w:rsid w:val="00B359FB"/>
    <w:rsid w:val="00B36333"/>
    <w:rsid w:val="00B4097D"/>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05A"/>
    <w:rsid w:val="00C678E6"/>
    <w:rsid w:val="00C84AE3"/>
    <w:rsid w:val="00CA2F05"/>
    <w:rsid w:val="00CA4245"/>
    <w:rsid w:val="00CA5139"/>
    <w:rsid w:val="00CA513D"/>
    <w:rsid w:val="00CD1A39"/>
    <w:rsid w:val="00CD370C"/>
    <w:rsid w:val="00CD620A"/>
    <w:rsid w:val="00CD6E9F"/>
    <w:rsid w:val="00CD70D2"/>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76DCF"/>
    <w:rsid w:val="00E940EB"/>
    <w:rsid w:val="00E9799D"/>
    <w:rsid w:val="00EA30B7"/>
    <w:rsid w:val="00EA666A"/>
    <w:rsid w:val="00EC20A5"/>
    <w:rsid w:val="00ED09B0"/>
    <w:rsid w:val="00ED4B41"/>
    <w:rsid w:val="00EE0079"/>
    <w:rsid w:val="00EE3669"/>
    <w:rsid w:val="00EE37DB"/>
    <w:rsid w:val="00EF769B"/>
    <w:rsid w:val="00F1162A"/>
    <w:rsid w:val="00F30E5B"/>
    <w:rsid w:val="00F41E2E"/>
    <w:rsid w:val="00F4234C"/>
    <w:rsid w:val="00F5008B"/>
    <w:rsid w:val="00F66C10"/>
    <w:rsid w:val="00F83E76"/>
    <w:rsid w:val="00F865B2"/>
    <w:rsid w:val="00F9398D"/>
    <w:rsid w:val="00FA50D4"/>
    <w:rsid w:val="00FB1707"/>
    <w:rsid w:val="00FC7054"/>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E5539-0247-4898-BD0F-5D82C28D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Kinetic_WordTemplate_Portrait_Blank1.dotx</Template>
  <TotalTime>0</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3</cp:revision>
  <cp:lastPrinted>2021-05-25T23:44:00Z</cp:lastPrinted>
  <dcterms:created xsi:type="dcterms:W3CDTF">2021-05-25T23:44:00Z</dcterms:created>
  <dcterms:modified xsi:type="dcterms:W3CDTF">2021-05-25T23:44:00Z</dcterms:modified>
</cp:coreProperties>
</file>