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5946B98E" w:rsidR="00D61720" w:rsidRPr="00426869" w:rsidRDefault="006A2EA9" w:rsidP="00F26A3D">
            <w:pPr>
              <w:pStyle w:val="NormalWeb"/>
              <w:jc w:val="left"/>
              <w:rPr>
                <w:rFonts w:ascii="Arial" w:hAnsi="Arial" w:cs="Arial"/>
                <w:b/>
                <w:i/>
                <w:color w:val="404040" w:themeColor="text1" w:themeTint="BF"/>
                <w:sz w:val="22"/>
                <w:szCs w:val="22"/>
              </w:rPr>
            </w:pPr>
            <w:r>
              <w:rPr>
                <w:rFonts w:ascii="Arial" w:hAnsi="Arial" w:cs="Arial"/>
                <w:b/>
                <w:i/>
                <w:color w:val="404040" w:themeColor="text1" w:themeTint="BF"/>
                <w:sz w:val="22"/>
                <w:szCs w:val="22"/>
              </w:rPr>
              <w:t>Pull</w:t>
            </w:r>
            <w:r w:rsidR="004A7BF6" w:rsidRPr="00426869">
              <w:rPr>
                <w:rFonts w:ascii="Arial" w:hAnsi="Arial" w:cs="Arial"/>
                <w:b/>
                <w:i/>
                <w:color w:val="404040" w:themeColor="text1" w:themeTint="BF"/>
                <w:sz w:val="22"/>
                <w:szCs w:val="22"/>
              </w:rPr>
              <w:t xml:space="preserve"> </w:t>
            </w:r>
            <w:r w:rsidR="009D278A" w:rsidRPr="00426869">
              <w:rPr>
                <w:rFonts w:ascii="Arial" w:hAnsi="Arial" w:cs="Arial"/>
                <w:b/>
                <w:i/>
                <w:color w:val="404040" w:themeColor="text1" w:themeTint="BF"/>
                <w:sz w:val="22"/>
                <w:szCs w:val="22"/>
              </w:rPr>
              <w:t xml:space="preserve">Permanent </w:t>
            </w:r>
            <w:r w:rsidR="004A7BF6"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004A7BF6"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5729874E"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w:t>
            </w:r>
            <w:r w:rsidR="00155A92">
              <w:rPr>
                <w:rFonts w:ascii="Arial" w:hAnsi="Arial" w:cs="Arial"/>
                <w:b/>
                <w:i/>
                <w:color w:val="404040" w:themeColor="text1" w:themeTint="BF"/>
                <w:sz w:val="22"/>
                <w:szCs w:val="22"/>
              </w:rPr>
              <w:t>4</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2D43D7C9"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w:t>
            </w:r>
            <w:r w:rsidR="006A2EA9">
              <w:rPr>
                <w:rFonts w:cs="Arial"/>
                <w:color w:val="404040" w:themeColor="text1" w:themeTint="BF"/>
                <w:sz w:val="20"/>
                <w:szCs w:val="20"/>
                <w:lang w:val="en-US"/>
              </w:rPr>
              <w:t>Pull</w:t>
            </w:r>
            <w:r w:rsidR="009D278A" w:rsidRPr="00426869">
              <w:rPr>
                <w:rFonts w:cs="Arial"/>
                <w:color w:val="404040" w:themeColor="text1" w:themeTint="BF"/>
                <w:sz w:val="20"/>
                <w:szCs w:val="20"/>
                <w:lang w:val="en-US"/>
              </w:rPr>
              <w:t xml:space="preserve">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60BE96E7"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0E34BF">
              <w:rPr>
                <w:rFonts w:cs="Arial"/>
                <w:color w:val="404040" w:themeColor="text1" w:themeTint="BF"/>
                <w:sz w:val="20"/>
                <w:lang w:val="en-US"/>
              </w:rPr>
              <w:t>1</w:t>
            </w:r>
            <w:r>
              <w:rPr>
                <w:rFonts w:cs="Arial"/>
                <w:color w:val="404040" w:themeColor="text1" w:themeTint="BF"/>
                <w:sz w:val="20"/>
                <w:lang w:val="en-US"/>
              </w:rPr>
              <w:t xml:space="preserve">, </w:t>
            </w:r>
            <w:r w:rsidR="000E34BF">
              <w:rPr>
                <w:rFonts w:cs="Arial"/>
                <w:color w:val="404040" w:themeColor="text1" w:themeTint="BF"/>
                <w:sz w:val="20"/>
                <w:lang w:val="en-US"/>
              </w:rPr>
              <w:t>2</w:t>
            </w:r>
            <w:r>
              <w:rPr>
                <w:rFonts w:cs="Arial"/>
                <w:color w:val="404040" w:themeColor="text1" w:themeTint="BF"/>
                <w:sz w:val="20"/>
                <w:lang w:val="en-US"/>
              </w:rPr>
              <w:t>-</w:t>
            </w:r>
            <w:r w:rsidR="000E34BF">
              <w:rPr>
                <w:rFonts w:cs="Arial"/>
                <w:color w:val="404040" w:themeColor="text1" w:themeTint="BF"/>
                <w:sz w:val="20"/>
                <w:lang w:val="en-US"/>
              </w:rPr>
              <w:t>Apr</w:t>
            </w:r>
            <w:r w:rsidR="00CB643F">
              <w:rPr>
                <w:rFonts w:cs="Arial"/>
                <w:color w:val="404040" w:themeColor="text1" w:themeTint="BF"/>
                <w:sz w:val="20"/>
                <w:lang w:val="en-US"/>
              </w:rPr>
              <w:t>-</w:t>
            </w:r>
            <w:r w:rsidR="000E34BF">
              <w:rPr>
                <w:rFonts w:cs="Arial"/>
                <w:color w:val="404040" w:themeColor="text1" w:themeTint="BF"/>
                <w:sz w:val="20"/>
                <w:lang w:val="en-US"/>
              </w:rPr>
              <w:t>24</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02266AF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Wellsite crew to abide b</w:t>
            </w:r>
            <w:r w:rsidR="00FA70FB">
              <w:rPr>
                <w:rFonts w:cs="Arial"/>
                <w:color w:val="404040" w:themeColor="text1" w:themeTint="BF"/>
                <w:sz w:val="20"/>
                <w:lang w:val="en-US"/>
              </w:rPr>
              <w:t>y</w:t>
            </w:r>
            <w:r w:rsidRPr="00426869">
              <w:rPr>
                <w:rFonts w:cs="Arial"/>
                <w:color w:val="404040" w:themeColor="text1" w:themeTint="BF"/>
                <w:sz w:val="20"/>
                <w:lang w:val="en-US"/>
              </w:rPr>
              <w:t xml:space="preserve"> SOP at all times</w:t>
            </w:r>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0F35354D"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265D02F2" w:rsidR="004A7BF6" w:rsidRPr="00426869" w:rsidRDefault="006A2EA9" w:rsidP="004A7BF6">
            <w:pPr>
              <w:rPr>
                <w:rFonts w:cs="Arial"/>
                <w:b/>
                <w:color w:val="404040" w:themeColor="text1" w:themeTint="BF"/>
                <w:sz w:val="20"/>
              </w:rPr>
            </w:pPr>
            <w:r>
              <w:rPr>
                <w:rFonts w:cs="Arial"/>
                <w:b/>
                <w:color w:val="404040" w:themeColor="text1" w:themeTint="BF"/>
                <w:sz w:val="20"/>
              </w:rPr>
              <w:lastRenderedPageBreak/>
              <w:t>Pull</w:t>
            </w:r>
            <w:r w:rsidR="004A7BF6" w:rsidRPr="00426869">
              <w:rPr>
                <w:rFonts w:cs="Arial"/>
                <w:b/>
                <w:color w:val="404040" w:themeColor="text1" w:themeTint="BF"/>
                <w:sz w:val="20"/>
              </w:rPr>
              <w:t xml:space="preserve">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6D9A92D6"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w:t>
            </w:r>
            <w:r w:rsidR="006A2EA9">
              <w:rPr>
                <w:rFonts w:cs="Arial"/>
                <w:b/>
                <w:color w:val="404040" w:themeColor="text1" w:themeTint="BF"/>
                <w:sz w:val="20"/>
              </w:rPr>
              <w:t>4</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6B9ACA7B"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Cut cable and Hang Sheave</w:t>
            </w:r>
          </w:p>
          <w:p w14:paraId="0FFEC870" w14:textId="5556F45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Once the tubing hanger is retrieved cut cable below hanger and pull sufficient tubing joints to get the cable back to the spooling unit</w:t>
            </w:r>
          </w:p>
          <w:p w14:paraId="3C5C38FE" w14:textId="1520CF8B"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cable through sheave and hang sheave as per rig specific requirements</w:t>
            </w:r>
          </w:p>
          <w:p w14:paraId="39034CFA" w14:textId="60685FF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the cable back to the spooling unit</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6AB77ECE"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Splice cable onto to spool</w:t>
            </w:r>
          </w:p>
          <w:p w14:paraId="46D0EFE1" w14:textId="221A66A7"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Prepare the cut cable and the spool cable ends for splice</w:t>
            </w:r>
          </w:p>
          <w:p w14:paraId="588F5B49" w14:textId="3A99A824"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electrical/mechanical cable splice</w:t>
            </w:r>
          </w:p>
          <w:p w14:paraId="0EADE37A" w14:textId="268F8391" w:rsidR="003A38A0" w:rsidRPr="00896121" w:rsidRDefault="00FA70FB"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Turn on surface box and ensure gauge is functioning, record reading </w:t>
            </w:r>
          </w:p>
          <w:p w14:paraId="6663078B" w14:textId="79C241F7" w:rsidR="003A38A0" w:rsidRPr="00FA70FB" w:rsidRDefault="00FA70FB" w:rsidP="00FA70FB">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Spool excess cable onto spool</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4E202DAE" w:rsidR="003A38A0" w:rsidRPr="00896121" w:rsidRDefault="006A2EA9" w:rsidP="003A38A0">
            <w:pPr>
              <w:jc w:val="left"/>
              <w:rPr>
                <w:rFonts w:cs="Arial"/>
                <w:b/>
                <w:color w:val="404040" w:themeColor="text1" w:themeTint="BF"/>
                <w:sz w:val="20"/>
              </w:rPr>
            </w:pPr>
            <w:r>
              <w:rPr>
                <w:rFonts w:cs="Arial"/>
                <w:b/>
                <w:color w:val="404040" w:themeColor="text1" w:themeTint="BF"/>
                <w:sz w:val="20"/>
              </w:rPr>
              <w:t>POOH</w:t>
            </w:r>
            <w:r w:rsidR="003A38A0" w:rsidRPr="00896121">
              <w:rPr>
                <w:rFonts w:cs="Arial"/>
                <w:b/>
                <w:color w:val="404040" w:themeColor="text1" w:themeTint="BF"/>
                <w:sz w:val="20"/>
              </w:rPr>
              <w:t xml:space="preserve"> with TEC Cable</w:t>
            </w:r>
          </w:p>
          <w:p w14:paraId="52ECF92A" w14:textId="2BC7DE96"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Ensure that there is sufficient room between the slips so that TEC cable is not damaged while </w:t>
            </w:r>
            <w:r w:rsidR="00FA70FB">
              <w:rPr>
                <w:rFonts w:cs="Arial"/>
                <w:color w:val="404040" w:themeColor="text1" w:themeTint="BF"/>
                <w:sz w:val="20"/>
              </w:rPr>
              <w:t>POOH</w:t>
            </w:r>
          </w:p>
          <w:p w14:paraId="10D63E3E" w14:textId="77777777" w:rsidR="003A38A0"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Ensure no tension on cable when cutting bands from cross coupling protectors </w:t>
            </w:r>
          </w:p>
          <w:p w14:paraId="1FC65E7D" w14:textId="31311FAB" w:rsidR="00FA70FB"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Continue to monitor gauge while POOH. </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6B3F36E1" w:rsidR="003A38A0" w:rsidRPr="004A7BF6" w:rsidRDefault="003A38A0" w:rsidP="003A38A0">
            <w:pPr>
              <w:rPr>
                <w:b/>
                <w:i/>
                <w:sz w:val="20"/>
              </w:rPr>
            </w:pPr>
            <w:r w:rsidRPr="004A7BF6">
              <w:rPr>
                <w:b/>
                <w:i/>
                <w:color w:val="FF0000"/>
                <w:sz w:val="20"/>
              </w:rPr>
              <w:t xml:space="preserve">Whenever preparing to </w:t>
            </w:r>
            <w:r w:rsidR="00FA70FB">
              <w:rPr>
                <w:b/>
                <w:i/>
                <w:color w:val="FF0000"/>
                <w:sz w:val="20"/>
              </w:rPr>
              <w:t>break</w:t>
            </w:r>
            <w:r w:rsidRPr="004A7BF6">
              <w:rPr>
                <w:b/>
                <w:i/>
                <w:color w:val="FF0000"/>
                <w:sz w:val="20"/>
              </w:rPr>
              <w:t xml:space="preserve"> the next connection by closing the slips to hold the production tubing – it is essential that you hold the TEC Cable in a location that it will not be crushed by the slips as this would render the TEC cable inoperable and requiring </w:t>
            </w:r>
            <w:r w:rsidR="00FA70FB">
              <w:rPr>
                <w:b/>
                <w:i/>
                <w:color w:val="FF0000"/>
                <w:sz w:val="20"/>
              </w:rPr>
              <w:t>an additional splice</w:t>
            </w:r>
            <w:r w:rsidRPr="004A7BF6">
              <w:rPr>
                <w:b/>
                <w:i/>
                <w:color w:val="FF0000"/>
                <w:sz w:val="20"/>
              </w:rPr>
              <w:t>.</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2F8D2B84"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w:t>
            </w:r>
          </w:p>
        </w:tc>
        <w:tc>
          <w:tcPr>
            <w:tcW w:w="8788" w:type="dxa"/>
            <w:gridSpan w:val="3"/>
            <w:tcBorders>
              <w:bottom w:val="single" w:sz="4" w:space="0" w:color="auto"/>
            </w:tcBorders>
            <w:shd w:val="clear" w:color="auto" w:fill="auto"/>
            <w:vAlign w:val="center"/>
          </w:tcPr>
          <w:p w14:paraId="519A6579" w14:textId="568C103A"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00FA70FB">
              <w:rPr>
                <w:rFonts w:cs="Arial"/>
                <w:b/>
                <w:noProof/>
                <w:color w:val="404040" w:themeColor="text1" w:themeTint="BF"/>
                <w:sz w:val="20"/>
              </w:rPr>
              <w:t>Remove gauge carrier</w:t>
            </w:r>
            <w:r w:rsidRPr="00252B10">
              <w:rPr>
                <w:rFonts w:cs="Arial"/>
                <w:b/>
                <w:color w:val="404040" w:themeColor="text1" w:themeTint="BF"/>
                <w:sz w:val="20"/>
              </w:rPr>
              <w:fldChar w:fldCharType="end"/>
            </w:r>
          </w:p>
          <w:p w14:paraId="2B33C693" w14:textId="69550517" w:rsidR="003A38A0" w:rsidRPr="00FA70FB"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Once the gauge carrier is at surface, release any tension on the cable</w:t>
            </w:r>
          </w:p>
          <w:p w14:paraId="7DB1443B" w14:textId="5812ADC5" w:rsidR="00FA70FB"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Add tape the the spool to avoid back spooling</w:t>
            </w:r>
          </w:p>
          <w:p w14:paraId="7ECC1F6E" w14:textId="5E95AFFB" w:rsidR="003A38A0"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Remove gauge carrier</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164BEB5" w:rsidR="003A38A0" w:rsidRPr="00252B10" w:rsidRDefault="00FA70FB" w:rsidP="003A38A0">
            <w:pPr>
              <w:jc w:val="center"/>
              <w:rPr>
                <w:rFonts w:cs="Arial"/>
                <w:b/>
                <w:color w:val="404040" w:themeColor="text1" w:themeTint="BF"/>
                <w:sz w:val="20"/>
              </w:rPr>
            </w:pPr>
            <w:r>
              <w:rPr>
                <w:rFonts w:cs="Arial"/>
                <w:b/>
                <w:color w:val="404040" w:themeColor="text1" w:themeTint="BF"/>
                <w:sz w:val="20"/>
              </w:rPr>
              <w:t>9</w:t>
            </w:r>
          </w:p>
        </w:tc>
        <w:tc>
          <w:tcPr>
            <w:tcW w:w="8788" w:type="dxa"/>
            <w:gridSpan w:val="3"/>
            <w:tcBorders>
              <w:bottom w:val="single" w:sz="4" w:space="0" w:color="auto"/>
            </w:tcBorders>
            <w:shd w:val="clear" w:color="auto" w:fill="auto"/>
            <w:vAlign w:val="center"/>
          </w:tcPr>
          <w:p w14:paraId="602D7241" w14:textId="216420E2" w:rsidR="003A38A0" w:rsidRPr="00252B10" w:rsidRDefault="00FA70FB" w:rsidP="003A38A0">
            <w:pPr>
              <w:jc w:val="left"/>
              <w:rPr>
                <w:rFonts w:cs="Arial"/>
                <w:b/>
                <w:color w:val="404040" w:themeColor="text1" w:themeTint="BF"/>
                <w:sz w:val="20"/>
              </w:rPr>
            </w:pPr>
            <w:r>
              <w:rPr>
                <w:rFonts w:cs="Arial"/>
                <w:b/>
                <w:color w:val="404040" w:themeColor="text1" w:themeTint="BF"/>
                <w:sz w:val="20"/>
              </w:rPr>
              <w:t>Inspect all equipment</w:t>
            </w:r>
          </w:p>
          <w:p w14:paraId="2100E147" w14:textId="77777777" w:rsidR="003A38A0"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Inspect gauge for corrosions or damage</w:t>
            </w:r>
          </w:p>
          <w:p w14:paraId="0E085988" w14:textId="311F249C" w:rsidR="00FA70FB"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Check gauge calibration</w:t>
            </w:r>
          </w:p>
          <w:p w14:paraId="76431643"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 xml:space="preserve">Remove old bands from cross coupling protectors and inspect for damage and discard damaged CCP’s. </w:t>
            </w:r>
          </w:p>
          <w:p w14:paraId="64C151C7"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Inspect and redress wellhead outlet</w:t>
            </w:r>
          </w:p>
          <w:p w14:paraId="51A1B1AB" w14:textId="21F17F70"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Remove used fitting from tubing hanger and dsicard</w:t>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lastRenderedPageBreak/>
              <w:t>Prepared By:</w:t>
            </w:r>
          </w:p>
        </w:tc>
        <w:tc>
          <w:tcPr>
            <w:tcW w:w="2268" w:type="dxa"/>
            <w:tcBorders>
              <w:top w:val="single" w:sz="4" w:space="0" w:color="auto"/>
            </w:tcBorders>
            <w:vAlign w:val="center"/>
          </w:tcPr>
          <w:p w14:paraId="41FF3AD5" w14:textId="44DE56B8"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top w:val="single" w:sz="4" w:space="0" w:color="auto"/>
            </w:tcBorders>
            <w:vAlign w:val="center"/>
          </w:tcPr>
          <w:p w14:paraId="7780C41C" w14:textId="4C2CEB83" w:rsidR="00D65E8D" w:rsidRPr="00252B10" w:rsidRDefault="008A1A2B" w:rsidP="001E2828">
            <w:pPr>
              <w:pStyle w:val="CommentText"/>
              <w:spacing w:before="0" w:after="0"/>
              <w:jc w:val="left"/>
              <w:rPr>
                <w:rFonts w:ascii="Arial" w:hAnsi="Arial"/>
                <w:color w:val="404040" w:themeColor="text1" w:themeTint="BF"/>
                <w:sz w:val="20"/>
              </w:rPr>
            </w:pPr>
            <w:r>
              <w:rPr>
                <w:rFonts w:ascii="Arial" w:hAnsi="Arial"/>
                <w:color w:val="404040" w:themeColor="text1" w:themeTint="BF"/>
                <w:sz w:val="20"/>
              </w:rPr>
              <w:t>M. Auld</w:t>
            </w:r>
          </w:p>
        </w:tc>
        <w:tc>
          <w:tcPr>
            <w:tcW w:w="2126" w:type="dxa"/>
            <w:tcBorders>
              <w:top w:val="single" w:sz="4" w:space="0" w:color="auto"/>
            </w:tcBorders>
            <w:vAlign w:val="center"/>
          </w:tcPr>
          <w:p w14:paraId="21F051FF" w14:textId="07D88E42" w:rsidR="00D65E8D" w:rsidRPr="00825F9A" w:rsidRDefault="000E34BF" w:rsidP="00D65E8D">
            <w:pPr>
              <w:rPr>
                <w:rFonts w:ascii="Blackadder ITC" w:hAnsi="Blackadder ITC"/>
                <w:i/>
                <w:color w:val="404040" w:themeColor="text1" w:themeTint="BF"/>
                <w:sz w:val="20"/>
              </w:rPr>
            </w:pPr>
            <w:r>
              <w:rPr>
                <w:rFonts w:ascii="Blackadder ITC" w:hAnsi="Blackadder ITC"/>
                <w:i/>
                <w:color w:val="404040" w:themeColor="text1" w:themeTint="BF"/>
                <w:sz w:val="20"/>
              </w:rPr>
              <w:t>M. Auld</w:t>
            </w:r>
          </w:p>
        </w:tc>
        <w:tc>
          <w:tcPr>
            <w:tcW w:w="1276" w:type="dxa"/>
            <w:tcBorders>
              <w:top w:val="single" w:sz="4" w:space="0" w:color="auto"/>
              <w:right w:val="nil"/>
            </w:tcBorders>
            <w:vAlign w:val="center"/>
          </w:tcPr>
          <w:p w14:paraId="1B8665CD" w14:textId="09073BC9" w:rsidR="00D65E8D" w:rsidRPr="00252B10" w:rsidRDefault="006A2EA9" w:rsidP="00D65E8D">
            <w:pPr>
              <w:rPr>
                <w:color w:val="404040" w:themeColor="text1" w:themeTint="BF"/>
                <w:sz w:val="20"/>
              </w:rPr>
            </w:pPr>
            <w:r>
              <w:rPr>
                <w:color w:val="404040" w:themeColor="text1" w:themeTint="BF"/>
                <w:sz w:val="20"/>
              </w:rPr>
              <w:t>2/</w:t>
            </w:r>
            <w:r w:rsidR="000E34BF">
              <w:rPr>
                <w:color w:val="404040" w:themeColor="text1" w:themeTint="BF"/>
                <w:sz w:val="20"/>
              </w:rPr>
              <w:t>4</w:t>
            </w:r>
            <w:r w:rsidR="00CB643F">
              <w:rPr>
                <w:color w:val="404040" w:themeColor="text1" w:themeTint="BF"/>
                <w:sz w:val="20"/>
              </w:rPr>
              <w:t>/20</w:t>
            </w:r>
            <w:r w:rsidR="000E34BF">
              <w:rPr>
                <w:color w:val="404040" w:themeColor="text1" w:themeTint="BF"/>
                <w:sz w:val="20"/>
              </w:rPr>
              <w:t>24</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3E6F09F8" w:rsidR="00D65E8D" w:rsidRPr="00252B10" w:rsidRDefault="008A1A2B"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K. Rowbotham</w:t>
            </w:r>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Kurt Rowbotham</w:t>
            </w:r>
          </w:p>
        </w:tc>
        <w:tc>
          <w:tcPr>
            <w:tcW w:w="1276" w:type="dxa"/>
            <w:tcBorders>
              <w:bottom w:val="single" w:sz="4" w:space="0" w:color="auto"/>
              <w:right w:val="nil"/>
            </w:tcBorders>
            <w:vAlign w:val="center"/>
          </w:tcPr>
          <w:p w14:paraId="1CAD4F5B" w14:textId="70890A86" w:rsidR="00D65E8D" w:rsidRPr="00252B10" w:rsidRDefault="000E34BF" w:rsidP="00D65E8D">
            <w:pPr>
              <w:rPr>
                <w:color w:val="404040" w:themeColor="text1" w:themeTint="BF"/>
                <w:sz w:val="20"/>
              </w:rPr>
            </w:pPr>
            <w:r>
              <w:rPr>
                <w:color w:val="404040" w:themeColor="text1" w:themeTint="BF"/>
                <w:sz w:val="20"/>
              </w:rPr>
              <w:t>2/4/2024</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5E0603C2" w:rsidR="00D65E8D" w:rsidRPr="00252B10" w:rsidRDefault="000E34BF" w:rsidP="00D65E8D">
            <w:pPr>
              <w:rPr>
                <w:color w:val="404040" w:themeColor="text1" w:themeTint="BF"/>
                <w:sz w:val="20"/>
              </w:rPr>
            </w:pPr>
            <w:r>
              <w:rPr>
                <w:color w:val="404040" w:themeColor="text1" w:themeTint="BF"/>
                <w:sz w:val="20"/>
              </w:rPr>
              <w:t>2/4/2024</w:t>
            </w:r>
          </w:p>
        </w:tc>
      </w:tr>
    </w:tbl>
    <w:p w14:paraId="6EA855EA" w14:textId="77777777" w:rsidR="00D65E8D" w:rsidRPr="009E6E10" w:rsidRDefault="00D65E8D" w:rsidP="00C10D55">
      <w:pPr>
        <w:pStyle w:val="Body"/>
      </w:pPr>
    </w:p>
    <w:sectPr w:rsidR="00D65E8D" w:rsidRPr="009E6E10" w:rsidSect="00DE23DC">
      <w:headerReference w:type="default" r:id="rId13"/>
      <w:footerReference w:type="default" r:id="rId14"/>
      <w:headerReference w:type="first" r:id="rId15"/>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4C0CD" w14:textId="77777777" w:rsidR="00DE23DC" w:rsidRDefault="00DE23DC" w:rsidP="000E736D">
      <w:r>
        <w:separator/>
      </w:r>
    </w:p>
    <w:p w14:paraId="6FD56065" w14:textId="77777777" w:rsidR="00DE23DC" w:rsidRDefault="00DE23DC"/>
  </w:endnote>
  <w:endnote w:type="continuationSeparator" w:id="0">
    <w:p w14:paraId="177D0149" w14:textId="77777777" w:rsidR="00DE23DC" w:rsidRDefault="00DE23DC" w:rsidP="000E736D">
      <w:r>
        <w:continuationSeparator/>
      </w:r>
    </w:p>
    <w:p w14:paraId="31A6FD06" w14:textId="77777777" w:rsidR="00DE23DC" w:rsidRDefault="00DE2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3F05DAE9"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0E34BF">
            <w:rPr>
              <w:rFonts w:cs="Arial"/>
              <w:color w:val="404040" w:themeColor="text1" w:themeTint="BF"/>
              <w:szCs w:val="12"/>
              <w:lang w:val="en-US"/>
            </w:rPr>
            <w:t>1</w:t>
          </w:r>
          <w:r>
            <w:rPr>
              <w:rFonts w:cs="Arial"/>
              <w:color w:val="404040" w:themeColor="text1" w:themeTint="BF"/>
              <w:szCs w:val="12"/>
              <w:lang w:val="en-US"/>
            </w:rPr>
            <w:t>, 2-</w:t>
          </w:r>
          <w:r w:rsidR="000E34BF">
            <w:rPr>
              <w:rFonts w:cs="Arial"/>
              <w:color w:val="404040" w:themeColor="text1" w:themeTint="BF"/>
              <w:szCs w:val="12"/>
              <w:lang w:val="en-US"/>
            </w:rPr>
            <w:t>Apr</w:t>
          </w:r>
          <w:r>
            <w:rPr>
              <w:rFonts w:cs="Arial"/>
              <w:color w:val="404040" w:themeColor="text1" w:themeTint="BF"/>
              <w:szCs w:val="12"/>
              <w:lang w:val="en-US"/>
            </w:rPr>
            <w:t>-</w:t>
          </w:r>
          <w:r w:rsidR="000E34BF">
            <w:rPr>
              <w:rFonts w:cs="Arial"/>
              <w:color w:val="404040" w:themeColor="text1" w:themeTint="BF"/>
              <w:szCs w:val="12"/>
              <w:lang w:val="en-US"/>
            </w:rPr>
            <w:t>24</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F043E70" w:rsidR="004A7BF6" w:rsidRPr="00C10D55" w:rsidRDefault="000E34BF"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w:t>
          </w:r>
          <w:r w:rsidR="0009450E">
            <w:rPr>
              <w:rFonts w:cs="Arial"/>
              <w:color w:val="404040" w:themeColor="text1" w:themeTint="BF"/>
              <w:szCs w:val="12"/>
              <w:lang w:val="en-US"/>
            </w:rPr>
            <w:t>-</w:t>
          </w:r>
          <w:r>
            <w:rPr>
              <w:rFonts w:cs="Arial"/>
              <w:color w:val="404040" w:themeColor="text1" w:themeTint="BF"/>
              <w:szCs w:val="12"/>
              <w:lang w:val="en-US"/>
            </w:rPr>
            <w:t>Apr</w:t>
          </w:r>
          <w:r w:rsidR="0009450E">
            <w:rPr>
              <w:rFonts w:cs="Arial"/>
              <w:color w:val="404040" w:themeColor="text1" w:themeTint="BF"/>
              <w:szCs w:val="12"/>
              <w:lang w:val="en-US"/>
            </w:rPr>
            <w:t>-2</w:t>
          </w:r>
          <w:r>
            <w:rPr>
              <w:rFonts w:cs="Arial"/>
              <w:color w:val="404040" w:themeColor="text1" w:themeTint="BF"/>
              <w:szCs w:val="12"/>
              <w:lang w:val="en-US"/>
            </w:rPr>
            <w:t>6</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D93A4" w14:textId="77777777" w:rsidR="00DE23DC" w:rsidRDefault="00DE23DC" w:rsidP="000E736D">
      <w:r>
        <w:separator/>
      </w:r>
    </w:p>
    <w:p w14:paraId="3E65E8A6" w14:textId="77777777" w:rsidR="00DE23DC" w:rsidRDefault="00DE23DC"/>
  </w:footnote>
  <w:footnote w:type="continuationSeparator" w:id="0">
    <w:p w14:paraId="62B4025D" w14:textId="77777777" w:rsidR="00DE23DC" w:rsidRDefault="00DE23DC" w:rsidP="000E736D">
      <w:r>
        <w:continuationSeparator/>
      </w:r>
    </w:p>
    <w:p w14:paraId="2ECB9070" w14:textId="77777777" w:rsidR="00DE23DC" w:rsidRDefault="00DE23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16cid:durableId="1522891268">
    <w:abstractNumId w:val="5"/>
  </w:num>
  <w:num w:numId="2" w16cid:durableId="2088726627">
    <w:abstractNumId w:val="14"/>
  </w:num>
  <w:num w:numId="3" w16cid:durableId="823621487">
    <w:abstractNumId w:val="7"/>
  </w:num>
  <w:num w:numId="4" w16cid:durableId="697238768">
    <w:abstractNumId w:val="9"/>
  </w:num>
  <w:num w:numId="5" w16cid:durableId="487671952">
    <w:abstractNumId w:val="20"/>
  </w:num>
  <w:num w:numId="6" w16cid:durableId="782842310">
    <w:abstractNumId w:val="8"/>
  </w:num>
  <w:num w:numId="7" w16cid:durableId="919020223">
    <w:abstractNumId w:val="11"/>
  </w:num>
  <w:num w:numId="8" w16cid:durableId="1012876482">
    <w:abstractNumId w:val="4"/>
  </w:num>
  <w:num w:numId="9" w16cid:durableId="1869367920">
    <w:abstractNumId w:val="10"/>
  </w:num>
  <w:num w:numId="10" w16cid:durableId="144511862">
    <w:abstractNumId w:val="19"/>
  </w:num>
  <w:num w:numId="11" w16cid:durableId="1015497704">
    <w:abstractNumId w:val="18"/>
  </w:num>
  <w:num w:numId="12" w16cid:durableId="1098451011">
    <w:abstractNumId w:val="12"/>
  </w:num>
  <w:num w:numId="13" w16cid:durableId="595021023">
    <w:abstractNumId w:val="15"/>
  </w:num>
  <w:num w:numId="14" w16cid:durableId="1392267928">
    <w:abstractNumId w:val="17"/>
  </w:num>
  <w:num w:numId="15" w16cid:durableId="1066101057">
    <w:abstractNumId w:val="1"/>
  </w:num>
  <w:num w:numId="16" w16cid:durableId="1591162271">
    <w:abstractNumId w:val="3"/>
  </w:num>
  <w:num w:numId="17" w16cid:durableId="1438986068">
    <w:abstractNumId w:val="6"/>
  </w:num>
  <w:num w:numId="18" w16cid:durableId="1074663396">
    <w:abstractNumId w:val="0"/>
  </w:num>
  <w:num w:numId="19" w16cid:durableId="1248493362">
    <w:abstractNumId w:val="16"/>
  </w:num>
  <w:num w:numId="20" w16cid:durableId="757020106">
    <w:abstractNumId w:val="13"/>
  </w:num>
  <w:num w:numId="21" w16cid:durableId="1364280739">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qQUA6kmV1y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34BF"/>
    <w:rsid w:val="000E736D"/>
    <w:rsid w:val="000F21FB"/>
    <w:rsid w:val="000F6BF2"/>
    <w:rsid w:val="00113FB9"/>
    <w:rsid w:val="001249FF"/>
    <w:rsid w:val="00126E6C"/>
    <w:rsid w:val="0013625D"/>
    <w:rsid w:val="001521A1"/>
    <w:rsid w:val="00155A92"/>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2D034F"/>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A2EA9"/>
    <w:rsid w:val="006B0A50"/>
    <w:rsid w:val="006B3862"/>
    <w:rsid w:val="00717777"/>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153A"/>
    <w:rsid w:val="008633C3"/>
    <w:rsid w:val="00870912"/>
    <w:rsid w:val="008842D7"/>
    <w:rsid w:val="00896121"/>
    <w:rsid w:val="008A1A2B"/>
    <w:rsid w:val="008A49EE"/>
    <w:rsid w:val="008C0F66"/>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946DF"/>
    <w:rsid w:val="00AB411D"/>
    <w:rsid w:val="00AB565F"/>
    <w:rsid w:val="00AB7018"/>
    <w:rsid w:val="00AC28CA"/>
    <w:rsid w:val="00AC57B1"/>
    <w:rsid w:val="00AC6169"/>
    <w:rsid w:val="00B2483D"/>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E23DC"/>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A70FB"/>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7713-CFEE-4B3B-BD27-6448FF5D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4</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7</cp:revision>
  <cp:lastPrinted>2024-04-02T02:24:00Z</cp:lastPrinted>
  <dcterms:created xsi:type="dcterms:W3CDTF">2024-04-02T02:12:00Z</dcterms:created>
  <dcterms:modified xsi:type="dcterms:W3CDTF">2024-04-02T02:24:00Z</dcterms:modified>
</cp:coreProperties>
</file>