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141D27"/>
          <w:sz w:val="46"/>
        </w:rPr>
        <w:t>Karna Production Accuracy, Security, and Regression Audit</w:t>
      </w:r>
    </w:p>
    <w:p>
      <w:pPr>
        <w:spacing w:after="320"/>
      </w:pPr>
      <w:r>
        <w:rPr>
          <w:rFonts w:ascii="Calibri" w:hAnsi="Calibri"/>
          <w:color w:val="596475"/>
          <w:sz w:val="24"/>
        </w:rPr>
        <w:t>Versioned v1 evaluation corpus | 28 July 2026</w:t>
      </w:r>
    </w:p>
    <w:p>
      <w:pPr>
        <w:spacing w:after="40"/>
      </w:pPr>
      <w:r>
        <w:rPr>
          <w:rFonts w:ascii="Calibri" w:hAnsi="Calibri"/>
          <w:b/>
          <w:color w:val="141D27"/>
          <w:sz w:val="22"/>
        </w:rPr>
        <w:t xml:space="preserve">Scope: </w:t>
      </w:r>
      <w:r>
        <w:rPr>
          <w:rFonts w:ascii="Calibri" w:hAnsi="Calibri"/>
          <w:color w:val="141D27"/>
          <w:sz w:val="22"/>
        </w:rPr>
        <w:t>Baseline text, URL, image-validation, dashboard, deployment, and failure-path review</w:t>
      </w:r>
    </w:p>
    <w:p>
      <w:pPr>
        <w:spacing w:after="40"/>
      </w:pPr>
      <w:r>
        <w:rPr>
          <w:rFonts w:ascii="Calibri" w:hAnsi="Calibri"/>
          <w:b/>
          <w:color w:val="141D27"/>
          <w:sz w:val="22"/>
        </w:rPr>
        <w:t xml:space="preserve">Dataset: </w:t>
      </w:r>
      <w:r>
        <w:rPr>
          <w:rFonts w:ascii="Calibri" w:hAnsi="Calibri"/>
          <w:color w:val="141D27"/>
          <w:sz w:val="22"/>
        </w:rPr>
        <w:t>30 evaluated text/URL samples plus 4 image validation or capability records</w:t>
      </w:r>
    </w:p>
    <w:p>
      <w:pPr>
        <w:spacing w:after="40"/>
      </w:pPr>
      <w:r>
        <w:rPr>
          <w:rFonts w:ascii="Calibri" w:hAnsi="Calibri"/>
          <w:b/>
          <w:color w:val="141D27"/>
          <w:sz w:val="22"/>
        </w:rPr>
        <w:t xml:space="preserve">Result: </w:t>
      </w:r>
      <w:r>
        <w:rPr>
          <w:rFonts w:ascii="Calibri" w:hAnsi="Calibri"/>
          <w:color w:val="141D27"/>
          <w:sz w:val="22"/>
        </w:rPr>
        <w:t>25 automated Python tests passed; Android tests were not run because this machine has no Java, Gradle, or Gradle wrapper</w:t>
      </w:r>
    </w:p>
    <w:p>
      <w:pPr>
        <w:spacing w:after="40"/>
      </w:pPr>
      <w:r>
        <w:rPr>
          <w:rFonts w:ascii="Calibri" w:hAnsi="Calibri"/>
          <w:b/>
          <w:color w:val="141D27"/>
          <w:sz w:val="22"/>
        </w:rPr>
        <w:t xml:space="preserve">Deployment: </w:t>
      </w:r>
      <w:r>
        <w:rPr>
          <w:rFonts w:ascii="Calibri" w:hAnsi="Calibri"/>
          <w:color w:val="141D27"/>
          <w:sz w:val="22"/>
        </w:rPr>
        <w:t>https://data-protactor.vercel.app</w:t>
      </w:r>
    </w:p>
    <w:p>
      <w:pPr>
        <w:pStyle w:val="Heading1"/>
        <w:keepNext/>
      </w:pPr>
      <w:r>
        <w:t>Executive conclusion</w:t>
      </w:r>
    </w:p>
    <w:p>
      <w:pPr/>
      <w:r>
        <w:rPr>
          <w:rFonts w:ascii="Calibri" w:hAnsi="Calibri"/>
          <w:color w:val="141D27"/>
          <w:sz w:val="22"/>
        </w:rPr>
        <w:t>Karna passed 25 automated Python tests after this audit. The v1 corpus produced 20 exact category matches out of 30 evaluated text/URL samples. This is a diagnostic result from a small synthetic corpus, not a public real-world accuracy claim.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Decision: </w:t>
            </w:r>
            <w:r>
              <w:rPr>
                <w:rFonts w:ascii="Calibri" w:hAnsi="Calibri"/>
                <w:color w:val="141D27"/>
                <w:sz w:val="22"/>
              </w:rPr>
              <w:t>Keep Karna publicly described as an explainable, advisory threat-analysis API. Do not publish a numeric overall accuracy score from this corpus.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Method and scope</w:t>
      </w:r>
    </w:p>
    <w:p>
      <w:pPr/>
      <w:r>
        <w:rPr>
          <w:rFonts w:ascii="Calibri" w:hAnsi="Calibri"/>
          <w:color w:val="141D27"/>
          <w:sz w:val="22"/>
        </w:rPr>
        <w:t>Each corpus record has an ID, modality, expected category or behavior, and a non-sensitive sample. One-vs-rest metrics were calculated for each text/URL category. Image semantic scoring is not evaluated without a separately authorized OpenAI vision configuration.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Safe look-alikes include benign urgency and a legitimate OTP-style message to expose false positives.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Threat cases include phishing, social engineering, impersonation, prize/payment scams, suspicious URLs, and download links.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The corpus includes obfuscated English, Spanish phishing, and Hindi social-engineering examples to expose language coverage limits.</w:t>
      </w:r>
    </w:p>
    <w:p>
      <w:pPr>
        <w:pStyle w:val="Heading1"/>
        <w:keepNext/>
      </w:pPr>
      <w:r>
        <w:t>Test execution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Check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Outcome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Evidence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Python API and regression suite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25 passed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Versioned v1 corpus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COMPLETE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30 evaluated text/URL samples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Image validation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Unsupported type, size, and fallback coverage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External failure paths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Simulated OpenAI and VirusTotal failures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Live deployment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PASS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Health and URL-category regression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Android unit suite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NOT RUN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No local Java, Gradle, or wrapper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Category metrics</w:t>
      </w:r>
    </w:p>
    <w:p>
      <w:pPr/>
      <w:r>
        <w:rPr>
          <w:rFonts w:ascii="Calibri" w:hAnsi="Calibri"/>
          <w:color w:val="141D27"/>
          <w:sz w:val="22"/>
        </w:rPr>
        <w:t>Metrics below are regression measurements for the v1 synthetic corpus only. They are not generalizable malware- or scam-detection accuracy figures.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Category</w:t>
            </w:r>
          </w:p>
        </w:tc>
        <w:tc>
          <w:tcPr>
            <w:tcW w:type="dxa" w:w="60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TP</w:t>
            </w:r>
          </w:p>
        </w:tc>
        <w:tc>
          <w:tcPr>
            <w:tcW w:type="dxa" w:w="60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FP</w:t>
            </w:r>
          </w:p>
        </w:tc>
        <w:tc>
          <w:tcPr>
            <w:tcW w:type="dxa" w:w="60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TN</w:t>
            </w:r>
          </w:p>
        </w:tc>
        <w:tc>
          <w:tcPr>
            <w:tcW w:type="dxa" w:w="60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FN</w:t>
            </w:r>
          </w:p>
        </w:tc>
        <w:tc>
          <w:tcPr>
            <w:tcW w:type="dxa" w:w="1123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Precision</w:t>
            </w:r>
          </w:p>
        </w:tc>
        <w:tc>
          <w:tcPr>
            <w:tcW w:type="dxa" w:w="921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Recall</w:t>
            </w:r>
          </w:p>
        </w:tc>
        <w:tc>
          <w:tcPr>
            <w:tcW w:type="dxa" w:w="72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F1</w:t>
            </w:r>
          </w:p>
        </w:tc>
        <w:tc>
          <w:tcPr>
            <w:tcW w:type="dxa" w:w="72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FPR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safe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3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6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19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0.333</w:t>
            </w:r>
          </w:p>
        </w:tc>
        <w:tc>
          <w:tcPr>
            <w:tcW w:type="dxa" w:w="92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0.600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0.429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0.240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phishing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5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20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0.833</w:t>
            </w:r>
          </w:p>
        </w:tc>
        <w:tc>
          <w:tcPr>
            <w:tcW w:type="dxa" w:w="92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0.556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0.667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0.048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social engineering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3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3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22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0.500</w:t>
            </w:r>
          </w:p>
        </w:tc>
        <w:tc>
          <w:tcPr>
            <w:tcW w:type="dxa" w:w="92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0.600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0.545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0.120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impersonation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27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92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0.667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0.800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0.000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scam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27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92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0.667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0.800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0.000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suspicious URL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28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92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0.000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malware download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3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27</w:t>
            </w:r>
          </w:p>
        </w:tc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92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1.000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D27"/>
                <w:sz w:val="18"/>
              </w:rPr>
              <w:t>0.000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Known limitations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Benign urgency and legitimate OTP-style messages can receive cautionary classifications.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Obfuscated phishing, less explicit scams, and non-English examples are currently missed or classified too broadly.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The baseline never opens, downloads, crawls, or executes URLs; therefore it cannot claim a complete malware scan.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Image semantics are not measured without an authorized OpenAI vision key and a separately labeled image corpus.</w:t>
      </w:r>
    </w:p>
    <w:p>
      <w:pPr>
        <w:pStyle w:val="Heading1"/>
        <w:keepNext/>
      </w:pPr>
      <w:r>
        <w:t>Audit findings and fixes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Fixed: </w:t>
            </w:r>
            <w:r>
              <w:rPr>
                <w:rFonts w:ascii="Calibri" w:hAnsi="Calibri"/>
                <w:color w:val="141D27"/>
                <w:sz w:val="22"/>
              </w:rPr>
              <w:t>Deceptive media-link evidence now returns suspicious_url instead of social_engineering.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Fixed: </w:t>
            </w:r>
            <w:r>
              <w:rPr>
                <w:rFonts w:ascii="Calibri" w:hAnsi="Calibri"/>
                <w:color w:val="141D27"/>
                <w:sz w:val="22"/>
              </w:rPr>
              <w:t>Prize, lottery, and processing-fee cues now activate the scam category; a regression test protects the behavior.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141D27"/>
          <w:sz w:val="22"/>
        </w:rPr>
        <w:t>The unresolved false positives and false negatives remain in the corpus. They should drive future multilingual and semantic-analysis work rather than being removed from the audit.</w:t>
      </w:r>
    </w:p>
    <w:p>
      <w:r>
        <w:br w:type="page"/>
      </w:r>
    </w:p>
    <w:p>
      <w:pPr>
        <w:pStyle w:val="Heading1"/>
        <w:keepNext/>
      </w:pPr>
      <w:r>
        <w:t>Security and resilience checks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Submitted URLs are structurally analyzed only; the baseline does not visit, download, crawl, or execute them.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A simulated VirusTotal failure returns no external evidence and preserves the local result.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A simulated OpenAI vision failure returns a structured caution response without leaking the provider error.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Unsupported image types and images larger than 5 MB are rejected, and uploads are not persistently stored.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The public configuration endpoint exposes only the Android download URL and never API keys.</w:t>
      </w:r>
    </w:p>
    <w:p>
      <w:pPr>
        <w:pStyle w:val="Heading1"/>
        <w:keepNext/>
      </w:pPr>
      <w:r>
        <w:t>Live test evidence</w:t>
      </w:r>
    </w:p>
    <w:p>
      <w:pPr/>
      <w:r>
        <w:rPr>
          <w:rFonts w:ascii="Calibri" w:hAnsi="Calibri"/>
          <w:color w:val="141D27"/>
          <w:sz w:val="22"/>
        </w:rPr>
        <w:t>The following screenshots show live dashboard checks. The phishing case returned critical/phishing/quarantine. The executable URL case returned high/malware download/block.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Live phishing result</w:t>
      </w:r>
    </w:p>
    <w:p>
      <w:r>
        <w:drawing>
          <wp:inline xmlns:a="http://schemas.openxmlformats.org/drawingml/2006/main" xmlns:pic="http://schemas.openxmlformats.org/drawingml/2006/picture">
            <wp:extent cx="5669280" cy="6624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shing-dashboard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2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Live executable-download URL result</w:t>
      </w:r>
    </w:p>
    <w:p>
      <w:r>
        <w:drawing>
          <wp:inline xmlns:a="http://schemas.openxmlformats.org/drawingml/2006/main" xmlns:pic="http://schemas.openxmlformats.org/drawingml/2006/picture">
            <wp:extent cx="5669280" cy="5906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ware-url-dashboard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0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Reproducibility and next steps</w:t>
      </w:r>
    </w:p>
    <w:p>
      <w:pPr/>
      <w:r>
        <w:rPr>
          <w:rFonts w:ascii="Calibri" w:hAnsi="Calibri"/>
          <w:color w:val="141D27"/>
          <w:sz w:val="22"/>
        </w:rPr>
        <w:t>Run the versioned evaluation with: PYTHONPATH=src, then python scripts/run_baseline_evaluation.py and python -m pytest -q. The machine-readable output is docs/evidence/evaluation_metrics_v1.json.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Build a larger consented or lawfully sourced corpus with independent labels.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Use development and holdout splits; record label-review process and sample provenance.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Add multilingual, adversarial, and score-calibration evaluation before publishing any production metric.</w:t>
      </w:r>
    </w:p>
    <w:p>
      <w:pPr>
        <w:pStyle w:val="ListBullet"/>
        <w:spacing w:after="80"/>
      </w:pPr>
      <w:r>
        <w:rPr>
          <w:rFonts w:ascii="Calibri" w:hAnsi="Calibri"/>
          <w:color w:val="141D27"/>
          <w:sz w:val="22"/>
        </w:rPr>
        <w:t>Run Android unit tests on a configured Android Studio or CI runner before an Android release.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96475"/>
        <w:sz w:val="16"/>
      </w:rPr>
      <w:t xml:space="preserve">Karna Accuracy Evaluation Report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475"/>
        <w:sz w:val="16"/>
      </w:rPr>
      <w:t>KARNA | PRODUCTION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