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Literature Review</w:t>
      </w:r>
    </w:p>
    <w:p>
      <w:pPr/>
      <w:r>
        <w:t xml:space="preserve">AI Interview Preparation Agent | DEPI Project | Version 1.0 | October 2026</w:t>
      </w:r>
    </w:p>
    <w:p>
      <w:pPr>
        <w:pStyle w:val="Heading2"/>
      </w:pPr>
      <w:r>
        <w:t xml:space="preserve">1. Introduction</w:t>
      </w:r>
    </w:p>
    <w:p>
      <w:pPr/>
      <w:r>
        <w:t xml:space="preserve">Preparing for a technical job interview is difficult because candidates rarely get realistic, personalized practice with immediate feedback. Static question banks do not adapt to a candidate's level or to the requirements of a specific job. Recent progress in large language models (LLMs) makes it possible to build systems that read a job posting, understand a candidate's background, ask questions conversationally, and evaluate answers. This review surveys the research and technologies that support the AI Interview Preparation Agent and identifies the gap that the project addresses.</w:t>
      </w:r>
    </w:p>
    <w:p>
      <w:pPr/>
      <w:r>
        <w:t xml:space="preserve">The review covers six areas: (1) large language models and LLM-based agents, (2) tool use and orchestration, (3) retrieval-augmented generation, (4) memory in agents, (5) automatic evaluation of free-text answers, and (6) adaptive assessment and speech technologies. It then reviews existing interview-preparation tools and summarizes the research gap.</w:t>
      </w:r>
    </w:p>
    <w:p>
      <w:pPr>
        <w:pStyle w:val="Heading2"/>
      </w:pPr>
      <w:r>
        <w:t xml:space="preserve">2. Large Language Models and LLM-Based Agents</w:t>
      </w:r>
    </w:p>
    <w:p>
      <w:pPr/>
      <w:r>
        <w:t xml:space="preserve">Transformer-based language models trained at scale show strong few-shot ability on many tasks without task-specific training (Brown et al., 2020). Prompting techniques such as chain-of-thought, where the model produces intermediate reasoning steps, improve performance on multi-step problems (Wei et al., 2022). These abilities allow an LLM to act as the reasoning core of an agent.</w:t>
      </w:r>
    </w:p>
    <w:p>
      <w:pPr/>
      <w:r>
        <w:t xml:space="preserve">Surveys of LLM-based autonomous agents describe a common structure made of a profile, a memory module, a planning module and an action module (Wang et al., 2024; Xi et al., 2023). The agent perceives its environment, plans, uses tools and updates its memory. Multi-agent designs split a complex task among specialized agents that cooperate, which improves modularity and makes each agent easier to prompt and test. This is the design followed in the proposed system, where specialized agents such as the Job Analyzer, Interview Planner and Answer Evaluator are coordinated by a central Orchestrator.</w:t>
      </w:r>
    </w:p>
    <w:p>
      <w:pPr>
        <w:pStyle w:val="Heading2"/>
      </w:pPr>
      <w:r>
        <w:t xml:space="preserve">3. Reasoning, Tool Use and Orchestration</w:t>
      </w:r>
    </w:p>
    <w:p>
      <w:pPr/>
      <w:r>
        <w:t xml:space="preserve">ReAct combines reasoning and acting by letting the model interleave thoughts with actions such as search calls, and shows that grounding reasoning in external information reduces hallucination (Yao et al., 2023). Toolformer shows that language models can learn when and how to call external APIs such as search engines and calculators (Schick et al., 2023). Reflexion lets an agent reflect on feedback from earlier attempts and store this reflection to improve later behavior (Shinn et al., 2023).</w:t>
      </w:r>
    </w:p>
    <w:p>
      <w:pPr/>
      <w:r>
        <w:t xml:space="preserve">In practice, these ideas are implemented using function calling and structured outputs, and agent frameworks such as LangGraph, LangChain and CrewAI that represent workflows as graphs or roles with explicit state. Graph-based orchestration is a good fit for an interview, because the flow includes loops and decisions: ask a question, evaluate, then decide whether to make the next question harder, easier or a follow-up. The project therefore uses an orchestrated, state-based workflow instead of a single prompt.</w:t>
      </w:r>
    </w:p>
    <w:p>
      <w:pPr>
        <w:pStyle w:val="Heading2"/>
      </w:pPr>
      <w:r>
        <w:t xml:space="preserve">4. Retrieval-Augmented Generation</w:t>
      </w:r>
    </w:p>
    <w:p>
      <w:pPr/>
      <w:r>
        <w:t xml:space="preserve">Retrieval-augmented generation (RAG) combines a generator with a retriever that fetches relevant documents from an external knowledge base at inference time (Lewis et al., 2020). Compared with relying on the model's internal knowledge alone, RAG gives answers that can be grounded in specific, updatable sources and reduces unsupported statements. In the proposed system, a vector database holds interview questions, technical concepts, behavioral examples and study material. The Answer Evaluator retrieves the relevant concepts for a question and checks whether the candidate's answer covers them, which makes grading more consistent and explainable.</w:t>
      </w:r>
    </w:p>
    <w:p>
      <w:pPr>
        <w:pStyle w:val="Heading2"/>
      </w:pPr>
      <w:r>
        <w:t xml:space="preserve">5. Memory in LLM Agents</w:t>
      </w:r>
    </w:p>
    <w:p>
      <w:pPr/>
      <w:r>
        <w:t xml:space="preserve">LLMs have limited context windows and do not keep information between sessions. Generative Agents showed that storing experiences in a memory stream, retrieving them by relevance and recency, and reflecting on them produces more coherent long-term behavior (Park et al., 2023). MemGPT proposes managing different memory tiers so that an LLM can work beyond its context limit (Packer et al., 2023). For interview preparation this idea maps to two levels: short-term memory for the current interview state, and long-term memory that stores previous scores, weak skills and repeated mistakes so that later interviews can focus on them.</w:t>
      </w:r>
    </w:p>
    <w:p>
      <w:pPr>
        <w:pStyle w:val="Heading2"/>
      </w:pPr>
      <w:r>
        <w:t xml:space="preserve">6. Automatic Evaluation of Answers</w:t>
      </w:r>
    </w:p>
    <w:p>
      <w:pPr/>
      <w:r>
        <w:t xml:space="preserve">Evaluating open-ended interview answers is difficult because there is no single correct string. Using a strong LLM as a judge has been shown to reach agreement with human preferences at a level comparable to agreement between humans, although the approach has known biases such as position and verbosity bias (Zheng et al., 2023). Good practice includes clear rubrics, multi-dimensional scoring, structured outputs and grounding in reference material. The proposed evaluator therefore scores each answer on several dimensions (technical accuracy, completeness, relevance, communication, problem solving), uses retrieved reference concepts, and returns what was done well, what was missing and a stronger sample answer. For behavioral questions, answers are checked against the STAR structure (Situation, Task, Action, Result), a widely used format for behavioral interviews.</w:t>
      </w:r>
    </w:p>
    <w:p>
      <w:pPr>
        <w:pStyle w:val="Heading2"/>
      </w:pPr>
      <w:r>
        <w:t xml:space="preserve">7. Adaptive Assessment</w:t>
      </w:r>
    </w:p>
    <w:p>
      <w:pPr/>
      <w:r>
        <w:t xml:space="preserve">Adaptive testing selects the next item according to the examinee's previous responses so that the test measures ability more efficiently. In psychometrics this is typically based on item response theory, where item difficulty and examinee ability are modeled together (Embretson and Reise, 2000). The same principle applies to interviews: a strong answer leads to a harder question and a weak answer leads to a simpler one, which keeps the candidate in a productive difficulty range. Unlike classical computerized adaptive tests that use calibrated item banks, the proposed system uses an LLM-based evaluator and a rule-based decision engine to adjust difficulty and topic per skill.</w:t>
      </w:r>
    </w:p>
    <w:p>
      <w:pPr>
        <w:pStyle w:val="Heading2"/>
      </w:pPr>
      <w:r>
        <w:t xml:space="preserve">8. Speech Technologies</w:t>
      </w:r>
    </w:p>
    <w:p>
      <w:pPr/>
      <w:r>
        <w:t xml:space="preserve">A voice interview requires accurate speech recognition and natural speech synthesis. Whisper, trained on a large amount of weakly supervised multilingual audio, shows robust speech recognition across accents, noise and technical vocabulary without fine-tuning (Radford et al., 2023). Combined with text-to-speech, this allows a spoken interview loop. Transcripts with timing information also allow delivery metrics such as filler words, pauses, answer length and repetition, which are useful for communication feedback.</w:t>
      </w:r>
    </w:p>
    <w:p>
      <w:pPr>
        <w:pStyle w:val="Heading2"/>
      </w:pPr>
      <w:r>
        <w:t xml:space="preserve">9. Existing Interview Preparation Tools</w:t>
      </w:r>
    </w:p>
    <w:p>
      <w:pPr/>
      <w:r>
        <w:t xml:space="preserve">Existing solutions can be grouped into three categories. The comparison below is a general characterization of the categories and not a detailed evaluation of specific products.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Category</w:t>
            </w:r>
          </w:p>
        </w:tc>
        <w:tc>
          <w:tcPr>
            <w:tcW w:w="3120" w:type="dxa"/>
            <w:shd w:val="clear" w:color="auto" w:fill="F2F2F2"/>
          </w:tcPr>
          <w:p>
            <w:pPr/>
            <w:r>
              <w:t xml:space="preserve">Typical Features</w:t>
            </w:r>
          </w:p>
        </w:tc>
        <w:tc>
          <w:tcPr>
            <w:tcW w:w="3120" w:type="dxa"/>
            <w:shd w:val="clear" w:color="auto" w:fill="F2F2F2"/>
          </w:tcPr>
          <w:p>
            <w:pPr/>
            <w:r>
              <w:t xml:space="preserve">Limitations Relevant to This Project</w:t>
            </w:r>
          </w:p>
        </w:tc>
      </w:tr>
      <w:tr>
        <w:tc>
          <w:tcPr>
            <w:tcW w:w="3120" w:type="dxa"/>
          </w:tcPr>
          <w:p>
            <w:pPr/>
            <w:r>
              <w:t xml:space="preserve">Question banks and coding practice platforms</w:t>
            </w:r>
          </w:p>
        </w:tc>
        <w:tc>
          <w:tcPr>
            <w:tcW w:w="3120" w:type="dxa"/>
          </w:tcPr>
          <w:p>
            <w:pPr/>
            <w:r>
              <w:t xml:space="preserve">Large sets of questions, practice problems, solutions</w:t>
            </w:r>
          </w:p>
        </w:tc>
        <w:tc>
          <w:tcPr>
            <w:tcW w:w="3120" w:type="dxa"/>
          </w:tcPr>
          <w:p>
            <w:pPr/>
            <w:r>
              <w:t xml:space="preserve">Static content, no personalization to a specific job posting, limited feedback on explanations</w:t>
            </w:r>
          </w:p>
        </w:tc>
      </w:tr>
      <w:tr>
        <w:tc>
          <w:tcPr>
            <w:tcW w:w="3120" w:type="dxa"/>
          </w:tcPr>
          <w:p>
            <w:pPr/>
            <w:r>
              <w:t xml:space="preserve">Peer or human mock interview services</w:t>
            </w:r>
          </w:p>
        </w:tc>
        <w:tc>
          <w:tcPr>
            <w:tcW w:w="3120" w:type="dxa"/>
          </w:tcPr>
          <w:p>
            <w:pPr/>
            <w:r>
              <w:t xml:space="preserve">Realistic conversation with a real person</w:t>
            </w:r>
          </w:p>
        </w:tc>
        <w:tc>
          <w:tcPr>
            <w:tcW w:w="3120" w:type="dxa"/>
          </w:tcPr>
          <w:p>
            <w:pPr/>
            <w:r>
              <w:t xml:space="preserve">Costly, scheduling needed, not available on demand, inconsistent feedback</w:t>
            </w:r>
          </w:p>
        </w:tc>
      </w:tr>
      <w:tr>
        <w:tc>
          <w:tcPr>
            <w:tcW w:w="3120" w:type="dxa"/>
          </w:tcPr>
          <w:p>
            <w:pPr/>
            <w:r>
              <w:t xml:space="preserve">Generic AI chatbots</w:t>
            </w:r>
          </w:p>
        </w:tc>
        <w:tc>
          <w:tcPr>
            <w:tcW w:w="3120" w:type="dxa"/>
          </w:tcPr>
          <w:p>
            <w:pPr/>
            <w:r>
              <w:t xml:space="preserve">Can generate questions and comments on request</w:t>
            </w:r>
          </w:p>
        </w:tc>
        <w:tc>
          <w:tcPr>
            <w:tcW w:w="3120" w:type="dxa"/>
          </w:tcPr>
          <w:p>
            <w:pPr/>
            <w:r>
              <w:t xml:space="preserve">No structured plan, no persistent memory of weaknesses, evaluation depends on the user's prompting, no progress tracking</w:t>
            </w:r>
          </w:p>
        </w:tc>
      </w:tr>
      <w:tr>
        <w:tc>
          <w:tcPr>
            <w:tcW w:w="3120" w:type="dxa"/>
          </w:tcPr>
          <w:p>
            <w:pPr/>
            <w:r>
              <w:t xml:space="preserve">Automated video interview assessment tools</w:t>
            </w:r>
          </w:p>
        </w:tc>
        <w:tc>
          <w:tcPr>
            <w:tcW w:w="3120" w:type="dxa"/>
          </w:tcPr>
          <w:p>
            <w:pPr/>
            <w:r>
              <w:t xml:space="preserve">Screening of candidates for employers</w:t>
            </w:r>
          </w:p>
        </w:tc>
        <w:tc>
          <w:tcPr>
            <w:tcW w:w="3120" w:type="dxa"/>
          </w:tcPr>
          <w:p>
            <w:pPr/>
            <w:r>
              <w:t xml:space="preserve">Built for employers, not for candidate learning, little learning guidance</w:t>
            </w:r>
          </w:p>
        </w:tc>
      </w:tr>
    </w:tbl>
    <w:p>
      <w:pPr>
        <w:pStyle w:val="Heading2"/>
      </w:pPr>
      <w:r>
        <w:t xml:space="preserve">10. Research Gap and Contribution</w:t>
      </w:r>
    </w:p>
    <w:p>
      <w:pPr/>
      <w:r>
        <w:t xml:space="preserve">The literature shows mature building blocks: capable LLMs, tool-using agents, RAG, agent memory, LLM-based evaluation, adaptive testing and speech recognition. Existing tools usually provide only some of these in isolation. The gap is an integrated, candidate-focused system that combines all of them for a specific job. The AI Interview Preparation Agent addresses this gap by:</w:t>
      </w:r>
    </w:p>
    <w:p>
      <w:pPr>
        <w:pStyle w:val="ListParagraph"/>
        <w:numPr>
          <w:ilvl w:val="0"/>
          <w:numId w:val="2"/>
        </w:numPr>
      </w:pPr>
      <w:r>
        <w:t xml:space="preserve">Deriving the interview from a specific job posting and the candidate's CV through job analysis, candidate analysis and gap analysis.</w:t>
      </w:r>
    </w:p>
    <w:p>
      <w:pPr>
        <w:pStyle w:val="ListParagraph"/>
        <w:numPr>
          <w:ilvl w:val="0"/>
          <w:numId w:val="2"/>
        </w:numPr>
      </w:pPr>
      <w:r>
        <w:t xml:space="preserve">Planning the interview instead of generating random questions.</w:t>
      </w:r>
    </w:p>
    <w:p>
      <w:pPr>
        <w:pStyle w:val="ListParagraph"/>
        <w:numPr>
          <w:ilvl w:val="0"/>
          <w:numId w:val="2"/>
        </w:numPr>
      </w:pPr>
      <w:r>
        <w:t xml:space="preserve">Adapting difficulty and follow-ups in real time using an evaluator and a decision engine.</w:t>
      </w:r>
    </w:p>
    <w:p>
      <w:pPr>
        <w:pStyle w:val="ListParagraph"/>
        <w:numPr>
          <w:ilvl w:val="0"/>
          <w:numId w:val="2"/>
        </w:numPr>
      </w:pPr>
      <w:r>
        <w:t xml:space="preserve">Grounding evaluation in a RAG knowledge base and structured rubrics.</w:t>
      </w:r>
    </w:p>
    <w:p>
      <w:pPr>
        <w:pStyle w:val="ListParagraph"/>
        <w:numPr>
          <w:ilvl w:val="0"/>
          <w:numId w:val="2"/>
        </w:numPr>
      </w:pPr>
      <w:r>
        <w:t xml:space="preserve">Remembering previous interviews to target repeated weaknesses.</w:t>
      </w:r>
    </w:p>
    <w:p>
      <w:pPr>
        <w:pStyle w:val="ListParagraph"/>
        <w:numPr>
          <w:ilvl w:val="0"/>
          <w:numId w:val="2"/>
        </w:numPr>
      </w:pPr>
      <w:r>
        <w:t xml:space="preserve">Closing the loop with personalized learning resources, a study plan and progress tracking.</w:t>
      </w:r>
    </w:p>
    <w:p>
      <w:pPr>
        <w:pStyle w:val="ListParagraph"/>
        <w:numPr>
          <w:ilvl w:val="0"/>
          <w:numId w:val="2"/>
        </w:numPr>
      </w:pPr>
      <w:r>
        <w:t xml:space="preserve">Supporting an optional voice interview for communication practice.</w:t>
      </w:r>
    </w:p>
    <w:p>
      <w:pPr>
        <w:pStyle w:val="Heading2"/>
      </w:pPr>
      <w:r>
        <w:t xml:space="preserve">11. Challenges and Limitations Identified in the Literature</w:t>
      </w:r>
    </w:p>
    <w:p>
      <w:pPr>
        <w:pStyle w:val="ListParagraph"/>
        <w:numPr>
          <w:ilvl w:val="0"/>
          <w:numId w:val="3"/>
        </w:numPr>
      </w:pPr>
      <w:r>
        <w:t xml:space="preserve">LLMs can hallucinate; evaluation and grounding must be designed carefully.</w:t>
      </w:r>
    </w:p>
    <w:p>
      <w:pPr>
        <w:pStyle w:val="ListParagraph"/>
        <w:numPr>
          <w:ilvl w:val="0"/>
          <w:numId w:val="3"/>
        </w:numPr>
      </w:pPr>
      <w:r>
        <w:t xml:space="preserve">LLM judges show bias and variance, so rubrics and test cases are needed to check consistency.</w:t>
      </w:r>
    </w:p>
    <w:p>
      <w:pPr>
        <w:pStyle w:val="ListParagraph"/>
        <w:numPr>
          <w:ilvl w:val="0"/>
          <w:numId w:val="3"/>
        </w:numPr>
      </w:pPr>
      <w:r>
        <w:t xml:space="preserve">Tool-using agents are harder to debug than single prompts, so explicit state and logging are important.</w:t>
      </w:r>
    </w:p>
    <w:p>
      <w:pPr>
        <w:pStyle w:val="ListParagraph"/>
        <w:numPr>
          <w:ilvl w:val="0"/>
          <w:numId w:val="3"/>
        </w:numPr>
      </w:pPr>
      <w:r>
        <w:t xml:space="preserve">Latency and cost increase with multi-agent calls and voice, so the design should limit unnecessary calls.</w:t>
      </w:r>
    </w:p>
    <w:p>
      <w:pPr>
        <w:pStyle w:val="ListParagraph"/>
        <w:numPr>
          <w:ilvl w:val="0"/>
          <w:numId w:val="3"/>
        </w:numPr>
      </w:pPr>
      <w:r>
        <w:t xml:space="preserve">CVs contain personal data, so privacy and data handling must be considered.</w:t>
      </w:r>
    </w:p>
    <w:p>
      <w:pPr>
        <w:pStyle w:val="ListParagraph"/>
        <w:numPr>
          <w:ilvl w:val="0"/>
          <w:numId w:val="3"/>
        </w:numPr>
      </w:pPr>
      <w:r>
        <w:t xml:space="preserve">Predictions about company-specific interviews are not verified facts and should be clearly labeled as predictions.</w:t>
      </w:r>
    </w:p>
    <w:p>
      <w:pPr>
        <w:pStyle w:val="Heading2"/>
      </w:pPr>
      <w:r>
        <w:t xml:space="preserve">12. Conclusion</w:t>
      </w:r>
    </w:p>
    <w:p>
      <w:pPr/>
      <w:r>
        <w:t xml:space="preserve">The reviewed work supports the design choices of the project: a multi-agent architecture with an orchestrator, tool use through function calling, RAG for grounded evaluation, two-level memory for personalization, rubric-based LLM evaluation, adaptive question selection and optional speech interaction. The remaining work, covered in the next phases, is to translate these ideas into detailed requirements, design and an implementation, and to test whether the adaptive and evaluation components behave consistently.</w:t>
      </w:r>
    </w:p>
    <w:p>
      <w:pPr>
        <w:pStyle w:val="Heading2"/>
      </w:pPr>
      <w:r>
        <w:t xml:space="preserve">13. Feedback and Evaluation</w:t>
      </w:r>
    </w:p>
    <w:p>
      <w:pPr/>
      <w:r>
        <w:t xml:space="preserve">This section is reserved for the lecturer's assessment of the project and is completed after the review.</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Criterion</w:t>
            </w:r>
          </w:p>
        </w:tc>
        <w:tc>
          <w:tcPr>
            <w:tcW w:w="4680" w:type="dxa"/>
            <w:shd w:val="clear" w:color="auto" w:fill="F2F2F2"/>
          </w:tcPr>
          <w:p>
            <w:pPr/>
            <w:r>
              <w:t xml:space="preserve">Lecturer Assessment</w:t>
            </w:r>
          </w:p>
        </w:tc>
      </w:tr>
      <w:tr>
        <w:tc>
          <w:tcPr>
            <w:tcW w:w="4680" w:type="dxa"/>
          </w:tcPr>
          <w:p>
            <w:pPr/>
            <w:r>
              <w:t xml:space="preserve">Coverage and relevance of the literature</w:t>
            </w:r>
          </w:p>
        </w:tc>
        <w:tc>
          <w:tcPr>
            <w:tcW w:w="4680" w:type="dxa"/>
          </w:tcPr>
          <w:p>
            <w:pPr/>
            <w:r>
              <w:t xml:space="preserve">[To be completed by the lecturer]</w:t>
            </w:r>
          </w:p>
        </w:tc>
      </w:tr>
      <w:tr>
        <w:tc>
          <w:tcPr>
            <w:tcW w:w="4680" w:type="dxa"/>
          </w:tcPr>
          <w:p>
            <w:pPr/>
            <w:r>
              <w:t xml:space="preserve">Quality of analysis and research gap</w:t>
            </w:r>
          </w:p>
        </w:tc>
        <w:tc>
          <w:tcPr>
            <w:tcW w:w="4680" w:type="dxa"/>
          </w:tcPr>
          <w:p>
            <w:pPr/>
            <w:r>
              <w:t xml:space="preserve">[To be completed by the lecturer]</w:t>
            </w:r>
          </w:p>
        </w:tc>
      </w:tr>
      <w:tr>
        <w:tc>
          <w:tcPr>
            <w:tcW w:w="4680" w:type="dxa"/>
          </w:tcPr>
          <w:p>
            <w:pPr/>
            <w:r>
              <w:t xml:space="preserve">Quality and accuracy of references</w:t>
            </w:r>
          </w:p>
        </w:tc>
        <w:tc>
          <w:tcPr>
            <w:tcW w:w="4680" w:type="dxa"/>
          </w:tcPr>
          <w:p>
            <w:pPr/>
            <w:r>
              <w:t xml:space="preserve">[To be completed by the lecturer]</w:t>
            </w:r>
          </w:p>
        </w:tc>
      </w:tr>
      <w:tr>
        <w:tc>
          <w:tcPr>
            <w:tcW w:w="4680" w:type="dxa"/>
          </w:tcPr>
          <w:p>
            <w:pPr/>
            <w:r>
              <w:t xml:space="preserve">Overall comments</w:t>
            </w:r>
          </w:p>
        </w:tc>
        <w:tc>
          <w:tcPr>
            <w:tcW w:w="4680" w:type="dxa"/>
          </w:tcPr>
          <w:p>
            <w:pPr/>
            <w:r>
              <w:t xml:space="preserve">[To be completed by the lecturer]</w:t>
            </w:r>
          </w:p>
        </w:tc>
      </w:tr>
    </w:tbl>
    <w:p>
      <w:pPr>
        <w:pStyle w:val="Heading2"/>
      </w:pPr>
      <w:r>
        <w:t xml:space="preserve">14. Suggested Improvements</w:t>
      </w:r>
    </w:p>
    <w:p>
      <w:pPr/>
      <w:r>
        <w:t xml:space="preserve">Areas where the project can be enhanced, as suggested by the lecturer; the team records its response next to each point.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No.</w:t>
            </w:r>
          </w:p>
        </w:tc>
        <w:tc>
          <w:tcPr>
            <w:tcW w:w="3120" w:type="dxa"/>
            <w:shd w:val="clear" w:color="auto" w:fill="F2F2F2"/>
          </w:tcPr>
          <w:p>
            <w:pPr/>
            <w:r>
              <w:t xml:space="preserve">Suggested Improvement</w:t>
            </w:r>
          </w:p>
        </w:tc>
        <w:tc>
          <w:tcPr>
            <w:tcW w:w="3120" w:type="dxa"/>
            <w:shd w:val="clear" w:color="auto" w:fill="F2F2F2"/>
          </w:tcPr>
          <w:p>
            <w:pPr/>
            <w:r>
              <w:t xml:space="preserve">Team Response</w:t>
            </w:r>
          </w:p>
        </w:tc>
      </w:tr>
      <w:tr>
        <w:tc>
          <w:tcPr>
            <w:tcW w:w="3120" w:type="dxa"/>
          </w:tcPr>
          <w:p>
            <w:pPr/>
            <w:r>
              <w:t xml:space="preserve">1</w:t>
            </w:r>
          </w:p>
        </w:tc>
        <w:tc>
          <w:tcPr>
            <w:tcW w:w="3120" w:type="dxa"/>
          </w:tcPr>
          <w:p>
            <w:pPr/>
            <w:r>
              <w:t xml:space="preserve">[To be completed by the lecturer]</w:t>
            </w:r>
          </w:p>
        </w:tc>
        <w:tc>
          <w:tcPr>
            <w:tcW w:w="3120" w:type="dxa"/>
          </w:tcPr>
          <w:p>
            <w:pPr/>
            <w:r>
              <w:t xml:space="preserve">[To be completed by the team]</w:t>
            </w:r>
          </w:p>
        </w:tc>
      </w:tr>
      <w:tr>
        <w:tc>
          <w:tcPr>
            <w:tcW w:w="3120" w:type="dxa"/>
          </w:tcPr>
          <w:p>
            <w:pPr/>
            <w:r>
              <w:t xml:space="preserve">2</w:t>
            </w:r>
          </w:p>
        </w:tc>
        <w:tc>
          <w:tcPr>
            <w:tcW w:w="3120" w:type="dxa"/>
          </w:tcPr>
          <w:p>
            <w:pPr/>
            <w:r>
              <w:t xml:space="preserve">[To be completed by the lecturer]</w:t>
            </w:r>
          </w:p>
        </w:tc>
        <w:tc>
          <w:tcPr>
            <w:tcW w:w="3120" w:type="dxa"/>
          </w:tcPr>
          <w:p>
            <w:pPr/>
            <w:r>
              <w:t xml:space="preserve">[To be completed by the team]</w:t>
            </w:r>
          </w:p>
        </w:tc>
      </w:tr>
    </w:tbl>
    <w:p>
      <w:pPr>
        <w:pStyle w:val="Heading2"/>
      </w:pPr>
      <w:r>
        <w:t xml:space="preserve">15. Final Grading Criteria</w:t>
      </w:r>
    </w:p>
    <w:p>
      <w:pPr/>
      <w:r>
        <w:t xml:space="preserve">Breakdown of marks based on documentation, implementation, testing and presentation, to be set by the lecturer.</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Component</w:t>
            </w:r>
          </w:p>
        </w:tc>
        <w:tc>
          <w:tcPr>
            <w:tcW w:w="4680" w:type="dxa"/>
            <w:shd w:val="clear" w:color="auto" w:fill="F2F2F2"/>
          </w:tcPr>
          <w:p>
            <w:pPr/>
            <w:r>
              <w:t xml:space="preserve">Marks</w:t>
            </w:r>
          </w:p>
        </w:tc>
      </w:tr>
      <w:tr>
        <w:tc>
          <w:tcPr>
            <w:tcW w:w="4680" w:type="dxa"/>
          </w:tcPr>
          <w:p>
            <w:pPr/>
            <w:r>
              <w:t xml:space="preserve">Documentation</w:t>
            </w:r>
          </w:p>
        </w:tc>
        <w:tc>
          <w:tcPr>
            <w:tcW w:w="4680" w:type="dxa"/>
          </w:tcPr>
          <w:p>
            <w:pPr/>
            <w:r>
              <w:t xml:space="preserve">[To be set by the lecturer]</w:t>
            </w:r>
          </w:p>
        </w:tc>
      </w:tr>
      <w:tr>
        <w:tc>
          <w:tcPr>
            <w:tcW w:w="4680" w:type="dxa"/>
          </w:tcPr>
          <w:p>
            <w:pPr/>
            <w:r>
              <w:t xml:space="preserve">Implementation</w:t>
            </w:r>
          </w:p>
        </w:tc>
        <w:tc>
          <w:tcPr>
            <w:tcW w:w="4680" w:type="dxa"/>
          </w:tcPr>
          <w:p>
            <w:pPr/>
            <w:r>
              <w:t xml:space="preserve">[To be set by the lecturer]</w:t>
            </w:r>
          </w:p>
        </w:tc>
      </w:tr>
      <w:tr>
        <w:tc>
          <w:tcPr>
            <w:tcW w:w="4680" w:type="dxa"/>
          </w:tcPr>
          <w:p>
            <w:pPr/>
            <w:r>
              <w:t xml:space="preserve">Testing</w:t>
            </w:r>
          </w:p>
        </w:tc>
        <w:tc>
          <w:tcPr>
            <w:tcW w:w="4680" w:type="dxa"/>
          </w:tcPr>
          <w:p>
            <w:pPr/>
            <w:r>
              <w:t xml:space="preserve">[To be set by the lecturer]</w:t>
            </w:r>
          </w:p>
        </w:tc>
      </w:tr>
      <w:tr>
        <w:tc>
          <w:tcPr>
            <w:tcW w:w="4680" w:type="dxa"/>
          </w:tcPr>
          <w:p>
            <w:pPr/>
            <w:r>
              <w:t xml:space="preserve">Presentation</w:t>
            </w:r>
          </w:p>
        </w:tc>
        <w:tc>
          <w:tcPr>
            <w:tcW w:w="4680" w:type="dxa"/>
          </w:tcPr>
          <w:p>
            <w:pPr/>
            <w:r>
              <w:t xml:space="preserve">[To be set by the lecturer]</w:t>
            </w:r>
          </w:p>
        </w:tc>
      </w:tr>
      <w:tr>
        <w:tc>
          <w:tcPr>
            <w:tcW w:w="4680" w:type="dxa"/>
          </w:tcPr>
          <w:p>
            <w:pPr/>
            <w:r>
              <w:t xml:space="preserve">Total</w:t>
            </w:r>
          </w:p>
        </w:tc>
        <w:tc>
          <w:tcPr>
            <w:tcW w:w="4680" w:type="dxa"/>
          </w:tcPr>
          <w:p>
            <w:pPr/>
            <w:r>
              <w:t xml:space="preserve">[To be set by the lecturer]</w:t>
            </w:r>
          </w:p>
        </w:tc>
      </w:tr>
    </w:tbl>
    <w:p>
      <w:pPr>
        <w:pStyle w:val="Heading2"/>
      </w:pPr>
      <w:r>
        <w:t xml:space="preserve">References</w:t>
      </w:r>
    </w:p>
    <w:p>
      <w:pPr>
        <w:pStyle w:val="ListParagraph"/>
        <w:numPr>
          <w:ilvl w:val="0"/>
          <w:numId w:val="4"/>
        </w:numPr>
      </w:pPr>
      <w:r>
        <w:t xml:space="preserve">Brown, T. et al. (2020). Language Models are Few-Shot Learners. Advances in Neural Information Processing Systems (NeurIPS), 33.</w:t>
      </w:r>
    </w:p>
    <w:p>
      <w:pPr>
        <w:pStyle w:val="ListParagraph"/>
        <w:numPr>
          <w:ilvl w:val="0"/>
          <w:numId w:val="4"/>
        </w:numPr>
      </w:pPr>
      <w:r>
        <w:t xml:space="preserve">Wei, J. et al. (2022). Chain-of-Thought Prompting Elicits Reasoning in Large Language Models. NeurIPS, 35.</w:t>
      </w:r>
    </w:p>
    <w:p>
      <w:pPr>
        <w:pStyle w:val="ListParagraph"/>
        <w:numPr>
          <w:ilvl w:val="0"/>
          <w:numId w:val="4"/>
        </w:numPr>
      </w:pPr>
      <w:r>
        <w:t xml:space="preserve">Lewis, P. et al. (2020). Retrieval-Augmented Generation for Knowledge-Intensive NLP Tasks. NeurIPS, 33.</w:t>
      </w:r>
    </w:p>
    <w:p>
      <w:pPr>
        <w:pStyle w:val="ListParagraph"/>
        <w:numPr>
          <w:ilvl w:val="0"/>
          <w:numId w:val="4"/>
        </w:numPr>
      </w:pPr>
      <w:r>
        <w:t xml:space="preserve">Yao, S. et al. (2023). ReAct: Synergizing Reasoning and Acting in Language Models. International Conference on Learning Representations (ICLR).</w:t>
      </w:r>
    </w:p>
    <w:p>
      <w:pPr>
        <w:pStyle w:val="ListParagraph"/>
        <w:numPr>
          <w:ilvl w:val="0"/>
          <w:numId w:val="4"/>
        </w:numPr>
      </w:pPr>
      <w:r>
        <w:t xml:space="preserve">Schick, T. et al. (2023). Toolformer: Language Models Can Teach Themselves to Use Tools. NeurIPS, 36.</w:t>
      </w:r>
    </w:p>
    <w:p>
      <w:pPr>
        <w:pStyle w:val="ListParagraph"/>
        <w:numPr>
          <w:ilvl w:val="0"/>
          <w:numId w:val="4"/>
        </w:numPr>
      </w:pPr>
      <w:r>
        <w:t xml:space="preserve">Shinn, N. et al. (2023). Reflexion: Language Agents with Verbal Reinforcement Learning. NeurIPS, 36.</w:t>
      </w:r>
    </w:p>
    <w:p>
      <w:pPr>
        <w:pStyle w:val="ListParagraph"/>
        <w:numPr>
          <w:ilvl w:val="0"/>
          <w:numId w:val="4"/>
        </w:numPr>
      </w:pPr>
      <w:r>
        <w:t xml:space="preserve">Park, J. S. et al. (2023). Generative Agents: Interactive Simulacra of Human Behavior. ACM Symposium on User Interface Software and Technology (UIST).</w:t>
      </w:r>
    </w:p>
    <w:p>
      <w:pPr>
        <w:pStyle w:val="ListParagraph"/>
        <w:numPr>
          <w:ilvl w:val="0"/>
          <w:numId w:val="4"/>
        </w:numPr>
      </w:pPr>
      <w:r>
        <w:t xml:space="preserve">Packer, C. et al. (2023). MemGPT: Towards LLMs as Operating Systems. arXiv preprint.</w:t>
      </w:r>
    </w:p>
    <w:p>
      <w:pPr>
        <w:pStyle w:val="ListParagraph"/>
        <w:numPr>
          <w:ilvl w:val="0"/>
          <w:numId w:val="4"/>
        </w:numPr>
      </w:pPr>
      <w:r>
        <w:t xml:space="preserve">Wang, L. et al. (2024). A Survey on Large Language Model Based Autonomous Agents. Frontiers of Computer Science, 18.</w:t>
      </w:r>
    </w:p>
    <w:p>
      <w:pPr>
        <w:pStyle w:val="ListParagraph"/>
        <w:numPr>
          <w:ilvl w:val="0"/>
          <w:numId w:val="4"/>
        </w:numPr>
      </w:pPr>
      <w:r>
        <w:t xml:space="preserve">Xi, Z. et al. (2023). The Rise and Potential of Large Language Model Based Agents: A Survey. arXiv preprint.</w:t>
      </w:r>
    </w:p>
    <w:p>
      <w:pPr>
        <w:pStyle w:val="ListParagraph"/>
        <w:numPr>
          <w:ilvl w:val="0"/>
          <w:numId w:val="4"/>
        </w:numPr>
      </w:pPr>
      <w:r>
        <w:t xml:space="preserve">Zheng, L. et al. (2023). Judging LLM-as-a-Judge with MT-Bench and Chatbot Arena. NeurIPS Datasets and Benchmarks Track, 36.</w:t>
      </w:r>
    </w:p>
    <w:p>
      <w:pPr>
        <w:pStyle w:val="ListParagraph"/>
        <w:numPr>
          <w:ilvl w:val="0"/>
          <w:numId w:val="4"/>
        </w:numPr>
      </w:pPr>
      <w:r>
        <w:t xml:space="preserve">Radford, A. et al. (2023). Robust Speech Recognition via Large-Scale Weak Supervision. International Conference on Machine Learning (ICML).</w:t>
      </w:r>
    </w:p>
    <w:p>
      <w:pPr>
        <w:pStyle w:val="ListParagraph"/>
        <w:numPr>
          <w:ilvl w:val="0"/>
          <w:numId w:val="4"/>
        </w:numPr>
      </w:pPr>
      <w:r>
        <w:t xml:space="preserve">Embretson, S. E. and Reise, S. P. (2000). Item Response Theory for Psychologists. Lawrence Erlbaum Associates.</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Literature Review</dc:title>
  <dc:description>Claude Docs node/7619bb53-dfbd@2 docx-w6</dc:description>
  <cp:revision>2</cp:revision>
</cp:coreProperties>
</file>