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A1B6D" w:val="clear"/>
        <w:spacing w:after="80" w:before="480"/>
        <w:jc w:val="center"/>
      </w:pPr>
      <w:r>
        <w:rPr>
          <w:rFonts w:ascii="Arial" w:cs="Arial" w:eastAsia="Arial" w:hAnsi="Arial"/>
          <w:b/>
          <w:bCs/>
          <w:color w:val="FFFFFF"/>
          <w:sz w:val="52"/>
          <w:szCs w:val="52"/>
        </w:rPr>
        <w:t xml:space="preserve">DAX MEASURES DOCUMENTATION</w:t>
      </w:r>
    </w:p>
    <w:p>
      <w:pPr>
        <w:shd w:fill="4A1B6D" w:val="clear"/>
        <w:spacing w:after="40" w:before="0"/>
        <w:jc w:val="center"/>
      </w:pPr>
      <w:r>
        <w:rPr>
          <w:rFonts w:ascii="Arial" w:cs="Arial" w:eastAsia="Arial" w:hAnsi="Arial"/>
          <w:color w:val="F6C9E6"/>
          <w:sz w:val="32"/>
          <w:szCs w:val="32"/>
        </w:rPr>
        <w:t xml:space="preserve">Digital Habits &amp; Mental Health Overview</w:t>
      </w:r>
    </w:p>
    <w:p>
      <w:pPr>
        <w:shd w:fill="4A1B6D" w:val="clear"/>
        <w:spacing w:after="40" w:before="0"/>
        <w:jc w:val="center"/>
      </w:pPr>
      <w:r>
        <w:rPr>
          <w:rFonts w:ascii="Arial" w:cs="Arial" w:eastAsia="Arial" w:hAnsi="Arial"/>
          <w:color w:val="A0AEC0"/>
          <w:sz w:val="22"/>
          <w:szCs w:val="22"/>
        </w:rPr>
        <w:t xml:space="preserve">Power BI Dashboard  |  Manish Bisht  |  June 2025</w:t>
      </w:r>
    </w:p>
    <w:p>
      <w:pPr>
        <w:spacing w:after="200" w:before="200"/>
      </w:pPr>
    </w:p>
    <w:p>
      <w:pPr>
        <w:pBdr>
          <w:top w:val="none" w:sz="0" w:space="0" w:color="auto"/>
          <w:left w:val="single" w:color="1B6B3A" w:sz="16"/>
          <w:bottom w:val="none" w:sz="0" w:space="0" w:color="auto"/>
          <w:right w:val="none" w:sz="0" w:space="0" w:color="auto"/>
        </w:pBdr>
        <w:shd w:fill="D4EDDA" w:val="clear"/>
        <w:spacing w:after="20" w:before="40"/>
        <w:ind w:left="200"/>
      </w:pPr>
      <w:r>
        <w:rPr>
          <w:rFonts w:ascii="Arial" w:cs="Arial" w:eastAsia="Arial" w:hAnsi="Arial"/>
          <w:b/>
          <w:bCs/>
          <w:color w:val="1B6B3A"/>
          <w:sz w:val="22"/>
          <w:szCs w:val="22"/>
        </w:rPr>
        <w:t xml:space="preserve">DOCUMENT SUMMARY</w:t>
      </w:r>
      <w:r>
        <w:rPr>
          <w:rFonts w:ascii="Arial" w:cs="Arial" w:eastAsia="Arial" w:hAnsi="Arial"/>
          <w:color w:val="1A1A2E"/>
          <w:sz w:val="22"/>
          <w:szCs w:val="22"/>
        </w:rPr>
        <w:t xml:space="preserve">  —  This document lists every DAX measure used in this dashboard only.</w:t>
      </w:r>
    </w:p>
    <w:p>
      <w:pPr>
        <w:pBdr>
          <w:top w:val="none" w:sz="0" w:space="0" w:color="auto"/>
          <w:left w:val="single" w:color="1B6B3A" w:sz="16"/>
          <w:bottom w:val="none" w:sz="0" w:space="0" w:color="auto"/>
          <w:right w:val="none" w:sz="0" w:space="0" w:color="auto"/>
        </w:pBdr>
        <w:shd w:fill="D4EDDA" w:val="clear"/>
        <w:spacing w:after="20" w:before="0"/>
        <w:ind w:left="200"/>
      </w:pPr>
      <w:r>
        <w:rPr>
          <w:rFonts w:ascii="Arial" w:cs="Arial" w:eastAsia="Arial" w:hAnsi="Arial"/>
          <w:color w:val="1A1A2E"/>
          <w:sz w:val="22"/>
          <w:szCs w:val="22"/>
        </w:rPr>
        <w:t xml:space="preserve">Total Measures: 7   |   Table: Dax Formulas   |   Source Table: public students_data</w:t>
      </w:r>
    </w:p>
    <w:p>
      <w:pPr>
        <w:spacing w:after="120" w:before="120"/>
      </w:pPr>
    </w:p>
    <w:p>
      <w:pPr>
        <w:pStyle w:val="Heading1"/>
        <w:pBdr>
          <w:top w:val="none" w:sz="0" w:space="0" w:color="auto"/>
          <w:bottom w:val="none" w:sz="0" w:space="0" w:color="auto"/>
          <w:right w:val="none" w:sz="0" w:space="0" w:color="auto"/>
        </w:pBdr>
        <w:spacing w:after="120" w:before="320"/>
      </w:pPr>
      <w:r>
        <w:rPr>
          <w:rFonts w:ascii="Arial" w:cs="Arial" w:eastAsia="Arial" w:hAnsi="Arial"/>
          <w:b/>
          <w:bCs/>
          <w:color w:val="4A1B6D"/>
          <w:sz w:val="36"/>
          <w:szCs w:val="36"/>
        </w:rPr>
        <w:t xml:space="preserve">Section 1 — KPI Cards at a Glance</w:t>
      </w:r>
    </w:p>
    <w:p>
      <w:pPr>
        <w:spacing w:after="40" w:before="40"/>
      </w:pPr>
      <w:r>
        <w:rPr>
          <w:rFonts w:ascii="Arial" w:cs="Arial" w:eastAsia="Arial" w:hAnsi="Arial"/>
          <w:color w:val="1A1A2E"/>
          <w:sz w:val="22"/>
          <w:szCs w:val="22"/>
        </w:rPr>
        <w:t xml:space="preserve">The following five measures appear in the header KPI card row at the top of the dashboard. Each card shows a single key metric for all 5,000 students.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rPr>
          <w:tblHeader/>
        </w:trPr>
        <w:tc>
          <w:tcPr>
            <w:tcW w:type="dxa" w:w="3000"/>
            <w:tcBorders>
              <w:top w:val="single" w:color="DDDDE8" w:sz="1"/>
              <w:left w:val="single" w:color="DDDDE8" w:sz="1"/>
              <w:bottom w:val="single" w:color="DDDDE8" w:sz="1"/>
              <w:right w:val="single" w:color="DDDDE8" w:sz="1"/>
            </w:tcBorders>
            <w:shd w:fill="4A1B6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Measure Name</w:t>
            </w:r>
          </w:p>
        </w:tc>
        <w:tc>
          <w:tcPr>
            <w:tcW w:type="dxa" w:w="2500"/>
            <w:tcBorders>
              <w:top w:val="single" w:color="DDDDE8" w:sz="1"/>
              <w:left w:val="single" w:color="DDDDE8" w:sz="1"/>
              <w:bottom w:val="single" w:color="DDDDE8" w:sz="1"/>
              <w:right w:val="single" w:color="DDDDE8" w:sz="1"/>
            </w:tcBorders>
            <w:shd w:fill="4A1B6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KPI Card Label</w:t>
            </w:r>
          </w:p>
        </w:tc>
        <w:tc>
          <w:tcPr>
            <w:tcW w:type="dxa" w:w="2000"/>
            <w:tcBorders>
              <w:top w:val="single" w:color="DDDDE8" w:sz="1"/>
              <w:left w:val="single" w:color="DDDDE8" w:sz="1"/>
              <w:bottom w:val="single" w:color="DDDDE8" w:sz="1"/>
              <w:right w:val="single" w:color="DDDDE8" w:sz="1"/>
            </w:tcBorders>
            <w:shd w:fill="4A1B6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Live Value</w:t>
            </w:r>
          </w:p>
        </w:tc>
        <w:tc>
          <w:tcPr>
            <w:tcW w:type="dxa" w:w="1860"/>
            <w:tcBorders>
              <w:top w:val="single" w:color="DDDDE8" w:sz="1"/>
              <w:left w:val="single" w:color="DDDDE8" w:sz="1"/>
              <w:bottom w:val="single" w:color="DDDDE8" w:sz="1"/>
              <w:right w:val="single" w:color="DDDDE8" w:sz="1"/>
            </w:tcBorders>
            <w:shd w:fill="4A1B6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Visual Used In</w:t>
            </w:r>
          </w:p>
        </w:tc>
      </w:tr>
      <w:tr>
        <w:tc>
          <w:tcPr>
            <w:tcW w:type="dxa" w:w="30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Total Students</w:t>
            </w:r>
          </w:p>
        </w:tc>
        <w:tc>
          <w:tcPr>
            <w:tcW w:type="dxa" w:w="25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Students</w:t>
            </w:r>
          </w:p>
        </w:tc>
        <w:tc>
          <w:tcPr>
            <w:tcW w:type="dxa" w:w="20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5,000</w:t>
            </w:r>
          </w:p>
        </w:tc>
        <w:tc>
          <w:tcPr>
            <w:tcW w:type="dxa" w:w="18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 (Header Row)</w:t>
            </w:r>
          </w:p>
        </w:tc>
      </w:tr>
      <w:tr>
        <w:tc>
          <w:tcPr>
            <w:tcW w:type="dxa" w:w="30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bCs/>
                <w:color w:val="7B2FBE"/>
                <w:sz w:val="20"/>
                <w:szCs w:val="20"/>
              </w:rPr>
              <w:t xml:space="preserve">High Stress Rate %</w:t>
            </w:r>
          </w:p>
        </w:tc>
        <w:tc>
          <w:tcPr>
            <w:tcW w:type="dxa" w:w="25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Stress Rate</w:t>
            </w:r>
          </w:p>
        </w:tc>
        <w:tc>
          <w:tcPr>
            <w:tcW w:type="dxa" w:w="20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61.22%</w:t>
            </w:r>
          </w:p>
        </w:tc>
        <w:tc>
          <w:tcPr>
            <w:tcW w:type="dxa" w:w="186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 (Header Row)</w:t>
            </w:r>
          </w:p>
        </w:tc>
      </w:tr>
      <w:tr>
        <w:tc>
          <w:tcPr>
            <w:tcW w:type="dxa" w:w="30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Avg Daily Usage Hours</w:t>
            </w:r>
          </w:p>
        </w:tc>
        <w:tc>
          <w:tcPr>
            <w:tcW w:type="dxa" w:w="25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Avg Screen Time</w:t>
            </w:r>
          </w:p>
        </w:tc>
        <w:tc>
          <w:tcPr>
            <w:tcW w:type="dxa" w:w="20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5.08 hrs</w:t>
            </w:r>
          </w:p>
        </w:tc>
        <w:tc>
          <w:tcPr>
            <w:tcW w:type="dxa" w:w="18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 (Header Row)</w:t>
            </w:r>
          </w:p>
        </w:tc>
      </w:tr>
      <w:tr>
        <w:tc>
          <w:tcPr>
            <w:tcW w:type="dxa" w:w="30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bCs/>
                <w:color w:val="7B2FBE"/>
                <w:sz w:val="20"/>
                <w:szCs w:val="20"/>
              </w:rPr>
              <w:t xml:space="preserve">Avg Mental Health Score</w:t>
            </w:r>
          </w:p>
        </w:tc>
        <w:tc>
          <w:tcPr>
            <w:tcW w:type="dxa" w:w="25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Avg Mental Health</w:t>
            </w:r>
          </w:p>
        </w:tc>
        <w:tc>
          <w:tcPr>
            <w:tcW w:type="dxa" w:w="20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6.23</w:t>
            </w:r>
          </w:p>
        </w:tc>
        <w:tc>
          <w:tcPr>
            <w:tcW w:type="dxa" w:w="186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 (Header Row)</w:t>
            </w:r>
          </w:p>
        </w:tc>
      </w:tr>
      <w:tr>
        <w:tc>
          <w:tcPr>
            <w:tcW w:type="dxa" w:w="30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Avg Sleep Hours</w:t>
            </w:r>
          </w:p>
        </w:tc>
        <w:tc>
          <w:tcPr>
            <w:tcW w:type="dxa" w:w="25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Avg Sleep Hours</w:t>
            </w:r>
          </w:p>
        </w:tc>
        <w:tc>
          <w:tcPr>
            <w:tcW w:type="dxa" w:w="20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6.63 hrs</w:t>
            </w:r>
          </w:p>
        </w:tc>
        <w:tc>
          <w:tcPr>
            <w:tcW w:type="dxa" w:w="18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KPI Card (Header Row)</w:t>
            </w:r>
          </w:p>
        </w:tc>
      </w:tr>
    </w:tbl>
    <w:p>
      <w:pPr>
        <w:spacing w:after="160" w:before="160"/>
      </w:pPr>
    </w:p>
    <w:p>
      <w:pPr>
        <w:pStyle w:val="Heading1"/>
        <w:pBdr>
          <w:top w:val="none" w:sz="0" w:space="0" w:color="auto"/>
          <w:bottom w:val="none" w:sz="0" w:space="0" w:color="auto"/>
          <w:right w:val="none" w:sz="0" w:space="0" w:color="auto"/>
        </w:pBdr>
        <w:spacing w:after="120" w:before="320"/>
      </w:pPr>
      <w:r>
        <w:rPr>
          <w:rFonts w:ascii="Arial" w:cs="Arial" w:eastAsia="Arial" w:hAnsi="Arial"/>
          <w:b/>
          <w:bCs/>
          <w:color w:val="4A1B6D"/>
          <w:sz w:val="36"/>
          <w:szCs w:val="36"/>
        </w:rPr>
        <w:t xml:space="preserve">Section 2 — Visual-to-Measure Reference Map</w:t>
      </w:r>
    </w:p>
    <w:p>
      <w:pPr>
        <w:spacing w:after="40" w:before="40"/>
      </w:pPr>
      <w:r>
        <w:rPr>
          <w:rFonts w:ascii="Arial" w:cs="Arial" w:eastAsia="Arial" w:hAnsi="Arial"/>
          <w:color w:val="1A1A2E"/>
          <w:sz w:val="22"/>
          <w:szCs w:val="22"/>
        </w:rPr>
        <w:t xml:space="preserve">This table shows exactly which measure or data column powers each visual in the dashboard. Use this to quickly trace any number back to its source calculation.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rPr>
          <w:tblHeader/>
        </w:trPr>
        <w:tc>
          <w:tcPr>
            <w:tcW w:type="dxa" w:w="3200"/>
            <w:tcBorders>
              <w:top w:val="single" w:color="DDDDE8" w:sz="1"/>
              <w:left w:val="single" w:color="DDDDE8" w:sz="1"/>
              <w:bottom w:val="single" w:color="DDDDE8" w:sz="1"/>
              <w:right w:val="single" w:color="DDDDE8" w:sz="1"/>
            </w:tcBorders>
            <w:shd w:fill="4A1B6D" w:val="clear"/>
            <w:tcMar>
              <w:top w:type="dxa" w:w="100"/>
              <w:left w:type="dxa" w:w="120"/>
              <w:bottom w:type="dxa" w:w="100"/>
              <w:right w:type="dxa" w:w="120"/>
            </w:tcMar>
          </w:tcPr>
          <w:p>
            <w:r>
              <w:rPr>
                <w:rFonts w:ascii="Arial" w:cs="Arial" w:eastAsia="Arial" w:hAnsi="Arial"/>
                <w:b/>
                <w:bCs/>
                <w:color w:val="FFFFFF"/>
                <w:sz w:val="20"/>
                <w:szCs w:val="20"/>
              </w:rPr>
              <w:t xml:space="preserve">Dashboard Visual</w:t>
            </w:r>
          </w:p>
        </w:tc>
        <w:tc>
          <w:tcPr>
            <w:tcW w:type="dxa" w:w="2100"/>
            <w:tcBorders>
              <w:top w:val="single" w:color="DDDDE8" w:sz="1"/>
              <w:left w:val="single" w:color="DDDDE8" w:sz="1"/>
              <w:bottom w:val="single" w:color="DDDDE8" w:sz="1"/>
              <w:right w:val="single" w:color="DDDDE8" w:sz="1"/>
            </w:tcBorders>
            <w:shd w:fill="4A1B6D" w:val="clear"/>
            <w:tcMar>
              <w:top w:type="dxa" w:w="100"/>
              <w:left w:type="dxa" w:w="120"/>
              <w:bottom w:type="dxa" w:w="100"/>
              <w:right w:type="dxa" w:w="120"/>
            </w:tcMar>
          </w:tcPr>
          <w:p>
            <w:r>
              <w:rPr>
                <w:rFonts w:ascii="Arial" w:cs="Arial" w:eastAsia="Arial" w:hAnsi="Arial"/>
                <w:b/>
                <w:bCs/>
                <w:color w:val="FFFFFF"/>
                <w:sz w:val="20"/>
                <w:szCs w:val="20"/>
              </w:rPr>
              <w:t xml:space="preserve">Chart Type</w:t>
            </w:r>
          </w:p>
        </w:tc>
        <w:tc>
          <w:tcPr>
            <w:tcW w:type="dxa" w:w="4060"/>
            <w:tcBorders>
              <w:top w:val="single" w:color="DDDDE8" w:sz="1"/>
              <w:left w:val="single" w:color="DDDDE8" w:sz="1"/>
              <w:bottom w:val="single" w:color="DDDDE8" w:sz="1"/>
              <w:right w:val="single" w:color="DDDDE8" w:sz="1"/>
            </w:tcBorders>
            <w:shd w:fill="4A1B6D" w:val="clear"/>
            <w:tcMar>
              <w:top w:type="dxa" w:w="100"/>
              <w:left w:type="dxa" w:w="120"/>
              <w:bottom w:type="dxa" w:w="100"/>
              <w:right w:type="dxa" w:w="120"/>
            </w:tcMar>
          </w:tcPr>
          <w:p>
            <w:r>
              <w:rPr>
                <w:rFonts w:ascii="Arial" w:cs="Arial" w:eastAsia="Arial" w:hAnsi="Arial"/>
                <w:b/>
                <w:bCs/>
                <w:color w:val="FFFFFF"/>
                <w:sz w:val="20"/>
                <w:szCs w:val="20"/>
              </w:rPr>
              <w:t xml:space="preserve">Measure(s) / Field(s) Used</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KPI Card Row</w:t>
            </w:r>
          </w:p>
        </w:tc>
        <w:tc>
          <w:tcPr>
            <w:tcW w:type="dxa" w:w="21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Card Visual</w:t>
            </w:r>
          </w:p>
        </w:tc>
        <w:tc>
          <w:tcPr>
            <w:tcW w:type="dxa" w:w="40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Students, High Stress Rate %, Avg Daily Usage Hours, Avg Mental Health Score, Avg Sleep Hours</w:t>
            </w:r>
          </w:p>
        </w:tc>
      </w:tr>
      <w:tr>
        <w:tc>
          <w:tcPr>
            <w:tcW w:type="dxa" w:w="3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bCs/>
                <w:color w:val="7B2FBE"/>
                <w:sz w:val="20"/>
                <w:szCs w:val="20"/>
              </w:rPr>
              <w:t xml:space="preserve">Students by Stress Level</w:t>
            </w:r>
          </w:p>
        </w:tc>
        <w:tc>
          <w:tcPr>
            <w:tcW w:type="dxa" w:w="21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Donut Chart</w:t>
            </w:r>
          </w:p>
        </w:tc>
        <w:tc>
          <w:tcPr>
            <w:tcW w:type="dxa" w:w="406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Stress % by Level</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Average Mental Health Score by Age</w:t>
            </w:r>
          </w:p>
        </w:tc>
        <w:tc>
          <w:tcPr>
            <w:tcW w:type="dxa" w:w="21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Line Chart</w:t>
            </w:r>
          </w:p>
        </w:tc>
        <w:tc>
          <w:tcPr>
            <w:tcW w:type="dxa" w:w="40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 of mental_health_score (column)</w:t>
            </w:r>
          </w:p>
        </w:tc>
      </w:tr>
      <w:tr>
        <w:tc>
          <w:tcPr>
            <w:tcW w:type="dxa" w:w="3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bCs/>
                <w:color w:val="7B2FBE"/>
                <w:sz w:val="20"/>
                <w:szCs w:val="20"/>
              </w:rPr>
              <w:t xml:space="preserve">Usage Hours by Purpose</w:t>
            </w:r>
          </w:p>
        </w:tc>
        <w:tc>
          <w:tcPr>
            <w:tcW w:type="dxa" w:w="21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Clustered Bar Chart</w:t>
            </w:r>
          </w:p>
        </w:tc>
        <w:tc>
          <w:tcPr>
            <w:tcW w:type="dxa" w:w="406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Sum of avg_daily_usage_hours (column)</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Top 5 Platforms Affecting Mental Health</w:t>
            </w:r>
          </w:p>
        </w:tc>
        <w:tc>
          <w:tcPr>
            <w:tcW w:type="dxa" w:w="21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Clustered Column</w:t>
            </w:r>
          </w:p>
        </w:tc>
        <w:tc>
          <w:tcPr>
            <w:tcW w:type="dxa" w:w="40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 of mental_health_score (column)</w:t>
            </w:r>
          </w:p>
        </w:tc>
      </w:tr>
      <w:tr>
        <w:tc>
          <w:tcPr>
            <w:tcW w:type="dxa" w:w="3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bCs/>
                <w:color w:val="7B2FBE"/>
                <w:sz w:val="20"/>
                <w:szCs w:val="20"/>
              </w:rPr>
              <w:t xml:space="preserve">Mental Health Score vs Target</w:t>
            </w:r>
          </w:p>
        </w:tc>
        <w:tc>
          <w:tcPr>
            <w:tcW w:type="dxa" w:w="21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Gauge</w:t>
            </w:r>
          </w:p>
        </w:tc>
        <w:tc>
          <w:tcPr>
            <w:tcW w:type="dxa" w:w="406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r>
              <w:rPr>
                <w:rFonts w:ascii="Arial" w:cs="Arial" w:eastAsia="Arial" w:hAnsi="Arial"/>
                <w:b w:val="false"/>
                <w:bCs w:val="false"/>
                <w:color w:val="1A1A2E"/>
                <w:sz w:val="20"/>
                <w:szCs w:val="20"/>
              </w:rPr>
              <w:t xml:space="preserve">Avg Mental Health Score, Mental Health Target</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bCs/>
                <w:color w:val="7B2FBE"/>
                <w:sz w:val="20"/>
                <w:szCs w:val="20"/>
              </w:rPr>
              <w:t xml:space="preserve">Physical Activity Hours by Gender</w:t>
            </w:r>
          </w:p>
        </w:tc>
        <w:tc>
          <w:tcPr>
            <w:tcW w:type="dxa" w:w="21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Bar Chart (Funnel)</w:t>
            </w:r>
          </w:p>
        </w:tc>
        <w:tc>
          <w:tcPr>
            <w:tcW w:type="dxa" w:w="40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Sum of physical_activity_hours (column)</w:t>
            </w:r>
          </w:p>
        </w:tc>
      </w:tr>
    </w:tbl>
    <w:p>
      <w:pPr>
        <w:spacing w:after="160" w:before="160"/>
      </w:pPr>
    </w:p>
    <w:p>
      <w:pPr>
        <w:pStyle w:val="Heading1"/>
        <w:pBdr>
          <w:top w:val="none" w:sz="0" w:space="0" w:color="auto"/>
          <w:bottom w:val="none" w:sz="0" w:space="0" w:color="auto"/>
          <w:right w:val="none" w:sz="0" w:space="0" w:color="auto"/>
        </w:pBdr>
        <w:spacing w:after="120" w:before="320"/>
      </w:pPr>
      <w:r>
        <w:rPr>
          <w:rFonts w:ascii="Arial" w:cs="Arial" w:eastAsia="Arial" w:hAnsi="Arial"/>
          <w:b/>
          <w:bCs/>
          <w:color w:val="4A1B6D"/>
          <w:sz w:val="36"/>
          <w:szCs w:val="36"/>
        </w:rPr>
        <w:t xml:space="preserve">Section 3 — Full DAX Measure Definitions</w:t>
      </w:r>
    </w:p>
    <w:p>
      <w:pPr>
        <w:spacing w:after="40" w:before="40"/>
      </w:pPr>
      <w:r>
        <w:rPr>
          <w:rFonts w:ascii="Arial" w:cs="Arial" w:eastAsia="Arial" w:hAnsi="Arial"/>
          <w:color w:val="1A1A2E"/>
          <w:sz w:val="22"/>
          <w:szCs w:val="22"/>
        </w:rPr>
        <w:t xml:space="preserve">Each measure below is documented with its full DAX formula, plain-English explanation, which columns it reads, and which visual it powers.</w:t>
      </w:r>
    </w:p>
    <w:p>
      <w:pPr>
        <w:spacing w:after="80" w:before="80"/>
      </w:pPr>
    </w:p>
    <w:p>
      <w:pPr>
        <w:pBdr>
          <w:top w:val="none" w:sz="0" w:space="0" w:color="auto"/>
          <w:left w:val="single" w:color="F6C9E6" w:sz="20"/>
          <w:bottom w:val="none" w:sz="0" w:space="0" w:color="auto"/>
          <w:right w:val="none" w:sz="0" w:space="0" w:color="auto"/>
        </w:pBdr>
        <w:shd w:fill="4A1B6D" w:val="clear"/>
        <w:spacing w:after="0" w:before="240"/>
        <w:ind w:left="160"/>
      </w:pPr>
      <w:r>
        <w:rPr>
          <w:rFonts w:ascii="Arial" w:cs="Arial" w:eastAsia="Arial" w:hAnsi="Arial"/>
          <w:b/>
          <w:bCs/>
          <w:color w:val="F6C9E6"/>
          <w:sz w:val="28"/>
          <w:szCs w:val="28"/>
        </w:rPr>
        <w:t xml:space="preserve">1.  </w:t>
      </w:r>
      <w:r>
        <w:rPr>
          <w:rFonts w:ascii="Arial" w:cs="Arial" w:eastAsia="Arial" w:hAnsi="Arial"/>
          <w:b/>
          <w:bCs/>
          <w:color w:val="FFFFFF"/>
          <w:sz w:val="28"/>
          <w:szCs w:val="28"/>
        </w:rPr>
        <w:t xml:space="preserve">Total Students</w:t>
      </w:r>
    </w:p>
    <w:p>
      <w:pPr>
        <w:shd w:fill="4A1B6D" w:val="clear"/>
        <w:spacing w:after="80" w:before="0"/>
        <w:ind w:left="160"/>
      </w:pPr>
      <w:r>
        <w:rPr>
          <w:rFonts w:ascii="Arial" w:cs="Arial" w:eastAsia="Arial" w:hAnsi="Arial"/>
          <w:color w:val="A0AEC0"/>
          <w:sz w:val="18"/>
          <w:szCs w:val="18"/>
        </w:rPr>
        <w:t xml:space="preserve">Category: Count Measure   |   Used In: KPI Card Row (Header)</w:t>
      </w:r>
    </w:p>
    <w:p>
      <w:pPr>
        <w:spacing w:after="60" w:before="180"/>
      </w:pPr>
      <w:r>
        <w:rPr>
          <w:rFonts w:ascii="Arial" w:cs="Arial" w:eastAsia="Arial" w:hAnsi="Arial"/>
          <w:b/>
          <w:bCs/>
          <w:color w:val="0F1727"/>
          <w:sz w:val="24"/>
          <w:szCs w:val="24"/>
        </w:rPr>
        <w:t xml:space="preserve">What it does</w:t>
      </w:r>
    </w:p>
    <w:p>
      <w:pPr>
        <w:spacing w:after="40" w:before="40"/>
      </w:pPr>
      <w:r>
        <w:rPr>
          <w:rFonts w:ascii="Arial" w:cs="Arial" w:eastAsia="Arial" w:hAnsi="Arial"/>
          <w:color w:val="1A1A2E"/>
          <w:sz w:val="22"/>
          <w:szCs w:val="22"/>
        </w:rPr>
        <w:t xml:space="preserve">Counts the total number of student records in the dataset. This is the base denominator used across all percentage calculations.</w:t>
      </w:r>
    </w:p>
    <w:p>
      <w:pPr>
        <w:spacing w:after="40" w:before="40"/>
      </w:pPr>
    </w:p>
    <w:p>
      <w:pPr>
        <w:spacing w:after="60" w:before="180"/>
      </w:pPr>
      <w:r>
        <w:rPr>
          <w:rFonts w:ascii="Arial" w:cs="Arial" w:eastAsia="Arial" w:hAnsi="Arial"/>
          <w:b/>
          <w:bCs/>
          <w:color w:val="0F1727"/>
          <w:sz w:val="24"/>
          <w:szCs w:val="24"/>
        </w:rPr>
        <w:t xml:space="preserve">DAX Formula</w:t>
      </w:r>
    </w:p>
    <w:p>
      <w:pPr>
        <w:pBdr>
          <w:top w:val="none" w:sz="0" w:space="0" w:color="auto"/>
          <w:left w:val="single" w:color="7B2FBE" w:sz="12"/>
          <w:bottom w:val="none" w:sz="0" w:space="0" w:color="auto"/>
          <w:right w:val="none" w:sz="0" w:space="0" w:color="auto"/>
        </w:pBdr>
        <w:shd w:fill="1E1E2E" w:val="clear"/>
        <w:spacing w:after="80" w:before="80"/>
        <w:ind w:left="360"/>
      </w:pPr>
      <w:r>
        <w:rPr>
          <w:rFonts w:ascii="Courier New" w:cs="Courier New" w:eastAsia="Courier New" w:hAnsi="Courier New"/>
          <w:color w:val="C9D1D9"/>
          <w:sz w:val="20"/>
          <w:szCs w:val="20"/>
        </w:rPr>
        <w:t xml:space="preserve">Total Students =</w:t>
        <w:br/>
        <w:t xml:space="preserve">    COUNTROWS('public students_data')</w:t>
      </w:r>
    </w:p>
    <w:p>
      <w:pPr>
        <w:spacing w:after="40" w:before="40"/>
      </w:pPr>
    </w:p>
    <w:p>
      <w:pPr>
        <w:spacing w:after="60" w:before="180"/>
      </w:pPr>
      <w:r>
        <w:rPr>
          <w:rFonts w:ascii="Arial" w:cs="Arial" w:eastAsia="Arial" w:hAnsi="Arial"/>
          <w:b/>
          <w:bCs/>
          <w:color w:val="0F1727"/>
          <w:sz w:val="24"/>
          <w:szCs w:val="24"/>
        </w:rPr>
        <w:t xml:space="preserve">Column(s) it reads from</w:t>
      </w:r>
    </w:p>
    <w:p>
      <w:pPr>
        <w:spacing w:after="20" w:before="20"/>
        <w:ind w:left="360"/>
      </w:pPr>
      <w:r>
        <w:rPr>
          <w:rFonts w:ascii="Arial" w:cs="Arial" w:eastAsia="Arial" w:hAnsi="Arial"/>
          <w:b/>
          <w:bCs/>
          <w:color w:val="7B2FBE"/>
          <w:sz w:val="22"/>
          <w:szCs w:val="22"/>
        </w:rPr>
        <w:t xml:space="preserve">•  </w:t>
      </w:r>
      <w:r>
        <w:rPr>
          <w:rFonts w:ascii="Courier New" w:cs="Courier New" w:eastAsia="Courier New" w:hAnsi="Courier New"/>
          <w:color w:val="1A1A2E"/>
          <w:sz w:val="22"/>
          <w:szCs w:val="22"/>
        </w:rPr>
        <w:t xml:space="preserve">public students_data (entire table)</w:t>
      </w:r>
    </w:p>
    <w:p>
      <w:pPr>
        <w:spacing w:after="40" w:before="40"/>
      </w:pPr>
    </w:p>
    <w:p>
      <w:pPr>
        <w:spacing w:after="60" w:before="180"/>
      </w:pPr>
      <w:r>
        <w:rPr>
          <w:rFonts w:ascii="Arial" w:cs="Arial" w:eastAsia="Arial" w:hAnsi="Arial"/>
          <w:b/>
          <w:bCs/>
          <w:color w:val="0F1727"/>
          <w:sz w:val="24"/>
          <w:szCs w:val="24"/>
        </w:rPr>
        <w:t xml:space="preserve">Live output value on dashboard</w:t>
      </w:r>
    </w:p>
    <w:p>
      <w:pPr>
        <w:shd w:fill="E8D5F5" w:val="clear"/>
        <w:spacing w:after="40" w:before="40"/>
        <w:ind w:left="360"/>
      </w:pPr>
      <w:r>
        <w:rPr>
          <w:rFonts w:ascii="Arial" w:cs="Arial" w:eastAsia="Arial" w:hAnsi="Arial"/>
          <w:b/>
          <w:bCs/>
          <w:color w:val="4A1B6D"/>
          <w:sz w:val="24"/>
          <w:szCs w:val="24"/>
        </w:rPr>
        <w:t xml:space="preserve">  5,000  </w:t>
      </w:r>
    </w:p>
    <w:p>
      <w:pPr>
        <w:spacing w:after="40" w:before="40"/>
      </w:pPr>
    </w:p>
    <w:p>
      <w:pPr>
        <w:spacing w:after="60" w:before="180"/>
      </w:pPr>
      <w:r>
        <w:rPr>
          <w:rFonts w:ascii="Arial" w:cs="Arial" w:eastAsia="Arial" w:hAnsi="Arial"/>
          <w:b/>
          <w:bCs/>
          <w:color w:val="0F1727"/>
          <w:sz w:val="24"/>
          <w:szCs w:val="24"/>
        </w:rPr>
        <w:t xml:space="preserve">Important notes</w:t>
      </w:r>
    </w:p>
    <w:p>
      <w:pPr>
        <w:spacing w:after="40" w:before="40"/>
      </w:pPr>
      <w:r>
        <w:rPr>
          <w:rFonts w:ascii="Arial" w:cs="Arial" w:eastAsia="Arial" w:hAnsi="Arial"/>
          <w:color w:val="1A1A2E"/>
          <w:sz w:val="22"/>
          <w:szCs w:val="22"/>
        </w:rPr>
        <w:t xml:space="preserve">This is a simple row count. No filters applied. Returns the full dataset size.</w:t>
      </w:r>
    </w:p>
    <w:p>
      <w:pPr>
        <w:spacing w:after="60" w:before="60"/>
      </w:pPr>
    </w:p>
    <w:p>
      <w:pPr>
        <w:pBdr>
          <w:top w:val="none" w:sz="0" w:space="0" w:color="auto"/>
          <w:bottom w:val="none" w:sz="0" w:space="0" w:color="auto"/>
          <w:right w:val="none" w:sz="0" w:space="0" w:color="auto"/>
        </w:pBdr>
        <w:spacing w:after="120" w:before="120"/>
      </w:pPr>
    </w:p>
    <w:p>
      <w:pPr>
        <w:pBdr>
          <w:top w:val="none" w:sz="0" w:space="0" w:color="auto"/>
          <w:left w:val="single" w:color="F6C9E6" w:sz="20"/>
          <w:bottom w:val="none" w:sz="0" w:space="0" w:color="auto"/>
          <w:right w:val="none" w:sz="0" w:space="0" w:color="auto"/>
        </w:pBdr>
        <w:shd w:fill="4A1B6D" w:val="clear"/>
        <w:spacing w:after="0" w:before="240"/>
        <w:ind w:left="160"/>
      </w:pPr>
      <w:r>
        <w:rPr>
          <w:rFonts w:ascii="Arial" w:cs="Arial" w:eastAsia="Arial" w:hAnsi="Arial"/>
          <w:b/>
          <w:bCs/>
          <w:color w:val="F6C9E6"/>
          <w:sz w:val="28"/>
          <w:szCs w:val="28"/>
        </w:rPr>
        <w:t xml:space="preserve">2.  </w:t>
      </w:r>
      <w:r>
        <w:rPr>
          <w:rFonts w:ascii="Arial" w:cs="Arial" w:eastAsia="Arial" w:hAnsi="Arial"/>
          <w:b/>
          <w:bCs/>
          <w:color w:val="FFFFFF"/>
          <w:sz w:val="28"/>
          <w:szCs w:val="28"/>
        </w:rPr>
        <w:t xml:space="preserve">High Stress Rate %</w:t>
      </w:r>
    </w:p>
    <w:p>
      <w:pPr>
        <w:shd w:fill="4A1B6D" w:val="clear"/>
        <w:spacing w:after="80" w:before="0"/>
        <w:ind w:left="160"/>
      </w:pPr>
      <w:r>
        <w:rPr>
          <w:rFonts w:ascii="Arial" w:cs="Arial" w:eastAsia="Arial" w:hAnsi="Arial"/>
          <w:color w:val="A0AEC0"/>
          <w:sz w:val="18"/>
          <w:szCs w:val="18"/>
        </w:rPr>
        <w:t xml:space="preserve">Category: Percentage Measure   |   Used In: KPI Card Row (Header)</w:t>
      </w:r>
    </w:p>
    <w:p>
      <w:pPr>
        <w:spacing w:after="60" w:before="180"/>
      </w:pPr>
      <w:r>
        <w:rPr>
          <w:rFonts w:ascii="Arial" w:cs="Arial" w:eastAsia="Arial" w:hAnsi="Arial"/>
          <w:b/>
          <w:bCs/>
          <w:color w:val="0F1727"/>
          <w:sz w:val="24"/>
          <w:szCs w:val="24"/>
        </w:rPr>
        <w:t xml:space="preserve">What it does</w:t>
      </w:r>
    </w:p>
    <w:p>
      <w:pPr>
        <w:spacing w:after="40" w:before="40"/>
      </w:pPr>
      <w:r>
        <w:rPr>
          <w:rFonts w:ascii="Arial" w:cs="Arial" w:eastAsia="Arial" w:hAnsi="Arial"/>
          <w:color w:val="1A1A2E"/>
          <w:sz w:val="22"/>
          <w:szCs w:val="22"/>
        </w:rPr>
        <w:t xml:space="preserve">Calculates the percentage of students classified under "High" or "Very High" stress levels out of the total student count.</w:t>
      </w:r>
    </w:p>
    <w:p>
      <w:pPr>
        <w:spacing w:after="40" w:before="40"/>
      </w:pPr>
    </w:p>
    <w:p>
      <w:pPr>
        <w:spacing w:after="60" w:before="180"/>
      </w:pPr>
      <w:r>
        <w:rPr>
          <w:rFonts w:ascii="Arial" w:cs="Arial" w:eastAsia="Arial" w:hAnsi="Arial"/>
          <w:b/>
          <w:bCs/>
          <w:color w:val="0F1727"/>
          <w:sz w:val="24"/>
          <w:szCs w:val="24"/>
        </w:rPr>
        <w:t xml:space="preserve">DAX Formula</w:t>
      </w:r>
    </w:p>
    <w:p>
      <w:pPr>
        <w:pBdr>
          <w:top w:val="none" w:sz="0" w:space="0" w:color="auto"/>
          <w:left w:val="single" w:color="7B2FBE" w:sz="12"/>
          <w:bottom w:val="none" w:sz="0" w:space="0" w:color="auto"/>
          <w:right w:val="none" w:sz="0" w:space="0" w:color="auto"/>
        </w:pBdr>
        <w:shd w:fill="1E1E2E" w:val="clear"/>
        <w:spacing w:after="80" w:before="80"/>
        <w:ind w:left="360"/>
      </w:pPr>
      <w:r>
        <w:rPr>
          <w:rFonts w:ascii="Courier New" w:cs="Courier New" w:eastAsia="Courier New" w:hAnsi="Courier New"/>
          <w:color w:val="C9D1D9"/>
          <w:sz w:val="20"/>
          <w:szCs w:val="20"/>
        </w:rPr>
        <w:t xml:space="preserve">High Stress Rate % =</w:t>
        <w:br/>
        <w:t xml:space="preserve">    VAR HighStressCount =</w:t>
        <w:br/>
        <w:t xml:space="preserve">        CALCULATE(</w:t>
        <w:br/>
        <w:t xml:space="preserve">            COUNTROWS('public students_data'),</w:t>
        <w:br/>
        <w:t xml:space="preserve">            'public students_data'[stress_level] = "High"</w:t>
        <w:br/>
        <w:t xml:space="preserve">                || 'public students_data'[stress_level] = "Very High"</w:t>
        <w:br/>
        <w:t xml:space="preserve">        )</w:t>
        <w:br/>
        <w:t xml:space="preserve">    RETURN</w:t>
        <w:br/>
        <w:t xml:space="preserve">        DIVIDE(HighStressCount, [Total Students], 0) * 100</w:t>
      </w:r>
    </w:p>
    <w:p>
      <w:pPr>
        <w:spacing w:after="40" w:before="40"/>
      </w:pPr>
    </w:p>
    <w:p>
      <w:pPr>
        <w:spacing w:after="60" w:before="180"/>
      </w:pPr>
      <w:r>
        <w:rPr>
          <w:rFonts w:ascii="Arial" w:cs="Arial" w:eastAsia="Arial" w:hAnsi="Arial"/>
          <w:b/>
          <w:bCs/>
          <w:color w:val="0F1727"/>
          <w:sz w:val="24"/>
          <w:szCs w:val="24"/>
        </w:rPr>
        <w:t xml:space="preserve">Column(s) it reads from</w:t>
      </w:r>
    </w:p>
    <w:p>
      <w:pPr>
        <w:spacing w:after="20" w:before="20"/>
        <w:ind w:left="360"/>
      </w:pPr>
      <w:r>
        <w:rPr>
          <w:rFonts w:ascii="Arial" w:cs="Arial" w:eastAsia="Arial" w:hAnsi="Arial"/>
          <w:b/>
          <w:bCs/>
          <w:color w:val="7B2FBE"/>
          <w:sz w:val="22"/>
          <w:szCs w:val="22"/>
        </w:rPr>
        <w:t xml:space="preserve">•  </w:t>
      </w:r>
      <w:r>
        <w:rPr>
          <w:rFonts w:ascii="Courier New" w:cs="Courier New" w:eastAsia="Courier New" w:hAnsi="Courier New"/>
          <w:color w:val="1A1A2E"/>
          <w:sz w:val="22"/>
          <w:szCs w:val="22"/>
        </w:rPr>
        <w:t xml:space="preserve">stress_level</w:t>
      </w:r>
    </w:p>
    <w:p>
      <w:pPr>
        <w:spacing w:after="40" w:before="40"/>
      </w:pPr>
    </w:p>
    <w:p>
      <w:pPr>
        <w:spacing w:after="60" w:before="180"/>
      </w:pPr>
      <w:r>
        <w:rPr>
          <w:rFonts w:ascii="Arial" w:cs="Arial" w:eastAsia="Arial" w:hAnsi="Arial"/>
          <w:b/>
          <w:bCs/>
          <w:color w:val="0F1727"/>
          <w:sz w:val="24"/>
          <w:szCs w:val="24"/>
        </w:rPr>
        <w:t xml:space="preserve">Live output value on dashboard</w:t>
      </w:r>
    </w:p>
    <w:p>
      <w:pPr>
        <w:shd w:fill="E8D5F5" w:val="clear"/>
        <w:spacing w:after="40" w:before="40"/>
        <w:ind w:left="360"/>
      </w:pPr>
      <w:r>
        <w:rPr>
          <w:rFonts w:ascii="Arial" w:cs="Arial" w:eastAsia="Arial" w:hAnsi="Arial"/>
          <w:b/>
          <w:bCs/>
          <w:color w:val="4A1B6D"/>
          <w:sz w:val="24"/>
          <w:szCs w:val="24"/>
        </w:rPr>
        <w:t xml:space="preserve">  61.22%  </w:t>
      </w:r>
    </w:p>
    <w:p>
      <w:pPr>
        <w:spacing w:after="40" w:before="40"/>
      </w:pPr>
    </w:p>
    <w:p>
      <w:pPr>
        <w:spacing w:after="60" w:before="180"/>
      </w:pPr>
      <w:r>
        <w:rPr>
          <w:rFonts w:ascii="Arial" w:cs="Arial" w:eastAsia="Arial" w:hAnsi="Arial"/>
          <w:b/>
          <w:bCs/>
          <w:color w:val="0F1727"/>
          <w:sz w:val="24"/>
          <w:szCs w:val="24"/>
        </w:rPr>
        <w:t xml:space="preserve">Important notes</w:t>
      </w:r>
    </w:p>
    <w:p>
      <w:pPr>
        <w:spacing w:after="40" w:before="40"/>
      </w:pPr>
      <w:r>
        <w:rPr>
          <w:rFonts w:ascii="Arial" w:cs="Arial" w:eastAsia="Arial" w:hAnsi="Arial"/>
          <w:color w:val="1A1A2E"/>
          <w:sz w:val="22"/>
          <w:szCs w:val="22"/>
        </w:rPr>
        <w:t xml:space="preserve">Uses DIVIDE() instead of "/" to safely handle zero denominators. Multiplied by 100 to return a clean percentage display.</w:t>
      </w:r>
    </w:p>
    <w:p>
      <w:pPr>
        <w:spacing w:after="60" w:before="60"/>
      </w:pPr>
    </w:p>
    <w:p>
      <w:pPr>
        <w:pBdr>
          <w:top w:val="none" w:sz="0" w:space="0" w:color="auto"/>
          <w:bottom w:val="none" w:sz="0" w:space="0" w:color="auto"/>
          <w:right w:val="none" w:sz="0" w:space="0" w:color="auto"/>
        </w:pBdr>
        <w:spacing w:after="120" w:before="120"/>
      </w:pPr>
    </w:p>
    <w:p>
      <w:pPr>
        <w:pBdr>
          <w:top w:val="none" w:sz="0" w:space="0" w:color="auto"/>
          <w:left w:val="single" w:color="F6C9E6" w:sz="20"/>
          <w:bottom w:val="none" w:sz="0" w:space="0" w:color="auto"/>
          <w:right w:val="none" w:sz="0" w:space="0" w:color="auto"/>
        </w:pBdr>
        <w:shd w:fill="4A1B6D" w:val="clear"/>
        <w:spacing w:after="0" w:before="240"/>
        <w:ind w:left="160"/>
      </w:pPr>
      <w:r>
        <w:rPr>
          <w:rFonts w:ascii="Arial" w:cs="Arial" w:eastAsia="Arial" w:hAnsi="Arial"/>
          <w:b/>
          <w:bCs/>
          <w:color w:val="F6C9E6"/>
          <w:sz w:val="28"/>
          <w:szCs w:val="28"/>
        </w:rPr>
        <w:t xml:space="preserve">3.  </w:t>
      </w:r>
      <w:r>
        <w:rPr>
          <w:rFonts w:ascii="Arial" w:cs="Arial" w:eastAsia="Arial" w:hAnsi="Arial"/>
          <w:b/>
          <w:bCs/>
          <w:color w:val="FFFFFF"/>
          <w:sz w:val="28"/>
          <w:szCs w:val="28"/>
        </w:rPr>
        <w:t xml:space="preserve">Avg Daily Usage Hours</w:t>
      </w:r>
    </w:p>
    <w:p>
      <w:pPr>
        <w:shd w:fill="4A1B6D" w:val="clear"/>
        <w:spacing w:after="80" w:before="0"/>
        <w:ind w:left="160"/>
      </w:pPr>
      <w:r>
        <w:rPr>
          <w:rFonts w:ascii="Arial" w:cs="Arial" w:eastAsia="Arial" w:hAnsi="Arial"/>
          <w:color w:val="A0AEC0"/>
          <w:sz w:val="18"/>
          <w:szCs w:val="18"/>
        </w:rPr>
        <w:t xml:space="preserve">Category: Average Measure   |   Used In: KPI Card Row (Header)</w:t>
      </w:r>
    </w:p>
    <w:p>
      <w:pPr>
        <w:spacing w:after="60" w:before="180"/>
      </w:pPr>
      <w:r>
        <w:rPr>
          <w:rFonts w:ascii="Arial" w:cs="Arial" w:eastAsia="Arial" w:hAnsi="Arial"/>
          <w:b/>
          <w:bCs/>
          <w:color w:val="0F1727"/>
          <w:sz w:val="24"/>
          <w:szCs w:val="24"/>
        </w:rPr>
        <w:t xml:space="preserve">What it does</w:t>
      </w:r>
    </w:p>
    <w:p>
      <w:pPr>
        <w:spacing w:after="40" w:before="40"/>
      </w:pPr>
      <w:r>
        <w:rPr>
          <w:rFonts w:ascii="Arial" w:cs="Arial" w:eastAsia="Arial" w:hAnsi="Arial"/>
          <w:color w:val="1A1A2E"/>
          <w:sz w:val="22"/>
          <w:szCs w:val="22"/>
        </w:rPr>
        <w:t xml:space="preserve">Returns the average number of hours per day each student spends on social media platforms.</w:t>
      </w:r>
    </w:p>
    <w:p>
      <w:pPr>
        <w:spacing w:after="40" w:before="40"/>
      </w:pPr>
    </w:p>
    <w:p>
      <w:pPr>
        <w:spacing w:after="60" w:before="180"/>
      </w:pPr>
      <w:r>
        <w:rPr>
          <w:rFonts w:ascii="Arial" w:cs="Arial" w:eastAsia="Arial" w:hAnsi="Arial"/>
          <w:b/>
          <w:bCs/>
          <w:color w:val="0F1727"/>
          <w:sz w:val="24"/>
          <w:szCs w:val="24"/>
        </w:rPr>
        <w:t xml:space="preserve">DAX Formula</w:t>
      </w:r>
    </w:p>
    <w:p>
      <w:pPr>
        <w:pBdr>
          <w:top w:val="none" w:sz="0" w:space="0" w:color="auto"/>
          <w:left w:val="single" w:color="7B2FBE" w:sz="12"/>
          <w:bottom w:val="none" w:sz="0" w:space="0" w:color="auto"/>
          <w:right w:val="none" w:sz="0" w:space="0" w:color="auto"/>
        </w:pBdr>
        <w:shd w:fill="1E1E2E" w:val="clear"/>
        <w:spacing w:after="80" w:before="80"/>
        <w:ind w:left="360"/>
      </w:pPr>
      <w:r>
        <w:rPr>
          <w:rFonts w:ascii="Courier New" w:cs="Courier New" w:eastAsia="Courier New" w:hAnsi="Courier New"/>
          <w:color w:val="C9D1D9"/>
          <w:sz w:val="20"/>
          <w:szCs w:val="20"/>
        </w:rPr>
        <w:t xml:space="preserve">Avg Daily Usage Display =</w:t>
        <w:br/>
        <w:t xml:space="preserve">    AVERAGE('public students_data'[avg_daily_usage_hours])</w:t>
      </w:r>
    </w:p>
    <w:p>
      <w:pPr>
        <w:spacing w:after="40" w:before="40"/>
      </w:pPr>
    </w:p>
    <w:p>
      <w:pPr>
        <w:spacing w:after="60" w:before="180"/>
      </w:pPr>
      <w:r>
        <w:rPr>
          <w:rFonts w:ascii="Arial" w:cs="Arial" w:eastAsia="Arial" w:hAnsi="Arial"/>
          <w:b/>
          <w:bCs/>
          <w:color w:val="0F1727"/>
          <w:sz w:val="24"/>
          <w:szCs w:val="24"/>
        </w:rPr>
        <w:t xml:space="preserve">Column(s) it reads from</w:t>
      </w:r>
    </w:p>
    <w:p>
      <w:pPr>
        <w:spacing w:after="20" w:before="20"/>
        <w:ind w:left="360"/>
      </w:pPr>
      <w:r>
        <w:rPr>
          <w:rFonts w:ascii="Arial" w:cs="Arial" w:eastAsia="Arial" w:hAnsi="Arial"/>
          <w:b/>
          <w:bCs/>
          <w:color w:val="7B2FBE"/>
          <w:sz w:val="22"/>
          <w:szCs w:val="22"/>
        </w:rPr>
        <w:t xml:space="preserve">•  </w:t>
      </w:r>
      <w:r>
        <w:rPr>
          <w:rFonts w:ascii="Courier New" w:cs="Courier New" w:eastAsia="Courier New" w:hAnsi="Courier New"/>
          <w:color w:val="1A1A2E"/>
          <w:sz w:val="22"/>
          <w:szCs w:val="22"/>
        </w:rPr>
        <w:t xml:space="preserve">avg_daily_usage_hours</w:t>
      </w:r>
    </w:p>
    <w:p>
      <w:pPr>
        <w:spacing w:after="40" w:before="40"/>
      </w:pPr>
    </w:p>
    <w:p>
      <w:pPr>
        <w:spacing w:after="60" w:before="180"/>
      </w:pPr>
      <w:r>
        <w:rPr>
          <w:rFonts w:ascii="Arial" w:cs="Arial" w:eastAsia="Arial" w:hAnsi="Arial"/>
          <w:b/>
          <w:bCs/>
          <w:color w:val="0F1727"/>
          <w:sz w:val="24"/>
          <w:szCs w:val="24"/>
        </w:rPr>
        <w:t xml:space="preserve">Live output value on dashboard</w:t>
      </w:r>
    </w:p>
    <w:p>
      <w:pPr>
        <w:shd w:fill="E8D5F5" w:val="clear"/>
        <w:spacing w:after="40" w:before="40"/>
        <w:ind w:left="360"/>
      </w:pPr>
      <w:r>
        <w:rPr>
          <w:rFonts w:ascii="Arial" w:cs="Arial" w:eastAsia="Arial" w:hAnsi="Arial"/>
          <w:b/>
          <w:bCs/>
          <w:color w:val="4A1B6D"/>
          <w:sz w:val="24"/>
          <w:szCs w:val="24"/>
        </w:rPr>
        <w:t xml:space="preserve">  5.08 hrs  </w:t>
      </w:r>
    </w:p>
    <w:p>
      <w:pPr>
        <w:spacing w:after="40" w:before="40"/>
      </w:pPr>
    </w:p>
    <w:p>
      <w:pPr>
        <w:spacing w:after="60" w:before="180"/>
      </w:pPr>
      <w:r>
        <w:rPr>
          <w:rFonts w:ascii="Arial" w:cs="Arial" w:eastAsia="Arial" w:hAnsi="Arial"/>
          <w:b/>
          <w:bCs/>
          <w:color w:val="0F1727"/>
          <w:sz w:val="24"/>
          <w:szCs w:val="24"/>
        </w:rPr>
        <w:t xml:space="preserve">Important notes</w:t>
      </w:r>
    </w:p>
    <w:p>
      <w:pPr>
        <w:spacing w:after="40" w:before="40"/>
      </w:pPr>
      <w:r>
        <w:rPr>
          <w:rFonts w:ascii="Arial" w:cs="Arial" w:eastAsia="Arial" w:hAnsi="Arial"/>
          <w:color w:val="1A1A2E"/>
          <w:sz w:val="22"/>
          <w:szCs w:val="22"/>
        </w:rPr>
        <w:t xml:space="preserve">Simple AVERAGE over all rows. The label "Display" in the measure name indicates it is formatted for card display (e.g., with "hrs" suffix in the title).</w:t>
      </w:r>
    </w:p>
    <w:p>
      <w:pPr>
        <w:spacing w:after="60" w:before="60"/>
      </w:pPr>
    </w:p>
    <w:p>
      <w:pPr>
        <w:pBdr>
          <w:top w:val="none" w:sz="0" w:space="0" w:color="auto"/>
          <w:bottom w:val="none" w:sz="0" w:space="0" w:color="auto"/>
          <w:right w:val="none" w:sz="0" w:space="0" w:color="auto"/>
        </w:pBdr>
        <w:spacing w:after="120" w:before="120"/>
      </w:pPr>
    </w:p>
    <w:p>
      <w:pPr>
        <w:pBdr>
          <w:top w:val="none" w:sz="0" w:space="0" w:color="auto"/>
          <w:left w:val="single" w:color="F6C9E6" w:sz="20"/>
          <w:bottom w:val="none" w:sz="0" w:space="0" w:color="auto"/>
          <w:right w:val="none" w:sz="0" w:space="0" w:color="auto"/>
        </w:pBdr>
        <w:shd w:fill="4A1B6D" w:val="clear"/>
        <w:spacing w:after="0" w:before="240"/>
        <w:ind w:left="160"/>
      </w:pPr>
      <w:r>
        <w:rPr>
          <w:rFonts w:ascii="Arial" w:cs="Arial" w:eastAsia="Arial" w:hAnsi="Arial"/>
          <w:b/>
          <w:bCs/>
          <w:color w:val="F6C9E6"/>
          <w:sz w:val="28"/>
          <w:szCs w:val="28"/>
        </w:rPr>
        <w:t xml:space="preserve">4.  </w:t>
      </w:r>
      <w:r>
        <w:rPr>
          <w:rFonts w:ascii="Arial" w:cs="Arial" w:eastAsia="Arial" w:hAnsi="Arial"/>
          <w:b/>
          <w:bCs/>
          <w:color w:val="FFFFFF"/>
          <w:sz w:val="28"/>
          <w:szCs w:val="28"/>
        </w:rPr>
        <w:t xml:space="preserve">Avg Mental Health Score</w:t>
      </w:r>
    </w:p>
    <w:p>
      <w:pPr>
        <w:shd w:fill="4A1B6D" w:val="clear"/>
        <w:spacing w:after="80" w:before="0"/>
        <w:ind w:left="160"/>
      </w:pPr>
      <w:r>
        <w:rPr>
          <w:rFonts w:ascii="Arial" w:cs="Arial" w:eastAsia="Arial" w:hAnsi="Arial"/>
          <w:color w:val="A0AEC0"/>
          <w:sz w:val="18"/>
          <w:szCs w:val="18"/>
        </w:rPr>
        <w:t xml:space="preserve">Category: Average Measure   |   Used In: KPI Card Row (Header), Gauge Chart</w:t>
      </w:r>
    </w:p>
    <w:p>
      <w:pPr>
        <w:spacing w:after="60" w:before="180"/>
      </w:pPr>
      <w:r>
        <w:rPr>
          <w:rFonts w:ascii="Arial" w:cs="Arial" w:eastAsia="Arial" w:hAnsi="Arial"/>
          <w:b/>
          <w:bCs/>
          <w:color w:val="0F1727"/>
          <w:sz w:val="24"/>
          <w:szCs w:val="24"/>
        </w:rPr>
        <w:t xml:space="preserve">What it does</w:t>
      </w:r>
    </w:p>
    <w:p>
      <w:pPr>
        <w:spacing w:after="40" w:before="40"/>
      </w:pPr>
      <w:r>
        <w:rPr>
          <w:rFonts w:ascii="Arial" w:cs="Arial" w:eastAsia="Arial" w:hAnsi="Arial"/>
          <w:color w:val="1A1A2E"/>
          <w:sz w:val="22"/>
          <w:szCs w:val="22"/>
        </w:rPr>
        <w:t xml:space="preserve">Calculates the average mental health score across all students. Scale is 0 to 10, where a lower score indicates worse mental health.</w:t>
      </w:r>
    </w:p>
    <w:p>
      <w:pPr>
        <w:spacing w:after="40" w:before="40"/>
      </w:pPr>
    </w:p>
    <w:p>
      <w:pPr>
        <w:spacing w:after="60" w:before="180"/>
      </w:pPr>
      <w:r>
        <w:rPr>
          <w:rFonts w:ascii="Arial" w:cs="Arial" w:eastAsia="Arial" w:hAnsi="Arial"/>
          <w:b/>
          <w:bCs/>
          <w:color w:val="0F1727"/>
          <w:sz w:val="24"/>
          <w:szCs w:val="24"/>
        </w:rPr>
        <w:t xml:space="preserve">DAX Formula</w:t>
      </w:r>
    </w:p>
    <w:p>
      <w:pPr>
        <w:pBdr>
          <w:top w:val="none" w:sz="0" w:space="0" w:color="auto"/>
          <w:left w:val="single" w:color="7B2FBE" w:sz="12"/>
          <w:bottom w:val="none" w:sz="0" w:space="0" w:color="auto"/>
          <w:right w:val="none" w:sz="0" w:space="0" w:color="auto"/>
        </w:pBdr>
        <w:shd w:fill="1E1E2E" w:val="clear"/>
        <w:spacing w:after="80" w:before="80"/>
        <w:ind w:left="360"/>
      </w:pPr>
      <w:r>
        <w:rPr>
          <w:rFonts w:ascii="Courier New" w:cs="Courier New" w:eastAsia="Courier New" w:hAnsi="Courier New"/>
          <w:color w:val="C9D1D9"/>
          <w:sz w:val="20"/>
          <w:szCs w:val="20"/>
        </w:rPr>
        <w:t xml:space="preserve">Avg Mental Health Score =</w:t>
        <w:br/>
        <w:t xml:space="preserve">    AVERAGE('public students_data'[mental_health_score])</w:t>
      </w:r>
    </w:p>
    <w:p>
      <w:pPr>
        <w:spacing w:after="40" w:before="40"/>
      </w:pPr>
    </w:p>
    <w:p>
      <w:pPr>
        <w:spacing w:after="60" w:before="180"/>
      </w:pPr>
      <w:r>
        <w:rPr>
          <w:rFonts w:ascii="Arial" w:cs="Arial" w:eastAsia="Arial" w:hAnsi="Arial"/>
          <w:b/>
          <w:bCs/>
          <w:color w:val="0F1727"/>
          <w:sz w:val="24"/>
          <w:szCs w:val="24"/>
        </w:rPr>
        <w:t xml:space="preserve">Column(s) it reads from</w:t>
      </w:r>
    </w:p>
    <w:p>
      <w:pPr>
        <w:spacing w:after="20" w:before="20"/>
        <w:ind w:left="360"/>
      </w:pPr>
      <w:r>
        <w:rPr>
          <w:rFonts w:ascii="Arial" w:cs="Arial" w:eastAsia="Arial" w:hAnsi="Arial"/>
          <w:b/>
          <w:bCs/>
          <w:color w:val="7B2FBE"/>
          <w:sz w:val="22"/>
          <w:szCs w:val="22"/>
        </w:rPr>
        <w:t xml:space="preserve">•  </w:t>
      </w:r>
      <w:r>
        <w:rPr>
          <w:rFonts w:ascii="Courier New" w:cs="Courier New" w:eastAsia="Courier New" w:hAnsi="Courier New"/>
          <w:color w:val="1A1A2E"/>
          <w:sz w:val="22"/>
          <w:szCs w:val="22"/>
        </w:rPr>
        <w:t xml:space="preserve">mental_health_score</w:t>
      </w:r>
    </w:p>
    <w:p>
      <w:pPr>
        <w:spacing w:after="40" w:before="40"/>
      </w:pPr>
    </w:p>
    <w:p>
      <w:pPr>
        <w:spacing w:after="60" w:before="180"/>
      </w:pPr>
      <w:r>
        <w:rPr>
          <w:rFonts w:ascii="Arial" w:cs="Arial" w:eastAsia="Arial" w:hAnsi="Arial"/>
          <w:b/>
          <w:bCs/>
          <w:color w:val="0F1727"/>
          <w:sz w:val="24"/>
          <w:szCs w:val="24"/>
        </w:rPr>
        <w:t xml:space="preserve">Live output value on dashboard</w:t>
      </w:r>
    </w:p>
    <w:p>
      <w:pPr>
        <w:shd w:fill="E8D5F5" w:val="clear"/>
        <w:spacing w:after="40" w:before="40"/>
        <w:ind w:left="360"/>
      </w:pPr>
      <w:r>
        <w:rPr>
          <w:rFonts w:ascii="Arial" w:cs="Arial" w:eastAsia="Arial" w:hAnsi="Arial"/>
          <w:b/>
          <w:bCs/>
          <w:color w:val="4A1B6D"/>
          <w:sz w:val="24"/>
          <w:szCs w:val="24"/>
        </w:rPr>
        <w:t xml:space="preserve">  6.23  </w:t>
      </w:r>
    </w:p>
    <w:p>
      <w:pPr>
        <w:spacing w:after="40" w:before="40"/>
      </w:pPr>
    </w:p>
    <w:p>
      <w:pPr>
        <w:spacing w:after="60" w:before="180"/>
      </w:pPr>
      <w:r>
        <w:rPr>
          <w:rFonts w:ascii="Arial" w:cs="Arial" w:eastAsia="Arial" w:hAnsi="Arial"/>
          <w:b/>
          <w:bCs/>
          <w:color w:val="0F1727"/>
          <w:sz w:val="24"/>
          <w:szCs w:val="24"/>
        </w:rPr>
        <w:t xml:space="preserve">Important notes</w:t>
      </w:r>
    </w:p>
    <w:p>
      <w:pPr>
        <w:spacing w:after="40" w:before="40"/>
      </w:pPr>
      <w:r>
        <w:rPr>
          <w:rFonts w:ascii="Arial" w:cs="Arial" w:eastAsia="Arial" w:hAnsi="Arial"/>
          <w:color w:val="1A1A2E"/>
          <w:sz w:val="22"/>
          <w:szCs w:val="22"/>
        </w:rPr>
        <w:t xml:space="preserve">Used in two visuals: the KPI card header AND the gauge chart as the current value. The gauge also uses a separate target measure (see Mental Health Target below).</w:t>
      </w:r>
    </w:p>
    <w:p>
      <w:pPr>
        <w:spacing w:after="60" w:before="60"/>
      </w:pPr>
    </w:p>
    <w:p>
      <w:pPr>
        <w:pBdr>
          <w:top w:val="none" w:sz="0" w:space="0" w:color="auto"/>
          <w:bottom w:val="none" w:sz="0" w:space="0" w:color="auto"/>
          <w:right w:val="none" w:sz="0" w:space="0" w:color="auto"/>
        </w:pBdr>
        <w:spacing w:after="120" w:before="120"/>
      </w:pPr>
    </w:p>
    <w:p>
      <w:pPr>
        <w:pBdr>
          <w:top w:val="none" w:sz="0" w:space="0" w:color="auto"/>
          <w:left w:val="single" w:color="F6C9E6" w:sz="20"/>
          <w:bottom w:val="none" w:sz="0" w:space="0" w:color="auto"/>
          <w:right w:val="none" w:sz="0" w:space="0" w:color="auto"/>
        </w:pBdr>
        <w:shd w:fill="4A1B6D" w:val="clear"/>
        <w:spacing w:after="0" w:before="240"/>
        <w:ind w:left="160"/>
      </w:pPr>
      <w:r>
        <w:rPr>
          <w:rFonts w:ascii="Arial" w:cs="Arial" w:eastAsia="Arial" w:hAnsi="Arial"/>
          <w:b/>
          <w:bCs/>
          <w:color w:val="F6C9E6"/>
          <w:sz w:val="28"/>
          <w:szCs w:val="28"/>
        </w:rPr>
        <w:t xml:space="preserve">5.  </w:t>
      </w:r>
      <w:r>
        <w:rPr>
          <w:rFonts w:ascii="Arial" w:cs="Arial" w:eastAsia="Arial" w:hAnsi="Arial"/>
          <w:b/>
          <w:bCs/>
          <w:color w:val="FFFFFF"/>
          <w:sz w:val="28"/>
          <w:szCs w:val="28"/>
        </w:rPr>
        <w:t xml:space="preserve">Avg Sleep Hours</w:t>
      </w:r>
    </w:p>
    <w:p>
      <w:pPr>
        <w:shd w:fill="4A1B6D" w:val="clear"/>
        <w:spacing w:after="80" w:before="0"/>
        <w:ind w:left="160"/>
      </w:pPr>
      <w:r>
        <w:rPr>
          <w:rFonts w:ascii="Arial" w:cs="Arial" w:eastAsia="Arial" w:hAnsi="Arial"/>
          <w:color w:val="A0AEC0"/>
          <w:sz w:val="18"/>
          <w:szCs w:val="18"/>
        </w:rPr>
        <w:t xml:space="preserve">Category: Average Measure   |   Used In: KPI Card Row (Header)</w:t>
      </w:r>
    </w:p>
    <w:p>
      <w:pPr>
        <w:spacing w:after="60" w:before="180"/>
      </w:pPr>
      <w:r>
        <w:rPr>
          <w:rFonts w:ascii="Arial" w:cs="Arial" w:eastAsia="Arial" w:hAnsi="Arial"/>
          <w:b/>
          <w:bCs/>
          <w:color w:val="0F1727"/>
          <w:sz w:val="24"/>
          <w:szCs w:val="24"/>
        </w:rPr>
        <w:t xml:space="preserve">What it does</w:t>
      </w:r>
    </w:p>
    <w:p>
      <w:pPr>
        <w:spacing w:after="40" w:before="40"/>
      </w:pPr>
      <w:r>
        <w:rPr>
          <w:rFonts w:ascii="Arial" w:cs="Arial" w:eastAsia="Arial" w:hAnsi="Arial"/>
          <w:color w:val="1A1A2E"/>
          <w:sz w:val="22"/>
          <w:szCs w:val="22"/>
        </w:rPr>
        <w:t xml:space="preserve">Returns the average number of sleep hours per night reported by students across the dataset.</w:t>
      </w:r>
    </w:p>
    <w:p>
      <w:pPr>
        <w:spacing w:after="40" w:before="40"/>
      </w:pPr>
    </w:p>
    <w:p>
      <w:pPr>
        <w:spacing w:after="60" w:before="180"/>
      </w:pPr>
      <w:r>
        <w:rPr>
          <w:rFonts w:ascii="Arial" w:cs="Arial" w:eastAsia="Arial" w:hAnsi="Arial"/>
          <w:b/>
          <w:bCs/>
          <w:color w:val="0F1727"/>
          <w:sz w:val="24"/>
          <w:szCs w:val="24"/>
        </w:rPr>
        <w:t xml:space="preserve">DAX Formula</w:t>
      </w:r>
    </w:p>
    <w:p>
      <w:pPr>
        <w:pBdr>
          <w:top w:val="none" w:sz="0" w:space="0" w:color="auto"/>
          <w:left w:val="single" w:color="7B2FBE" w:sz="12"/>
          <w:bottom w:val="none" w:sz="0" w:space="0" w:color="auto"/>
          <w:right w:val="none" w:sz="0" w:space="0" w:color="auto"/>
        </w:pBdr>
        <w:shd w:fill="1E1E2E" w:val="clear"/>
        <w:spacing w:after="80" w:before="80"/>
        <w:ind w:left="360"/>
      </w:pPr>
      <w:r>
        <w:rPr>
          <w:rFonts w:ascii="Courier New" w:cs="Courier New" w:eastAsia="Courier New" w:hAnsi="Courier New"/>
          <w:color w:val="C9D1D9"/>
          <w:sz w:val="20"/>
          <w:szCs w:val="20"/>
        </w:rPr>
        <w:t xml:space="preserve">Avg Sleep Hours =</w:t>
        <w:br/>
        <w:t xml:space="preserve">    AVERAGE('public students_data'[sleep_hours])</w:t>
      </w:r>
    </w:p>
    <w:p>
      <w:pPr>
        <w:spacing w:after="40" w:before="40"/>
      </w:pPr>
    </w:p>
    <w:p>
      <w:pPr>
        <w:spacing w:after="60" w:before="180"/>
      </w:pPr>
      <w:r>
        <w:rPr>
          <w:rFonts w:ascii="Arial" w:cs="Arial" w:eastAsia="Arial" w:hAnsi="Arial"/>
          <w:b/>
          <w:bCs/>
          <w:color w:val="0F1727"/>
          <w:sz w:val="24"/>
          <w:szCs w:val="24"/>
        </w:rPr>
        <w:t xml:space="preserve">Column(s) it reads from</w:t>
      </w:r>
    </w:p>
    <w:p>
      <w:pPr>
        <w:spacing w:after="20" w:before="20"/>
        <w:ind w:left="360"/>
      </w:pPr>
      <w:r>
        <w:rPr>
          <w:rFonts w:ascii="Arial" w:cs="Arial" w:eastAsia="Arial" w:hAnsi="Arial"/>
          <w:b/>
          <w:bCs/>
          <w:color w:val="7B2FBE"/>
          <w:sz w:val="22"/>
          <w:szCs w:val="22"/>
        </w:rPr>
        <w:t xml:space="preserve">•  </w:t>
      </w:r>
      <w:r>
        <w:rPr>
          <w:rFonts w:ascii="Courier New" w:cs="Courier New" w:eastAsia="Courier New" w:hAnsi="Courier New"/>
          <w:color w:val="1A1A2E"/>
          <w:sz w:val="22"/>
          <w:szCs w:val="22"/>
        </w:rPr>
        <w:t xml:space="preserve">sleep_hours</w:t>
      </w:r>
    </w:p>
    <w:p>
      <w:pPr>
        <w:spacing w:after="40" w:before="40"/>
      </w:pPr>
    </w:p>
    <w:p>
      <w:pPr>
        <w:spacing w:after="60" w:before="180"/>
      </w:pPr>
      <w:r>
        <w:rPr>
          <w:rFonts w:ascii="Arial" w:cs="Arial" w:eastAsia="Arial" w:hAnsi="Arial"/>
          <w:b/>
          <w:bCs/>
          <w:color w:val="0F1727"/>
          <w:sz w:val="24"/>
          <w:szCs w:val="24"/>
        </w:rPr>
        <w:t xml:space="preserve">Live output value on dashboard</w:t>
      </w:r>
    </w:p>
    <w:p>
      <w:pPr>
        <w:shd w:fill="E8D5F5" w:val="clear"/>
        <w:spacing w:after="40" w:before="40"/>
        <w:ind w:left="360"/>
      </w:pPr>
      <w:r>
        <w:rPr>
          <w:rFonts w:ascii="Arial" w:cs="Arial" w:eastAsia="Arial" w:hAnsi="Arial"/>
          <w:b/>
          <w:bCs/>
          <w:color w:val="4A1B6D"/>
          <w:sz w:val="24"/>
          <w:szCs w:val="24"/>
        </w:rPr>
        <w:t xml:space="preserve">  6.63 hrs  </w:t>
      </w:r>
    </w:p>
    <w:p>
      <w:pPr>
        <w:spacing w:after="40" w:before="40"/>
      </w:pPr>
    </w:p>
    <w:p>
      <w:pPr>
        <w:spacing w:after="60" w:before="180"/>
      </w:pPr>
      <w:r>
        <w:rPr>
          <w:rFonts w:ascii="Arial" w:cs="Arial" w:eastAsia="Arial" w:hAnsi="Arial"/>
          <w:b/>
          <w:bCs/>
          <w:color w:val="0F1727"/>
          <w:sz w:val="24"/>
          <w:szCs w:val="24"/>
        </w:rPr>
        <w:t xml:space="preserve">Important notes</w:t>
      </w:r>
    </w:p>
    <w:p>
      <w:pPr>
        <w:spacing w:after="40" w:before="40"/>
      </w:pPr>
      <w:r>
        <w:rPr>
          <w:rFonts w:ascii="Arial" w:cs="Arial" w:eastAsia="Arial" w:hAnsi="Arial"/>
          <w:color w:val="1A1A2E"/>
          <w:sz w:val="22"/>
          <w:szCs w:val="22"/>
        </w:rPr>
        <w:t xml:space="preserve">The dashboard insight panel flags this as "Below the recommended 8 hours for students" — this comparison is done via a subtitle text box, not a DAX rule.</w:t>
      </w:r>
    </w:p>
    <w:p>
      <w:pPr>
        <w:spacing w:after="60" w:before="60"/>
      </w:pPr>
    </w:p>
    <w:p>
      <w:pPr>
        <w:pBdr>
          <w:top w:val="none" w:sz="0" w:space="0" w:color="auto"/>
          <w:bottom w:val="none" w:sz="0" w:space="0" w:color="auto"/>
          <w:right w:val="none" w:sz="0" w:space="0" w:color="auto"/>
        </w:pBdr>
        <w:spacing w:after="120" w:before="120"/>
      </w:pPr>
    </w:p>
    <w:p>
      <w:pPr>
        <w:pBdr>
          <w:top w:val="none" w:sz="0" w:space="0" w:color="auto"/>
          <w:left w:val="single" w:color="F6C9E6" w:sz="20"/>
          <w:bottom w:val="none" w:sz="0" w:space="0" w:color="auto"/>
          <w:right w:val="none" w:sz="0" w:space="0" w:color="auto"/>
        </w:pBdr>
        <w:shd w:fill="4A1B6D" w:val="clear"/>
        <w:spacing w:after="0" w:before="240"/>
        <w:ind w:left="160"/>
      </w:pPr>
      <w:r>
        <w:rPr>
          <w:rFonts w:ascii="Arial" w:cs="Arial" w:eastAsia="Arial" w:hAnsi="Arial"/>
          <w:b/>
          <w:bCs/>
          <w:color w:val="F6C9E6"/>
          <w:sz w:val="28"/>
          <w:szCs w:val="28"/>
        </w:rPr>
        <w:t xml:space="preserve">6.  </w:t>
      </w:r>
      <w:r>
        <w:rPr>
          <w:rFonts w:ascii="Arial" w:cs="Arial" w:eastAsia="Arial" w:hAnsi="Arial"/>
          <w:b/>
          <w:bCs/>
          <w:color w:val="FFFFFF"/>
          <w:sz w:val="28"/>
          <w:szCs w:val="28"/>
        </w:rPr>
        <w:t xml:space="preserve">Mental Health Target</w:t>
      </w:r>
    </w:p>
    <w:p>
      <w:pPr>
        <w:shd w:fill="4A1B6D" w:val="clear"/>
        <w:spacing w:after="80" w:before="0"/>
        <w:ind w:left="160"/>
      </w:pPr>
      <w:r>
        <w:rPr>
          <w:rFonts w:ascii="Arial" w:cs="Arial" w:eastAsia="Arial" w:hAnsi="Arial"/>
          <w:color w:val="A0AEC0"/>
          <w:sz w:val="18"/>
          <w:szCs w:val="18"/>
        </w:rPr>
        <w:t xml:space="preserve">Category: Static Benchmark Measure   |   Used In: Gauge Chart — Mental Health Score vs Target</w:t>
      </w:r>
    </w:p>
    <w:p>
      <w:pPr>
        <w:spacing w:after="60" w:before="180"/>
      </w:pPr>
      <w:r>
        <w:rPr>
          <w:rFonts w:ascii="Arial" w:cs="Arial" w:eastAsia="Arial" w:hAnsi="Arial"/>
          <w:b/>
          <w:bCs/>
          <w:color w:val="0F1727"/>
          <w:sz w:val="24"/>
          <w:szCs w:val="24"/>
        </w:rPr>
        <w:t xml:space="preserve">What it does</w:t>
      </w:r>
    </w:p>
    <w:p>
      <w:pPr>
        <w:spacing w:after="40" w:before="40"/>
      </w:pPr>
      <w:r>
        <w:rPr>
          <w:rFonts w:ascii="Arial" w:cs="Arial" w:eastAsia="Arial" w:hAnsi="Arial"/>
          <w:color w:val="1A1A2E"/>
          <w:sz w:val="22"/>
          <w:szCs w:val="22"/>
        </w:rPr>
        <w:t xml:space="preserve">Defines a fixed target benchmark value for the mental health score. Used as the "goal" marker on the gauge chart to show whether students are above or below the healthy threshold.</w:t>
      </w:r>
    </w:p>
    <w:p>
      <w:pPr>
        <w:spacing w:after="40" w:before="40"/>
      </w:pPr>
    </w:p>
    <w:p>
      <w:pPr>
        <w:spacing w:after="60" w:before="180"/>
      </w:pPr>
      <w:r>
        <w:rPr>
          <w:rFonts w:ascii="Arial" w:cs="Arial" w:eastAsia="Arial" w:hAnsi="Arial"/>
          <w:b/>
          <w:bCs/>
          <w:color w:val="0F1727"/>
          <w:sz w:val="24"/>
          <w:szCs w:val="24"/>
        </w:rPr>
        <w:t xml:space="preserve">DAX Formula</w:t>
      </w:r>
    </w:p>
    <w:p>
      <w:pPr>
        <w:pBdr>
          <w:top w:val="none" w:sz="0" w:space="0" w:color="auto"/>
          <w:left w:val="single" w:color="7B2FBE" w:sz="12"/>
          <w:bottom w:val="none" w:sz="0" w:space="0" w:color="auto"/>
          <w:right w:val="none" w:sz="0" w:space="0" w:color="auto"/>
        </w:pBdr>
        <w:shd w:fill="1E1E2E" w:val="clear"/>
        <w:spacing w:after="80" w:before="80"/>
        <w:ind w:left="360"/>
      </w:pPr>
      <w:r>
        <w:rPr>
          <w:rFonts w:ascii="Courier New" w:cs="Courier New" w:eastAsia="Courier New" w:hAnsi="Courier New"/>
          <w:color w:val="C9D1D9"/>
          <w:sz w:val="20"/>
          <w:szCs w:val="20"/>
        </w:rPr>
        <w:t xml:space="preserve">Mental Health Target =</w:t>
        <w:br/>
        <w:t xml:space="preserve">    7</w:t>
      </w:r>
    </w:p>
    <w:p>
      <w:pPr>
        <w:spacing w:after="40" w:before="40"/>
      </w:pPr>
    </w:p>
    <w:p>
      <w:pPr>
        <w:spacing w:after="60" w:before="180"/>
      </w:pPr>
      <w:r>
        <w:rPr>
          <w:rFonts w:ascii="Arial" w:cs="Arial" w:eastAsia="Arial" w:hAnsi="Arial"/>
          <w:b/>
          <w:bCs/>
          <w:color w:val="0F1727"/>
          <w:sz w:val="24"/>
          <w:szCs w:val="24"/>
        </w:rPr>
        <w:t xml:space="preserve">Column(s) it reads from</w:t>
      </w:r>
    </w:p>
    <w:p>
      <w:pPr>
        <w:spacing w:after="20" w:before="20"/>
        <w:ind w:left="360"/>
      </w:pPr>
      <w:r>
        <w:rPr>
          <w:rFonts w:ascii="Arial" w:cs="Arial" w:eastAsia="Arial" w:hAnsi="Arial"/>
          <w:b/>
          <w:bCs/>
          <w:color w:val="7B2FBE"/>
          <w:sz w:val="22"/>
          <w:szCs w:val="22"/>
        </w:rPr>
        <w:t xml:space="preserve">•  </w:t>
      </w:r>
      <w:r>
        <w:rPr>
          <w:rFonts w:ascii="Courier New" w:cs="Courier New" w:eastAsia="Courier New" w:hAnsi="Courier New"/>
          <w:color w:val="1A1A2E"/>
          <w:sz w:val="22"/>
          <w:szCs w:val="22"/>
        </w:rPr>
        <w:t xml:space="preserve">None — this is a hardcoded constant</w:t>
      </w:r>
    </w:p>
    <w:p>
      <w:pPr>
        <w:spacing w:after="40" w:before="40"/>
      </w:pPr>
    </w:p>
    <w:p>
      <w:pPr>
        <w:spacing w:after="60" w:before="180"/>
      </w:pPr>
      <w:r>
        <w:rPr>
          <w:rFonts w:ascii="Arial" w:cs="Arial" w:eastAsia="Arial" w:hAnsi="Arial"/>
          <w:b/>
          <w:bCs/>
          <w:color w:val="0F1727"/>
          <w:sz w:val="24"/>
          <w:szCs w:val="24"/>
        </w:rPr>
        <w:t xml:space="preserve">Live output value on dashboard</w:t>
      </w:r>
    </w:p>
    <w:p>
      <w:pPr>
        <w:shd w:fill="E8D5F5" w:val="clear"/>
        <w:spacing w:after="40" w:before="40"/>
        <w:ind w:left="360"/>
      </w:pPr>
      <w:r>
        <w:rPr>
          <w:rFonts w:ascii="Arial" w:cs="Arial" w:eastAsia="Arial" w:hAnsi="Arial"/>
          <w:b/>
          <w:bCs/>
          <w:color w:val="4A1B6D"/>
          <w:sz w:val="24"/>
          <w:szCs w:val="24"/>
        </w:rPr>
        <w:t xml:space="preserve">  7.50 (as shown on gauge)  </w:t>
      </w:r>
    </w:p>
    <w:p>
      <w:pPr>
        <w:spacing w:after="40" w:before="40"/>
      </w:pPr>
    </w:p>
    <w:p>
      <w:pPr>
        <w:spacing w:after="60" w:before="180"/>
      </w:pPr>
      <w:r>
        <w:rPr>
          <w:rFonts w:ascii="Arial" w:cs="Arial" w:eastAsia="Arial" w:hAnsi="Arial"/>
          <w:b/>
          <w:bCs/>
          <w:color w:val="0F1727"/>
          <w:sz w:val="24"/>
          <w:szCs w:val="24"/>
        </w:rPr>
        <w:t xml:space="preserve">Important notes</w:t>
      </w:r>
    </w:p>
    <w:p>
      <w:pPr>
        <w:spacing w:after="40" w:before="40"/>
      </w:pPr>
      <w:r>
        <w:rPr>
          <w:rFonts w:ascii="Arial" w:cs="Arial" w:eastAsia="Arial" w:hAnsi="Arial"/>
          <w:color w:val="1A1A2E"/>
          <w:sz w:val="22"/>
          <w:szCs w:val="22"/>
        </w:rPr>
        <w:t xml:space="preserve">This is a static measure returning the number 7. It is used as the TargetValue field in the gauge visual. The gauge displays current score (6.23) versus this target (7.50), making the gap immediately visible.</w:t>
      </w:r>
    </w:p>
    <w:p>
      <w:pPr>
        <w:spacing w:after="60" w:before="60"/>
      </w:pPr>
    </w:p>
    <w:p>
      <w:pPr>
        <w:pBdr>
          <w:top w:val="none" w:sz="0" w:space="0" w:color="auto"/>
          <w:bottom w:val="none" w:sz="0" w:space="0" w:color="auto"/>
          <w:right w:val="none" w:sz="0" w:space="0" w:color="auto"/>
        </w:pBdr>
        <w:spacing w:after="120" w:before="120"/>
      </w:pPr>
    </w:p>
    <w:p>
      <w:pPr>
        <w:pBdr>
          <w:top w:val="none" w:sz="0" w:space="0" w:color="auto"/>
          <w:left w:val="single" w:color="F6C9E6" w:sz="20"/>
          <w:bottom w:val="none" w:sz="0" w:space="0" w:color="auto"/>
          <w:right w:val="none" w:sz="0" w:space="0" w:color="auto"/>
        </w:pBdr>
        <w:shd w:fill="4A1B6D" w:val="clear"/>
        <w:spacing w:after="0" w:before="240"/>
        <w:ind w:left="160"/>
      </w:pPr>
      <w:r>
        <w:rPr>
          <w:rFonts w:ascii="Arial" w:cs="Arial" w:eastAsia="Arial" w:hAnsi="Arial"/>
          <w:b/>
          <w:bCs/>
          <w:color w:val="F6C9E6"/>
          <w:sz w:val="28"/>
          <w:szCs w:val="28"/>
        </w:rPr>
        <w:t xml:space="preserve">7.  </w:t>
      </w:r>
      <w:r>
        <w:rPr>
          <w:rFonts w:ascii="Arial" w:cs="Arial" w:eastAsia="Arial" w:hAnsi="Arial"/>
          <w:b/>
          <w:bCs/>
          <w:color w:val="FFFFFF"/>
          <w:sz w:val="28"/>
          <w:szCs w:val="28"/>
        </w:rPr>
        <w:t xml:space="preserve">Stress % by Level</w:t>
      </w:r>
    </w:p>
    <w:p>
      <w:pPr>
        <w:shd w:fill="4A1B6D" w:val="clear"/>
        <w:spacing w:after="80" w:before="0"/>
        <w:ind w:left="160"/>
      </w:pPr>
      <w:r>
        <w:rPr>
          <w:rFonts w:ascii="Arial" w:cs="Arial" w:eastAsia="Arial" w:hAnsi="Arial"/>
          <w:color w:val="A0AEC0"/>
          <w:sz w:val="18"/>
          <w:szCs w:val="18"/>
        </w:rPr>
        <w:t xml:space="preserve">Category: Percentage Measure (Context-Dependent)   |   Used In: Donut Chart — Students by Stress Level</w:t>
      </w:r>
    </w:p>
    <w:p>
      <w:pPr>
        <w:spacing w:after="60" w:before="180"/>
      </w:pPr>
      <w:r>
        <w:rPr>
          <w:rFonts w:ascii="Arial" w:cs="Arial" w:eastAsia="Arial" w:hAnsi="Arial"/>
          <w:b/>
          <w:bCs/>
          <w:color w:val="0F1727"/>
          <w:sz w:val="24"/>
          <w:szCs w:val="24"/>
        </w:rPr>
        <w:t xml:space="preserve">What it does</w:t>
      </w:r>
    </w:p>
    <w:p>
      <w:pPr>
        <w:spacing w:after="40" w:before="40"/>
      </w:pPr>
      <w:r>
        <w:rPr>
          <w:rFonts w:ascii="Arial" w:cs="Arial" w:eastAsia="Arial" w:hAnsi="Arial"/>
          <w:color w:val="1A1A2E"/>
          <w:sz w:val="22"/>
          <w:szCs w:val="22"/>
        </w:rPr>
        <w:t xml:space="preserve">Calculates what percentage of the total students fall into each stress level category. This measure changes dynamically based on which stress_level slice is being evaluated by the donut chart.</w:t>
      </w:r>
    </w:p>
    <w:p>
      <w:pPr>
        <w:spacing w:after="40" w:before="40"/>
      </w:pPr>
    </w:p>
    <w:p>
      <w:pPr>
        <w:spacing w:after="60" w:before="180"/>
      </w:pPr>
      <w:r>
        <w:rPr>
          <w:rFonts w:ascii="Arial" w:cs="Arial" w:eastAsia="Arial" w:hAnsi="Arial"/>
          <w:b/>
          <w:bCs/>
          <w:color w:val="0F1727"/>
          <w:sz w:val="24"/>
          <w:szCs w:val="24"/>
        </w:rPr>
        <w:t xml:space="preserve">DAX Formula</w:t>
      </w:r>
    </w:p>
    <w:p>
      <w:pPr>
        <w:pBdr>
          <w:top w:val="none" w:sz="0" w:space="0" w:color="auto"/>
          <w:left w:val="single" w:color="7B2FBE" w:sz="12"/>
          <w:bottom w:val="none" w:sz="0" w:space="0" w:color="auto"/>
          <w:right w:val="none" w:sz="0" w:space="0" w:color="auto"/>
        </w:pBdr>
        <w:shd w:fill="1E1E2E" w:val="clear"/>
        <w:spacing w:after="80" w:before="80"/>
        <w:ind w:left="360"/>
      </w:pPr>
      <w:r>
        <w:rPr>
          <w:rFonts w:ascii="Courier New" w:cs="Courier New" w:eastAsia="Courier New" w:hAnsi="Courier New"/>
          <w:color w:val="C9D1D9"/>
          <w:sz w:val="20"/>
          <w:szCs w:val="20"/>
        </w:rPr>
        <w:t xml:space="preserve">Stress % by Level =</w:t>
        <w:br/>
        <w:t xml:space="preserve">    DIVIDE(</w:t>
        <w:br/>
        <w:t xml:space="preserve">        COUNTROWS('public students_data'),</w:t>
        <w:br/>
        <w:t xml:space="preserve">        CALCULATE(</w:t>
        <w:br/>
        <w:t xml:space="preserve">            COUNTROWS('public students_data'),</w:t>
        <w:br/>
        <w:t xml:space="preserve">            ALL('public students_data'[stress_level])</w:t>
        <w:br/>
        <w:t xml:space="preserve">        ),</w:t>
        <w:br/>
        <w:t xml:space="preserve">        0</w:t>
        <w:br/>
        <w:t xml:space="preserve">    ) * 100</w:t>
      </w:r>
    </w:p>
    <w:p>
      <w:pPr>
        <w:spacing w:after="40" w:before="40"/>
      </w:pPr>
    </w:p>
    <w:p>
      <w:pPr>
        <w:spacing w:after="60" w:before="180"/>
      </w:pPr>
      <w:r>
        <w:rPr>
          <w:rFonts w:ascii="Arial" w:cs="Arial" w:eastAsia="Arial" w:hAnsi="Arial"/>
          <w:b/>
          <w:bCs/>
          <w:color w:val="0F1727"/>
          <w:sz w:val="24"/>
          <w:szCs w:val="24"/>
        </w:rPr>
        <w:t xml:space="preserve">Column(s) it reads from</w:t>
      </w:r>
    </w:p>
    <w:p>
      <w:pPr>
        <w:spacing w:after="20" w:before="20"/>
        <w:ind w:left="360"/>
      </w:pPr>
      <w:r>
        <w:rPr>
          <w:rFonts w:ascii="Arial" w:cs="Arial" w:eastAsia="Arial" w:hAnsi="Arial"/>
          <w:b/>
          <w:bCs/>
          <w:color w:val="7B2FBE"/>
          <w:sz w:val="22"/>
          <w:szCs w:val="22"/>
        </w:rPr>
        <w:t xml:space="preserve">•  </w:t>
      </w:r>
      <w:r>
        <w:rPr>
          <w:rFonts w:ascii="Courier New" w:cs="Courier New" w:eastAsia="Courier New" w:hAnsi="Courier New"/>
          <w:color w:val="1A1A2E"/>
          <w:sz w:val="22"/>
          <w:szCs w:val="22"/>
        </w:rPr>
        <w:t xml:space="preserve">stress_level</w:t>
      </w:r>
    </w:p>
    <w:p>
      <w:pPr>
        <w:spacing w:after="40" w:before="40"/>
      </w:pPr>
    </w:p>
    <w:p>
      <w:pPr>
        <w:spacing w:after="60" w:before="180"/>
      </w:pPr>
      <w:r>
        <w:rPr>
          <w:rFonts w:ascii="Arial" w:cs="Arial" w:eastAsia="Arial" w:hAnsi="Arial"/>
          <w:b/>
          <w:bCs/>
          <w:color w:val="0F1727"/>
          <w:sz w:val="24"/>
          <w:szCs w:val="24"/>
        </w:rPr>
        <w:t xml:space="preserve">Live output value on dashboard</w:t>
      </w:r>
    </w:p>
    <w:p>
      <w:pPr>
        <w:shd w:fill="E8D5F5" w:val="clear"/>
        <w:spacing w:after="40" w:before="40"/>
        <w:ind w:left="360"/>
      </w:pPr>
      <w:r>
        <w:rPr>
          <w:rFonts w:ascii="Arial" w:cs="Arial" w:eastAsia="Arial" w:hAnsi="Arial"/>
          <w:b/>
          <w:bCs/>
          <w:color w:val="4A1B6D"/>
          <w:sz w:val="24"/>
          <w:szCs w:val="24"/>
        </w:rPr>
        <w:t xml:space="preserve">  Low 13% | Medium 26% | High 29% | Very High 32%  </w:t>
      </w:r>
    </w:p>
    <w:p>
      <w:pPr>
        <w:spacing w:after="40" w:before="40"/>
      </w:pPr>
    </w:p>
    <w:p>
      <w:pPr>
        <w:spacing w:after="60" w:before="180"/>
      </w:pPr>
      <w:r>
        <w:rPr>
          <w:rFonts w:ascii="Arial" w:cs="Arial" w:eastAsia="Arial" w:hAnsi="Arial"/>
          <w:b/>
          <w:bCs/>
          <w:color w:val="0F1727"/>
          <w:sz w:val="24"/>
          <w:szCs w:val="24"/>
        </w:rPr>
        <w:t xml:space="preserve">Important notes</w:t>
      </w:r>
    </w:p>
    <w:p>
      <w:pPr>
        <w:spacing w:after="40" w:before="40"/>
      </w:pPr>
      <w:r>
        <w:rPr>
          <w:rFonts w:ascii="Arial" w:cs="Arial" w:eastAsia="Arial" w:hAnsi="Arial"/>
          <w:color w:val="1A1A2E"/>
          <w:sz w:val="22"/>
          <w:szCs w:val="22"/>
        </w:rPr>
        <w:t xml:space="preserve">The ALL() function removes the stress_level filter context so the denominator always returns the full student count. Without ALL(), both numerator and denominator would be filtered by the same category, always returning 100%.</w:t>
      </w:r>
    </w:p>
    <w:p>
      <w:pPr>
        <w:spacing w:after="60" w:before="60"/>
      </w:pPr>
    </w:p>
    <w:p>
      <w:r>
        <w:br w:type="page"/>
      </w:r>
    </w:p>
    <w:p>
      <w:pPr>
        <w:pStyle w:val="Heading1"/>
        <w:pBdr>
          <w:top w:val="none" w:sz="0" w:space="0" w:color="auto"/>
          <w:bottom w:val="none" w:sz="0" w:space="0" w:color="auto"/>
          <w:right w:val="none" w:sz="0" w:space="0" w:color="auto"/>
        </w:pBdr>
        <w:spacing w:after="120" w:before="320"/>
      </w:pPr>
      <w:r>
        <w:rPr>
          <w:rFonts w:ascii="Arial" w:cs="Arial" w:eastAsia="Arial" w:hAnsi="Arial"/>
          <w:b/>
          <w:bCs/>
          <w:color w:val="4A1B6D"/>
          <w:sz w:val="36"/>
          <w:szCs w:val="36"/>
        </w:rPr>
        <w:t xml:space="preserve">Section 4 — Quick Reference Cheat Sheet</w:t>
      </w:r>
    </w:p>
    <w:p>
      <w:pPr>
        <w:spacing w:after="40" w:before="40"/>
      </w:pPr>
      <w:r>
        <w:rPr>
          <w:rFonts w:ascii="Arial" w:cs="Arial" w:eastAsia="Arial" w:hAnsi="Arial"/>
          <w:color w:val="1A1A2E"/>
          <w:sz w:val="22"/>
          <w:szCs w:val="22"/>
        </w:rPr>
        <w:t xml:space="preserve">Use this section as a one-page reference during meetings, reviews, or dashboard walkthroughs.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1200"/>
        <w:gridCol w:w="1960"/>
      </w:tblGrid>
      <w:tr>
        <w:trPr>
          <w:tblHeader/>
        </w:trPr>
        <w:tc>
          <w:tcPr>
            <w:tcW w:type="dxa" w:w="2400"/>
            <w:tcBorders>
              <w:top w:val="single" w:color="DDDDE8" w:sz="1"/>
              <w:left w:val="single" w:color="DDDDE8" w:sz="1"/>
              <w:bottom w:val="single" w:color="DDDDE8" w:sz="1"/>
              <w:right w:val="single" w:color="DDDDE8" w:sz="1"/>
            </w:tcBorders>
            <w:shd w:fill="4A1B6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Measure Name</w:t>
            </w:r>
          </w:p>
        </w:tc>
        <w:tc>
          <w:tcPr>
            <w:tcW w:type="dxa" w:w="1600"/>
            <w:tcBorders>
              <w:top w:val="single" w:color="DDDDE8" w:sz="1"/>
              <w:left w:val="single" w:color="DDDDE8" w:sz="1"/>
              <w:bottom w:val="single" w:color="DDDDE8" w:sz="1"/>
              <w:right w:val="single" w:color="DDDDE8" w:sz="1"/>
            </w:tcBorders>
            <w:shd w:fill="4A1B6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Formula Type</w:t>
            </w:r>
          </w:p>
        </w:tc>
        <w:tc>
          <w:tcPr>
            <w:tcW w:type="dxa" w:w="2200"/>
            <w:tcBorders>
              <w:top w:val="single" w:color="DDDDE8" w:sz="1"/>
              <w:left w:val="single" w:color="DDDDE8" w:sz="1"/>
              <w:bottom w:val="single" w:color="DDDDE8" w:sz="1"/>
              <w:right w:val="single" w:color="DDDDE8" w:sz="1"/>
            </w:tcBorders>
            <w:shd w:fill="4A1B6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Function Used</w:t>
            </w:r>
          </w:p>
        </w:tc>
        <w:tc>
          <w:tcPr>
            <w:tcW w:type="dxa" w:w="1200"/>
            <w:tcBorders>
              <w:top w:val="single" w:color="DDDDE8" w:sz="1"/>
              <w:left w:val="single" w:color="DDDDE8" w:sz="1"/>
              <w:bottom w:val="single" w:color="DDDDE8" w:sz="1"/>
              <w:right w:val="single" w:color="DDDDE8" w:sz="1"/>
            </w:tcBorders>
            <w:shd w:fill="4A1B6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Returns</w:t>
            </w:r>
          </w:p>
        </w:tc>
        <w:tc>
          <w:tcPr>
            <w:tcW w:type="dxa" w:w="1960"/>
            <w:tcBorders>
              <w:top w:val="single" w:color="DDDDE8" w:sz="1"/>
              <w:left w:val="single" w:color="DDDDE8" w:sz="1"/>
              <w:bottom w:val="single" w:color="DDDDE8" w:sz="1"/>
              <w:right w:val="single" w:color="DDDDE8" w:sz="1"/>
            </w:tcBorders>
            <w:shd w:fill="4A1B6D"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Visual</w:t>
            </w:r>
          </w:p>
        </w:tc>
      </w:tr>
      <w:tr>
        <w:trPr>
          <w:tblHeader w:val="false"/>
        </w:trPr>
        <w:tc>
          <w:tcPr>
            <w:tcW w:type="dxa" w:w="24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bCs/>
                <w:color w:val="7B2FBE"/>
                <w:sz w:val="20"/>
                <w:szCs w:val="20"/>
              </w:rPr>
              <w:t xml:space="preserve">Total Students</w:t>
            </w:r>
          </w:p>
        </w:tc>
        <w:tc>
          <w:tcPr>
            <w:tcW w:type="dxa" w:w="16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Count</w:t>
            </w:r>
          </w:p>
        </w:tc>
        <w:tc>
          <w:tcPr>
            <w:tcW w:type="dxa" w:w="2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COUNTROWS()</w:t>
            </w:r>
          </w:p>
        </w:tc>
        <w:tc>
          <w:tcPr>
            <w:tcW w:type="dxa" w:w="1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5,000</w:t>
            </w:r>
          </w:p>
        </w:tc>
        <w:tc>
          <w:tcPr>
            <w:tcW w:type="dxa" w:w="196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KPI Card</w:t>
            </w:r>
          </w:p>
        </w:tc>
      </w:tr>
      <w:tr>
        <w:trPr>
          <w:tblHeader w:val="false"/>
        </w:trPr>
        <w:tc>
          <w:tcPr>
            <w:tcW w:type="dxa" w:w="24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bCs/>
                <w:color w:val="7B2FBE"/>
                <w:sz w:val="20"/>
                <w:szCs w:val="20"/>
              </w:rPr>
              <w:t xml:space="preserve">High Stress Rate %</w:t>
            </w:r>
          </w:p>
        </w:tc>
        <w:tc>
          <w:tcPr>
            <w:tcW w:type="dxa" w:w="16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Percentage</w:t>
            </w:r>
          </w:p>
        </w:tc>
        <w:tc>
          <w:tcPr>
            <w:tcW w:type="dxa" w:w="2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CALCULATE() + DIVIDE()</w:t>
            </w:r>
          </w:p>
        </w:tc>
        <w:tc>
          <w:tcPr>
            <w:tcW w:type="dxa" w:w="1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61.22%</w:t>
            </w:r>
          </w:p>
        </w:tc>
        <w:tc>
          <w:tcPr>
            <w:tcW w:type="dxa" w:w="19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KPI Card</w:t>
            </w:r>
          </w:p>
        </w:tc>
      </w:tr>
      <w:tr>
        <w:trPr>
          <w:tblHeader w:val="false"/>
        </w:trPr>
        <w:tc>
          <w:tcPr>
            <w:tcW w:type="dxa" w:w="24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bCs/>
                <w:color w:val="7B2FBE"/>
                <w:sz w:val="20"/>
                <w:szCs w:val="20"/>
              </w:rPr>
              <w:t xml:space="preserve">Avg Daily Usage Hours</w:t>
            </w:r>
          </w:p>
        </w:tc>
        <w:tc>
          <w:tcPr>
            <w:tcW w:type="dxa" w:w="16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Average</w:t>
            </w:r>
          </w:p>
        </w:tc>
        <w:tc>
          <w:tcPr>
            <w:tcW w:type="dxa" w:w="2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AVERAGE()</w:t>
            </w:r>
          </w:p>
        </w:tc>
        <w:tc>
          <w:tcPr>
            <w:tcW w:type="dxa" w:w="1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5.08</w:t>
            </w:r>
          </w:p>
        </w:tc>
        <w:tc>
          <w:tcPr>
            <w:tcW w:type="dxa" w:w="196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KPI Card</w:t>
            </w:r>
          </w:p>
        </w:tc>
      </w:tr>
      <w:tr>
        <w:trPr>
          <w:tblHeader w:val="false"/>
        </w:trPr>
        <w:tc>
          <w:tcPr>
            <w:tcW w:type="dxa" w:w="24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bCs/>
                <w:color w:val="7B2FBE"/>
                <w:sz w:val="20"/>
                <w:szCs w:val="20"/>
              </w:rPr>
              <w:t xml:space="preserve">Avg Mental Health Score</w:t>
            </w:r>
          </w:p>
        </w:tc>
        <w:tc>
          <w:tcPr>
            <w:tcW w:type="dxa" w:w="16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Average</w:t>
            </w:r>
          </w:p>
        </w:tc>
        <w:tc>
          <w:tcPr>
            <w:tcW w:type="dxa" w:w="2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AVERAGE()</w:t>
            </w:r>
          </w:p>
        </w:tc>
        <w:tc>
          <w:tcPr>
            <w:tcW w:type="dxa" w:w="1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6.23</w:t>
            </w:r>
          </w:p>
        </w:tc>
        <w:tc>
          <w:tcPr>
            <w:tcW w:type="dxa" w:w="19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KPI Card + Gauge</w:t>
            </w:r>
          </w:p>
        </w:tc>
      </w:tr>
      <w:tr>
        <w:trPr>
          <w:tblHeader w:val="false"/>
        </w:trPr>
        <w:tc>
          <w:tcPr>
            <w:tcW w:type="dxa" w:w="24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bCs/>
                <w:color w:val="7B2FBE"/>
                <w:sz w:val="20"/>
                <w:szCs w:val="20"/>
              </w:rPr>
              <w:t xml:space="preserve">Avg Sleep Hours</w:t>
            </w:r>
          </w:p>
        </w:tc>
        <w:tc>
          <w:tcPr>
            <w:tcW w:type="dxa" w:w="16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Average</w:t>
            </w:r>
          </w:p>
        </w:tc>
        <w:tc>
          <w:tcPr>
            <w:tcW w:type="dxa" w:w="2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AVERAGE()</w:t>
            </w:r>
          </w:p>
        </w:tc>
        <w:tc>
          <w:tcPr>
            <w:tcW w:type="dxa" w:w="1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6.63</w:t>
            </w:r>
          </w:p>
        </w:tc>
        <w:tc>
          <w:tcPr>
            <w:tcW w:type="dxa" w:w="196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KPI Card</w:t>
            </w:r>
          </w:p>
        </w:tc>
      </w:tr>
      <w:tr>
        <w:trPr>
          <w:tblHeader w:val="false"/>
        </w:trPr>
        <w:tc>
          <w:tcPr>
            <w:tcW w:type="dxa" w:w="24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bCs/>
                <w:color w:val="7B2FBE"/>
                <w:sz w:val="20"/>
                <w:szCs w:val="20"/>
              </w:rPr>
              <w:t xml:space="preserve">Mental Health Target</w:t>
            </w:r>
          </w:p>
        </w:tc>
        <w:tc>
          <w:tcPr>
            <w:tcW w:type="dxa" w:w="16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Static Constant</w:t>
            </w:r>
          </w:p>
        </w:tc>
        <w:tc>
          <w:tcPr>
            <w:tcW w:type="dxa" w:w="2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Hardcoded value</w:t>
            </w:r>
          </w:p>
        </w:tc>
        <w:tc>
          <w:tcPr>
            <w:tcW w:type="dxa" w:w="120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7</w:t>
            </w:r>
          </w:p>
        </w:tc>
        <w:tc>
          <w:tcPr>
            <w:tcW w:type="dxa" w:w="1960"/>
            <w:tcBorders>
              <w:top w:val="single" w:color="DDDDE8" w:sz="1"/>
              <w:left w:val="single" w:color="DDDDE8" w:sz="1"/>
              <w:bottom w:val="single" w:color="DDDDE8" w:sz="1"/>
              <w:right w:val="single" w:color="DDDDE8"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Gauge</w:t>
            </w:r>
          </w:p>
        </w:tc>
      </w:tr>
      <w:tr>
        <w:trPr>
          <w:tblHeader w:val="false"/>
        </w:trPr>
        <w:tc>
          <w:tcPr>
            <w:tcW w:type="dxa" w:w="24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bCs/>
                <w:color w:val="7B2FBE"/>
                <w:sz w:val="20"/>
                <w:szCs w:val="20"/>
              </w:rPr>
              <w:t xml:space="preserve">Stress % by Level</w:t>
            </w:r>
          </w:p>
        </w:tc>
        <w:tc>
          <w:tcPr>
            <w:tcW w:type="dxa" w:w="16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Context %</w:t>
            </w:r>
          </w:p>
        </w:tc>
        <w:tc>
          <w:tcPr>
            <w:tcW w:type="dxa" w:w="2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DIVIDE() + ALL()</w:t>
            </w:r>
          </w:p>
        </w:tc>
        <w:tc>
          <w:tcPr>
            <w:tcW w:type="dxa" w:w="120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13/26/29/32%</w:t>
            </w:r>
          </w:p>
        </w:tc>
        <w:tc>
          <w:tcPr>
            <w:tcW w:type="dxa" w:w="1960"/>
            <w:tcBorders>
              <w:top w:val="single" w:color="DDDDE8" w:sz="1"/>
              <w:left w:val="single" w:color="DDDDE8" w:sz="1"/>
              <w:bottom w:val="single" w:color="DDDDE8" w:sz="1"/>
              <w:right w:val="single" w:color="DDDDE8" w:sz="1"/>
            </w:tcBorders>
            <w:shd w:fill="F4F4F8"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Donut Chart</w:t>
            </w:r>
          </w:p>
        </w:tc>
      </w:tr>
    </w:tbl>
    <w:p>
      <w:pPr>
        <w:spacing w:after="160" w:before="160"/>
      </w:pPr>
    </w:p>
    <w:p>
      <w:pPr>
        <w:pStyle w:val="Heading1"/>
        <w:pBdr>
          <w:top w:val="none" w:sz="0" w:space="0" w:color="auto"/>
          <w:bottom w:val="none" w:sz="0" w:space="0" w:color="auto"/>
          <w:right w:val="none" w:sz="0" w:space="0" w:color="auto"/>
        </w:pBdr>
        <w:spacing w:after="120" w:before="320"/>
      </w:pPr>
      <w:r>
        <w:rPr>
          <w:rFonts w:ascii="Arial" w:cs="Arial" w:eastAsia="Arial" w:hAnsi="Arial"/>
          <w:b/>
          <w:bCs/>
          <w:color w:val="4A1B6D"/>
          <w:sz w:val="36"/>
          <w:szCs w:val="36"/>
        </w:rPr>
        <w:t xml:space="preserve">Section 5 — DAX Functions Used (Glossary)</w:t>
      </w:r>
    </w:p>
    <w:p>
      <w:pPr>
        <w:spacing w:after="40" w:before="40"/>
      </w:pPr>
      <w:r>
        <w:rPr>
          <w:rFonts w:ascii="Arial" w:cs="Arial" w:eastAsia="Arial" w:hAnsi="Arial"/>
          <w:color w:val="1A1A2E"/>
          <w:sz w:val="22"/>
          <w:szCs w:val="22"/>
        </w:rPr>
        <w:t xml:space="preserve">A plain-English explanation of every DAX function that appears in this dashboard's measures.</w:t>
      </w:r>
    </w:p>
    <w:p>
      <w:pPr>
        <w:spacing w:after="80" w:before="80"/>
      </w:pPr>
    </w:p>
    <w:p>
      <w:pPr>
        <w:spacing w:after="20" w:before="100"/>
      </w:pPr>
      <w:r>
        <w:rPr>
          <w:rFonts w:ascii="Courier New" w:cs="Courier New" w:eastAsia="Courier New" w:hAnsi="Courier New"/>
          <w:b/>
          <w:bCs/>
          <w:color w:val="7B2FBE"/>
          <w:sz w:val="22"/>
          <w:szCs w:val="22"/>
        </w:rPr>
        <w:t xml:space="preserve">COUNTROWS()</w:t>
      </w:r>
    </w:p>
    <w:p>
      <w:pPr>
        <w:spacing w:after="80" w:before="0"/>
        <w:ind w:left="360"/>
      </w:pPr>
      <w:r>
        <w:rPr>
          <w:rFonts w:ascii="Arial" w:cs="Arial" w:eastAsia="Arial" w:hAnsi="Arial"/>
          <w:color w:val="1A1A2E"/>
          <w:sz w:val="22"/>
          <w:szCs w:val="22"/>
        </w:rPr>
        <w:t xml:space="preserve">Counts the total number of rows in a table. Used here to count students.</w:t>
      </w:r>
    </w:p>
    <w:p>
      <w:pPr>
        <w:spacing w:after="20" w:before="100"/>
      </w:pPr>
      <w:r>
        <w:rPr>
          <w:rFonts w:ascii="Courier New" w:cs="Courier New" w:eastAsia="Courier New" w:hAnsi="Courier New"/>
          <w:b/>
          <w:bCs/>
          <w:color w:val="7B2FBE"/>
          <w:sz w:val="22"/>
          <w:szCs w:val="22"/>
        </w:rPr>
        <w:t xml:space="preserve">CALCULATE()</w:t>
      </w:r>
    </w:p>
    <w:p>
      <w:pPr>
        <w:spacing w:after="80" w:before="0"/>
        <w:ind w:left="360"/>
      </w:pPr>
      <w:r>
        <w:rPr>
          <w:rFonts w:ascii="Arial" w:cs="Arial" w:eastAsia="Arial" w:hAnsi="Arial"/>
          <w:color w:val="1A1A2E"/>
          <w:sz w:val="22"/>
          <w:szCs w:val="22"/>
        </w:rPr>
        <w:t xml:space="preserve">Re-evaluates a measure or expression under a modified filter context. Used to count only High/Very High stress students.</w:t>
      </w:r>
    </w:p>
    <w:p>
      <w:pPr>
        <w:spacing w:after="20" w:before="100"/>
      </w:pPr>
      <w:r>
        <w:rPr>
          <w:rFonts w:ascii="Courier New" w:cs="Courier New" w:eastAsia="Courier New" w:hAnsi="Courier New"/>
          <w:b/>
          <w:bCs/>
          <w:color w:val="7B2FBE"/>
          <w:sz w:val="22"/>
          <w:szCs w:val="22"/>
        </w:rPr>
        <w:t xml:space="preserve">AVERAGE()</w:t>
      </w:r>
    </w:p>
    <w:p>
      <w:pPr>
        <w:spacing w:after="80" w:before="0"/>
        <w:ind w:left="360"/>
      </w:pPr>
      <w:r>
        <w:rPr>
          <w:rFonts w:ascii="Arial" w:cs="Arial" w:eastAsia="Arial" w:hAnsi="Arial"/>
          <w:color w:val="1A1A2E"/>
          <w:sz w:val="22"/>
          <w:szCs w:val="22"/>
        </w:rPr>
        <w:t xml:space="preserve">Returns the arithmetic mean of a numeric column. Used for mental health score, sleep hours, and usage hours.</w:t>
      </w:r>
    </w:p>
    <w:p>
      <w:pPr>
        <w:spacing w:after="20" w:before="100"/>
      </w:pPr>
      <w:r>
        <w:rPr>
          <w:rFonts w:ascii="Courier New" w:cs="Courier New" w:eastAsia="Courier New" w:hAnsi="Courier New"/>
          <w:b/>
          <w:bCs/>
          <w:color w:val="7B2FBE"/>
          <w:sz w:val="22"/>
          <w:szCs w:val="22"/>
        </w:rPr>
        <w:t xml:space="preserve">DIVIDE()</w:t>
      </w:r>
    </w:p>
    <w:p>
      <w:pPr>
        <w:spacing w:after="80" w:before="0"/>
        <w:ind w:left="360"/>
      </w:pPr>
      <w:r>
        <w:rPr>
          <w:rFonts w:ascii="Arial" w:cs="Arial" w:eastAsia="Arial" w:hAnsi="Arial"/>
          <w:color w:val="1A1A2E"/>
          <w:sz w:val="22"/>
          <w:szCs w:val="22"/>
        </w:rPr>
        <w:t xml:space="preserve">Safely divides two numbers. If the denominator is zero it returns 0 (or a specified alternate) instead of crashing. Used in all percentage measures.</w:t>
      </w:r>
    </w:p>
    <w:p>
      <w:pPr>
        <w:spacing w:after="20" w:before="100"/>
      </w:pPr>
      <w:r>
        <w:rPr>
          <w:rFonts w:ascii="Courier New" w:cs="Courier New" w:eastAsia="Courier New" w:hAnsi="Courier New"/>
          <w:b/>
          <w:bCs/>
          <w:color w:val="7B2FBE"/>
          <w:sz w:val="22"/>
          <w:szCs w:val="22"/>
        </w:rPr>
        <w:t xml:space="preserve">ALL()</w:t>
      </w:r>
    </w:p>
    <w:p>
      <w:pPr>
        <w:spacing w:after="80" w:before="0"/>
        <w:ind w:left="360"/>
      </w:pPr>
      <w:r>
        <w:rPr>
          <w:rFonts w:ascii="Arial" w:cs="Arial" w:eastAsia="Arial" w:hAnsi="Arial"/>
          <w:color w:val="1A1A2E"/>
          <w:sz w:val="22"/>
          <w:szCs w:val="22"/>
        </w:rPr>
        <w:t xml:space="preserve">Removes all filters from a column or table. Used in Stress % by Level so the denominator always reflects the total student count, not just the current category.</w:t>
      </w:r>
    </w:p>
    <w:p>
      <w:pPr>
        <w:spacing w:after="20" w:before="100"/>
      </w:pPr>
      <w:r>
        <w:rPr>
          <w:rFonts w:ascii="Courier New" w:cs="Courier New" w:eastAsia="Courier New" w:hAnsi="Courier New"/>
          <w:b/>
          <w:bCs/>
          <w:color w:val="7B2FBE"/>
          <w:sz w:val="22"/>
          <w:szCs w:val="22"/>
        </w:rPr>
        <w:t xml:space="preserve">VAR / RETURN</w:t>
      </w:r>
    </w:p>
    <w:p>
      <w:pPr>
        <w:spacing w:after="80" w:before="0"/>
        <w:ind w:left="360"/>
      </w:pPr>
      <w:r>
        <w:rPr>
          <w:rFonts w:ascii="Arial" w:cs="Arial" w:eastAsia="Arial" w:hAnsi="Arial"/>
          <w:color w:val="1A1A2E"/>
          <w:sz w:val="22"/>
          <w:szCs w:val="22"/>
        </w:rPr>
        <w:t xml:space="preserve">Declares a variable (VAR) and returns its value (RETURN). Keeps complex measures readable by storing intermediate results.</w:t>
      </w:r>
    </w:p>
    <w:p>
      <w:pPr>
        <w:spacing w:after="160" w:before="160"/>
      </w:pPr>
    </w:p>
    <w:p>
      <w:pPr>
        <w:pBdr>
          <w:top w:val="none" w:sz="0" w:space="0" w:color="auto"/>
          <w:bottom w:val="none" w:sz="0" w:space="0" w:color="auto"/>
          <w:right w:val="none" w:sz="0" w:space="0" w:color="auto"/>
        </w:pBdr>
        <w:shd w:fill="F4F4F8" w:val="clear"/>
        <w:spacing w:after="0" w:before="120"/>
        <w:jc w:val="center"/>
      </w:pPr>
      <w:r>
        <w:rPr>
          <w:rFonts w:ascii="Arial" w:cs="Arial" w:eastAsia="Arial" w:hAnsi="Arial"/>
          <w:color w:val="6B6B8A"/>
          <w:sz w:val="18"/>
          <w:szCs w:val="18"/>
        </w:rPr>
        <w:t xml:space="preserve">Prepared by Manish Bisht  |  Power BI Dashboard: Digital Habits &amp; Mental Health Overview  |  June 2025</w:t>
      </w:r>
    </w:p>
    <w:p>
      <w:pPr>
        <w:shd w:fill="F4F4F8" w:val="clear"/>
        <w:jc w:val="center"/>
      </w:pPr>
      <w:r>
        <w:rPr>
          <w:rFonts w:ascii="Arial" w:cs="Arial" w:eastAsia="Arial" w:hAnsi="Arial"/>
          <w:color w:val="6B6B8A"/>
          <w:sz w:val="18"/>
          <w:szCs w:val="18"/>
        </w:rPr>
        <w:t xml:space="preserve">Tools: Power BI Desktop  |  DAX  |  Power Query  |  Dataset: Kaggle — Student Mental Health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4" w:space="4"/>
      </w:pBdr>
      <w:jc w:val="right"/>
    </w:pPr>
    <w:r>
      <w:rPr>
        <w:rFonts w:ascii="Arial" w:cs="Arial" w:eastAsia="Arial" w:hAnsi="Arial"/>
        <w:color w:val="6B6B8A"/>
        <w:sz w:val="18"/>
        <w:szCs w:val="18"/>
      </w:rPr>
      <w:t xml:space="preserve">Page </w:t>
    </w:r>
    <w:r>
      <w:rPr>
        <w:rFonts w:ascii="Arial" w:cs="Arial" w:eastAsia="Arial" w:hAnsi="Arial"/>
        <w:color w:val="7B2FBE"/>
        <w:sz w:val="18"/>
        <w:szCs w:val="18"/>
      </w:rPr>
      <w:fldChar w:fldCharType="begin"/>
      <w:instrText xml:space="preserve">PAGE</w:instrText>
      <w:fldChar w:fldCharType="separate"/>
      <w:fldChar w:fldCharType="end"/>
    </w:r>
    <w:r>
      <w:rPr>
        <w:rFonts w:ascii="Arial" w:cs="Arial" w:eastAsia="Arial" w:hAnsi="Arial"/>
        <w:color w:val="6B6B8A"/>
        <w:sz w:val="18"/>
        <w:szCs w:val="18"/>
      </w:rPr>
      <w:t xml:space="preserve"> of </w:t>
    </w:r>
    <w:r>
      <w:rPr>
        <w:rFonts w:ascii="Arial" w:cs="Arial" w:eastAsia="Arial" w:hAnsi="Arial"/>
        <w:color w:val="7B2FB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4" w:space="4"/>
      </w:pBdr>
    </w:pPr>
    <w:r>
      <w:rPr>
        <w:rFonts w:ascii="Arial" w:cs="Arial" w:eastAsia="Arial" w:hAnsi="Arial"/>
        <w:color w:val="6B6B8A"/>
        <w:sz w:val="18"/>
        <w:szCs w:val="18"/>
      </w:rPr>
      <w:t xml:space="preserve">DAX Measures Documentation  |  Digital Habits &amp; Mental Health Dashboard</w:t>
    </w:r>
    <w:r>
      <w:rPr>
        <w:rFonts w:ascii="Arial" w:cs="Arial" w:eastAsia="Arial" w:hAnsi="Arial"/>
        <w:b/>
        <w:bCs/>
        <w:color w:val="7B2FBE"/>
        <w:sz w:val="18"/>
        <w:szCs w:val="18"/>
      </w:rPr>
      <w:t xml:space="preserve">   |   Manish Bisht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4A1B6D"/>
      <w:sz w:val="36"/>
      <w:szCs w:val="36"/>
    </w:rPr>
  </w:style>
  <w:style w:type="paragraph" w:styleId="Heading2">
    <w:name w:val="Heading 2"/>
    <w:basedOn w:val="Normal"/>
    <w:next w:val="Normal"/>
    <w:qFormat/>
    <w:pPr>
      <w:spacing w:after="80" w:before="240"/>
      <w:outlineLvl w:val="1"/>
    </w:pPr>
    <w:rPr>
      <w:rFonts w:ascii="Arial" w:cs="Arial" w:eastAsia="Arial" w:hAnsi="Arial"/>
      <w:b/>
      <w:bCs/>
      <w:color w:val="7B2FB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2026-06-09T08:50:23.462Z</dcterms:created>
  <dcterms:modified xsi:type="dcterms:W3CDTF">2026-06-09T08:50:23.463Z</dcterms:modified>
</cp:coreProperties>
</file>

<file path=docProps/custom.xml><?xml version="1.0" encoding="utf-8"?>
<Properties xmlns="http://schemas.openxmlformats.org/officeDocument/2006/custom-properties" xmlns:vt="http://schemas.openxmlformats.org/officeDocument/2006/docPropsVTypes"/>
</file>