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LunarSafeMap 技术报告</w:t>
      </w:r>
    </w:p>
    <w:p>
      <w:pPr>
        <w:jc w:val="center"/>
      </w:pPr>
      <w:r>
        <w:rPr>
          <w:i/>
          <w:sz w:val="24"/>
        </w:rPr>
        <w:t>月面候选着陆区地形安全性与适宜性评价：以 Rimae Bode 为例（v1.0，2026-10）</w:t>
      </w:r>
    </w:p>
    <w:p>
      <w:pPr>
        <w:jc w:val="center"/>
      </w:pPr>
      <w:r>
        <w:rPr>
          <w:sz w:val="20"/>
        </w:rPr>
        <w:t>作者：LunarSafeMap 项目（https://github.com/bismiallah2077-svg/LunarSafeMap）</w:t>
        <w:br/>
        <w:t>数据：LROC NAC / SLDEM2015 / Robbins (2018)；工具：ISIS 10.0.0、ASP 3.7.0、PyTorch 2.9</w:t>
      </w:r>
    </w:p>
    <w:p>
      <w:pPr>
        <w:pStyle w:val="Heading1"/>
      </w:pPr>
      <w:r>
        <w:t>摘要</w:t>
      </w:r>
    </w:p>
    <w:p>
      <w:r>
        <w:t>本报告建立并检验了一套面向月球候选着陆区的多准则地形安全性评价流程，并在 Rimae Bode 候选区（353–359°E, 8–13°N）上完成端到端验证。流程包含四个环节：PDS 数据获取与 ISIS/ASP 摄影测量处理；多尺度地形指标计算；基于 U-Net 的撞击坑自动识别与人工抽样核查；加权适宜性模型与 Monte Carlo 不确定性分析。</w:t>
      </w:r>
    </w:p>
    <w:p>
      <w:r>
        <w:t>主要结论是：**面积不确定，排序稳定**。在 200 次参数扰动下，安全区面积占比的5–95% 区间为 0.38–0.93（宽权重）与 0.44–0.91（约 ±30% 权重），但我们识别出的最优候选区在每一次抽样中都保持在前 1% 分位；论文（Yang et al. 2026）提出的四个候选点中，LS3 在所有参数化下都是最安全的，LS2 都是最危险的。不确定性主要来自阈值选择（组间极差 0.15–0.18），而不是权重或撞击坑目录口径（0.03）。全研究区仅 26.1% 的面积在任何参数组合下都安全，35.2% 的面积其安全性结论取决于参数选择。</w:t>
      </w:r>
    </w:p>
    <w:p>
      <w:r>
        <w:t>本报告的次要但方法学上重要的结果是：对撞击坑目录的人工随机抽样核查把检测精度从 0.451 修正到 0.726（0.644–0.807），把召回从 0.533 修正到 0.717（0.655–0.788），说明相当一部分表面误差来自参考目录与 DEM 分辨率，而不是模型本身。</w:t>
      </w:r>
    </w:p>
    <w:p>
      <w:pPr>
        <w:pStyle w:val="Heading2"/>
      </w:pPr>
      <w:r>
        <w:t>Abstract</w:t>
      </w:r>
    </w:p>
    <w:p>
      <w:r>
        <w:t>We present and validate an end-to-end multi-criteria terrain-safety assessment for a lunar candidate landing region, applied to Rimae Bode (353-359 E, 8-13 N). The pipeline combines PDS data handling and ISIS/ASP stereo photogrammetry, multi-scale terrain metrics, a U-Net crater detector whose catalogue is audited by manual sampling, a weighted suitability model, and a Monte Carlo uncertainty analysis. The central result is that the *area* of suitable terrain is highly uncertain (5-95% interval 0.38-0.93) while the *ranking* of candidate sites is stable: our best site stays above the 99th percentile in every draw, and of the four sites proposed by Yang et al. (2026) LS3 is the safest and LS2 the most hazardous under every parameterisation tested. Thresholds dominate the uncertainty (spread 0.15-0.18) far more than weights or the crater catalogue (0.03). Manual review of random samples moves the reported crater-detection precision from 0.451 to 0.726 and the detectable recall from 0.533 to 0.717, showing that much of the apparent error belongs to the reference data, not the model.</w:t>
      </w:r>
    </w:p>
    <w:p>
      <w:pPr>
        <w:pStyle w:val="Heading1"/>
      </w:pPr>
      <w:r>
        <w:t>1  引言</w:t>
      </w:r>
    </w:p>
    <w:p>
      <w:pPr>
        <w:pStyle w:val="Heading2"/>
      </w:pPr>
      <w:r>
        <w:t>1.1  背景与问题</w:t>
      </w:r>
    </w:p>
    <w:p>
      <w:r>
        <w:t>着陆区选址要在工程安全性与科学价值之间做取舍。已有研究通常给出单一权重下的适宜性图或少数候选点，但很少说明结论对权重、阈值与数据分辨率的依赖程度。本报告把这一依赖关系本身作为研究对象，提出的问题是：</w:t>
      </w:r>
    </w:p>
    <w:p>
      <w:pPr>
        <w:pStyle w:val="ListBullet"/>
      </w:pPr>
      <w:r>
        <w:t>在不同空间分辨率、地形指标与权重设置下，候选着陆区的安全性评价结果是否稳定？</w:t>
      </w:r>
    </w:p>
    <w:p>
      <w:pPr>
        <w:pStyle w:val="ListBullet"/>
      </w:pPr>
      <w:r>
        <w:t>自动撞击坑识别能否提高安全区划分的客观性与可复现性？</w:t>
      </w:r>
    </w:p>
    <w:p>
      <w:r>
        <w:t>对应三个可检验假设：</w:t>
      </w:r>
    </w:p>
    <w:tbl>
      <w:tblPr>
        <w:tblStyle w:val="TableGrid"/>
        <w:tblW w:type="auto" w:w="0"/>
        <w:jc w:val="center"/>
        <w:tblLook w:firstColumn="1" w:firstRow="1" w:lastColumn="0" w:lastRow="0" w:noHBand="0" w:noVBand="1" w:val="04A0"/>
      </w:tblPr>
      <w:tblGrid>
        <w:gridCol w:w="3168"/>
        <w:gridCol w:w="3168"/>
        <w:gridCol w:w="3168"/>
      </w:tblGrid>
      <w:tr>
        <w:tc>
          <w:tcPr>
            <w:tcW w:type="dxa" w:w="1584"/>
          </w:tcPr>
          <w:p>
            <w:pPr>
              <w:jc w:val="center"/>
            </w:pPr>
            <w:r/>
            <w:r>
              <w:rPr>
                <w:b/>
                <w:sz w:val="18"/>
              </w:rPr>
              <w:t>假设</w:t>
            </w:r>
          </w:p>
        </w:tc>
        <w:tc>
          <w:tcPr>
            <w:tcW w:type="dxa" w:w="3744"/>
          </w:tcPr>
          <w:p>
            <w:pPr>
              <w:jc w:val="center"/>
            </w:pPr>
            <w:r/>
            <w:r>
              <w:rPr>
                <w:b/>
                <w:sz w:val="18"/>
              </w:rPr>
              <w:t>内容</w:t>
            </w:r>
          </w:p>
        </w:tc>
        <w:tc>
          <w:tcPr>
            <w:tcW w:type="dxa" w:w="3744"/>
          </w:tcPr>
          <w:p>
            <w:pPr>
              <w:jc w:val="center"/>
            </w:pPr>
            <w:r/>
            <w:r>
              <w:rPr>
                <w:b/>
                <w:sz w:val="18"/>
              </w:rPr>
              <w:t>本报告的检验结果</w:t>
            </w:r>
          </w:p>
        </w:tc>
      </w:tr>
      <w:tr>
        <w:tc>
          <w:tcPr>
            <w:tcW w:type="dxa" w:w="1584"/>
          </w:tcPr>
          <w:p>
            <w:pPr>
              <w:jc w:val="left"/>
            </w:pPr>
            <w:r/>
            <w:r>
              <w:rPr>
                <w:sz w:val="18"/>
              </w:rPr>
              <w:t>H1 分辨率效应</w:t>
            </w:r>
          </w:p>
        </w:tc>
        <w:tc>
          <w:tcPr>
            <w:tcW w:type="dxa" w:w="3744"/>
          </w:tcPr>
          <w:p>
            <w:pPr>
              <w:jc w:val="left"/>
            </w:pPr>
            <w:r/>
            <w:r>
              <w:rPr>
                <w:sz w:val="18"/>
              </w:rPr>
              <w:t>粗分辨率 DEM 平滑局部坡度与起伏，导致安全区面积被高估</w:t>
            </w:r>
          </w:p>
        </w:tc>
        <w:tc>
          <w:tcPr>
            <w:tcW w:type="dxa" w:w="3744"/>
          </w:tcPr>
          <w:p>
            <w:pPr>
              <w:jc w:val="left"/>
            </w:pPr>
            <w:r/>
            <w:r>
              <w:rPr>
                <w:sz w:val="18"/>
              </w:rPr>
              <w:t>部分成立：坡度判据下成立（安全区 81.3% → 95.9%，8.8% 的格网由不安全翻转为安全）；像素窗口粗糙度判据下方向相反</w:t>
            </w:r>
          </w:p>
        </w:tc>
      </w:tr>
      <w:tr>
        <w:tc>
          <w:tcPr>
            <w:tcW w:type="dxa" w:w="1584"/>
          </w:tcPr>
          <w:p>
            <w:pPr>
              <w:jc w:val="left"/>
            </w:pPr>
            <w:r/>
            <w:r>
              <w:rPr>
                <w:sz w:val="18"/>
              </w:rPr>
              <w:t>H2 多源融合效应</w:t>
            </w:r>
          </w:p>
        </w:tc>
        <w:tc>
          <w:tcPr>
            <w:tcW w:type="dxa" w:w="3744"/>
          </w:tcPr>
          <w:p>
            <w:pPr>
              <w:jc w:val="left"/>
            </w:pPr>
            <w:r/>
            <w:r>
              <w:rPr>
                <w:sz w:val="18"/>
              </w:rPr>
              <w:t>DEM + 坡度 + 粗糙度 + 撞击坑的联合评价优于单一坡度</w:t>
            </w:r>
          </w:p>
        </w:tc>
        <w:tc>
          <w:tcPr>
            <w:tcW w:type="dxa" w:w="3744"/>
          </w:tcPr>
          <w:p>
            <w:pPr>
              <w:jc w:val="left"/>
            </w:pPr>
            <w:r/>
            <w:r>
              <w:rPr>
                <w:sz w:val="18"/>
              </w:rPr>
              <w:t>部分支持：阴影通道把检测 F1 从 0.460 提升到 0.548；三因子排序对权重不敏感</w:t>
            </w:r>
          </w:p>
        </w:tc>
      </w:tr>
      <w:tr>
        <w:tc>
          <w:tcPr>
            <w:tcW w:type="dxa" w:w="1584"/>
          </w:tcPr>
          <w:p>
            <w:pPr>
              <w:jc w:val="left"/>
            </w:pPr>
            <w:r/>
            <w:r>
              <w:rPr>
                <w:sz w:val="18"/>
              </w:rPr>
              <w:t>H3 评价不确定性</w:t>
            </w:r>
          </w:p>
        </w:tc>
        <w:tc>
          <w:tcPr>
            <w:tcW w:type="dxa" w:w="3744"/>
          </w:tcPr>
          <w:p>
            <w:pPr>
              <w:jc w:val="left"/>
            </w:pPr>
            <w:r/>
            <w:r>
              <w:rPr>
                <w:sz w:val="18"/>
              </w:rPr>
              <w:t>固定权重得到的最佳点可能不稳定，参数扰动后可识别稳定区</w:t>
            </w:r>
          </w:p>
        </w:tc>
        <w:tc>
          <w:tcPr>
            <w:tcW w:type="dxa" w:w="3744"/>
          </w:tcPr>
          <w:p>
            <w:pPr>
              <w:jc w:val="left"/>
            </w:pPr>
            <w:r/>
            <w:r>
              <w:rPr>
                <w:sz w:val="18"/>
              </w:rPr>
              <w:t>已完成量化：面积 ±30 个百分点、排序稳健、阈值主导</w:t>
            </w:r>
          </w:p>
        </w:tc>
      </w:tr>
    </w:tbl>
    <w:p/>
    <w:p>
      <w:pPr>
        <w:pStyle w:val="Heading2"/>
      </w:pPr>
      <w:r>
        <w:t>1.2  研究区</w:t>
      </w:r>
    </w:p>
    <w:p>
      <w:r>
        <w:t>研究区为 Rimae Bode（月海与高地过渡带，353–359°E, 8–13°N），由 Yang et al. (2026, Nature Astronomy 10, 644–654, doi:10.1038/s41550-026-02790-0) 提出为中国首次载人登月的优先候选区，并给出四个候选着陆点（Fig. 5 的 LS1–LS4）与两个地标（Bode C 撞击坑 355.23°E/12.22°N；新鲜小撞击坑 355.57°E/11.46°N）。本报告把 LS1–LS4 作为**独立外部验证集**：读图得到坐标（LS1 355.76°E/11.43°N，LS2 356.56°E/12.41°N，LS3 355.78°E/12.16°N，LS4 355.97°E/10.43°N）后，检验我们的评价链是否独立地重现论文的偏好。</w:t>
      </w:r>
    </w:p>
    <w:p>
      <w:r>
        <w:br w:type="page"/>
      </w:r>
    </w:p>
    <w:p>
      <w:pPr>
        <w:pStyle w:val="Heading1"/>
      </w:pPr>
      <w:r>
        <w:t>2  数据与方法</w:t>
      </w:r>
    </w:p>
    <w:p>
      <w:pPr>
        <w:pStyle w:val="Heading2"/>
      </w:pPr>
      <w:r>
        <w:t>2.1  数据源与预处理</w:t>
      </w:r>
    </w:p>
    <w:tbl>
      <w:tblPr>
        <w:tblStyle w:val="TableGrid"/>
        <w:tblW w:type="auto" w:w="0"/>
        <w:jc w:val="center"/>
        <w:tblLook w:firstColumn="1" w:firstRow="1" w:lastColumn="0" w:lastRow="0" w:noHBand="0" w:noVBand="1" w:val="04A0"/>
      </w:tblPr>
      <w:tblGrid>
        <w:gridCol w:w="2376"/>
        <w:gridCol w:w="2376"/>
        <w:gridCol w:w="2376"/>
        <w:gridCol w:w="2376"/>
      </w:tblGrid>
      <w:tr>
        <w:tc>
          <w:tcPr>
            <w:tcW w:type="dxa" w:w="2160"/>
          </w:tcPr>
          <w:p>
            <w:pPr>
              <w:jc w:val="center"/>
            </w:pPr>
            <w:r/>
            <w:r>
              <w:rPr>
                <w:b/>
                <w:sz w:val="18"/>
              </w:rPr>
              <w:t>数据</w:t>
            </w:r>
          </w:p>
        </w:tc>
        <w:tc>
          <w:tcPr>
            <w:tcW w:type="dxa" w:w="2736"/>
          </w:tcPr>
          <w:p>
            <w:pPr>
              <w:jc w:val="center"/>
            </w:pPr>
            <w:r/>
            <w:r>
              <w:rPr>
                <w:b/>
                <w:sz w:val="18"/>
              </w:rPr>
              <w:t>用途</w:t>
            </w:r>
          </w:p>
        </w:tc>
        <w:tc>
          <w:tcPr>
            <w:tcW w:type="dxa" w:w="2160"/>
          </w:tcPr>
          <w:p>
            <w:pPr>
              <w:jc w:val="center"/>
            </w:pPr>
            <w:r/>
            <w:r>
              <w:rPr>
                <w:b/>
                <w:sz w:val="18"/>
              </w:rPr>
              <w:t>分辨率 / 规模</w:t>
            </w:r>
          </w:p>
        </w:tc>
        <w:tc>
          <w:tcPr>
            <w:tcW w:type="dxa" w:w="2592"/>
          </w:tcPr>
          <w:p>
            <w:pPr>
              <w:jc w:val="center"/>
            </w:pPr>
            <w:r/>
            <w:r>
              <w:rPr>
                <w:b/>
                <w:sz w:val="18"/>
              </w:rPr>
              <w:t>来源</w:t>
            </w:r>
          </w:p>
        </w:tc>
      </w:tr>
      <w:tr>
        <w:tc>
          <w:tcPr>
            <w:tcW w:type="dxa" w:w="2160"/>
          </w:tcPr>
          <w:p>
            <w:pPr>
              <w:jc w:val="left"/>
            </w:pPr>
            <w:r/>
            <w:r>
              <w:rPr>
                <w:sz w:val="18"/>
              </w:rPr>
              <w:t>LROC NAC EDR</w:t>
            </w:r>
          </w:p>
        </w:tc>
        <w:tc>
          <w:tcPr>
            <w:tcW w:type="dxa" w:w="2736"/>
          </w:tcPr>
          <w:p>
            <w:pPr>
              <w:jc w:val="left"/>
            </w:pPr>
            <w:r/>
            <w:r>
              <w:rPr>
                <w:sz w:val="18"/>
              </w:rPr>
              <w:t>立体测图、局部高分辨率 DEM</w:t>
            </w:r>
          </w:p>
        </w:tc>
        <w:tc>
          <w:tcPr>
            <w:tcW w:type="dxa" w:w="2160"/>
          </w:tcPr>
          <w:p>
            <w:pPr>
              <w:jc w:val="center"/>
            </w:pPr>
            <w:r/>
            <w:r>
              <w:rPr>
                <w:sz w:val="18"/>
              </w:rPr>
              <w:t>0.5–2 m/px</w:t>
            </w:r>
          </w:p>
        </w:tc>
        <w:tc>
          <w:tcPr>
            <w:tcW w:type="dxa" w:w="2592"/>
          </w:tcPr>
          <w:p>
            <w:pPr>
              <w:jc w:val="left"/>
            </w:pPr>
            <w:r/>
            <w:r>
              <w:rPr>
                <w:sz w:val="18"/>
              </w:rPr>
              <w:t>PDS (LRO-L-LROC-2-EDR-V1.0)</w:t>
            </w:r>
          </w:p>
        </w:tc>
      </w:tr>
      <w:tr>
        <w:tc>
          <w:tcPr>
            <w:tcW w:type="dxa" w:w="2160"/>
          </w:tcPr>
          <w:p>
            <w:pPr>
              <w:jc w:val="left"/>
            </w:pPr>
            <w:r/>
            <w:r>
              <w:rPr>
                <w:sz w:val="18"/>
              </w:rPr>
              <w:t>SLDEM2015</w:t>
            </w:r>
          </w:p>
        </w:tc>
        <w:tc>
          <w:tcPr>
            <w:tcW w:type="dxa" w:w="2736"/>
          </w:tcPr>
          <w:p>
            <w:pPr>
              <w:jc w:val="left"/>
            </w:pPr>
            <w:r/>
            <w:r>
              <w:rPr>
                <w:sz w:val="18"/>
              </w:rPr>
              <w:t>主 DEM、区域地形评价</w:t>
            </w:r>
          </w:p>
        </w:tc>
        <w:tc>
          <w:tcPr>
            <w:tcW w:type="dxa" w:w="2160"/>
          </w:tcPr>
          <w:p>
            <w:pPr>
              <w:jc w:val="left"/>
            </w:pPr>
            <w:r/>
            <w:r>
              <w:rPr>
                <w:sz w:val="18"/>
              </w:rPr>
              <w:t>512 ppd ≈ 59.2 m/px</w:t>
            </w:r>
          </w:p>
        </w:tc>
        <w:tc>
          <w:tcPr>
            <w:tcW w:type="dxa" w:w="2592"/>
          </w:tcPr>
          <w:p>
            <w:pPr>
              <w:jc w:val="left"/>
            </w:pPr>
            <w:r/>
            <w:r>
              <w:rPr>
                <w:sz w:val="18"/>
              </w:rPr>
              <w:t>PDS / USGS Astrogeology</w:t>
            </w:r>
          </w:p>
        </w:tc>
      </w:tr>
      <w:tr>
        <w:tc>
          <w:tcPr>
            <w:tcW w:type="dxa" w:w="2160"/>
          </w:tcPr>
          <w:p>
            <w:pPr>
              <w:jc w:val="left"/>
            </w:pPr>
            <w:r/>
            <w:r>
              <w:rPr>
                <w:sz w:val="18"/>
              </w:rPr>
              <w:t>LROC WAC 镶嵌图</w:t>
            </w:r>
          </w:p>
        </w:tc>
        <w:tc>
          <w:tcPr>
            <w:tcW w:type="dxa" w:w="2736"/>
          </w:tcPr>
          <w:p>
            <w:pPr>
              <w:jc w:val="center"/>
            </w:pPr>
            <w:r/>
            <w:r>
              <w:rPr>
                <w:sz w:val="18"/>
              </w:rPr>
              <w:t>底图与目视检查</w:t>
            </w:r>
          </w:p>
        </w:tc>
        <w:tc>
          <w:tcPr>
            <w:tcW w:type="dxa" w:w="2160"/>
          </w:tcPr>
          <w:p>
            <w:pPr>
              <w:jc w:val="center"/>
            </w:pPr>
            <w:r/>
            <w:r>
              <w:rPr>
                <w:sz w:val="18"/>
              </w:rPr>
              <w:t>100 m/px</w:t>
            </w:r>
          </w:p>
        </w:tc>
        <w:tc>
          <w:tcPr>
            <w:tcW w:type="dxa" w:w="2592"/>
          </w:tcPr>
          <w:p>
            <w:pPr>
              <w:jc w:val="left"/>
            </w:pPr>
            <w:r/>
            <w:r>
              <w:rPr>
                <w:sz w:val="18"/>
              </w:rPr>
              <w:t>USGS Moon WMS</w:t>
            </w:r>
          </w:p>
        </w:tc>
      </w:tr>
      <w:tr>
        <w:tc>
          <w:tcPr>
            <w:tcW w:type="dxa" w:w="2160"/>
          </w:tcPr>
          <w:p>
            <w:pPr>
              <w:jc w:val="left"/>
            </w:pPr>
            <w:r/>
            <w:r>
              <w:rPr>
                <w:sz w:val="18"/>
              </w:rPr>
              <w:t>Robbins (2018) 目录</w:t>
            </w:r>
          </w:p>
        </w:tc>
        <w:tc>
          <w:tcPr>
            <w:tcW w:type="dxa" w:w="2736"/>
          </w:tcPr>
          <w:p>
            <w:pPr>
              <w:jc w:val="center"/>
            </w:pPr>
            <w:r/>
            <w:r>
              <w:rPr>
                <w:sz w:val="18"/>
              </w:rPr>
              <w:t>撞击坑标签与评价基准</w:t>
            </w:r>
          </w:p>
        </w:tc>
        <w:tc>
          <w:tcPr>
            <w:tcW w:type="dxa" w:w="2160"/>
          </w:tcPr>
          <w:p>
            <w:pPr>
              <w:jc w:val="left"/>
            </w:pPr>
            <w:r/>
            <w:r>
              <w:rPr>
                <w:sz w:val="18"/>
              </w:rPr>
              <w:t>1,296,796 个坑</w:t>
            </w:r>
          </w:p>
        </w:tc>
        <w:tc>
          <w:tcPr>
            <w:tcW w:type="dxa" w:w="2592"/>
          </w:tcPr>
          <w:p>
            <w:pPr>
              <w:jc w:val="left"/>
            </w:pPr>
            <w:r/>
            <w:r>
              <w:rPr>
                <w:sz w:val="18"/>
              </w:rPr>
              <w:t>USGS Astrogeology</w:t>
            </w:r>
          </w:p>
        </w:tc>
      </w:tr>
      <w:tr>
        <w:tc>
          <w:tcPr>
            <w:tcW w:type="dxa" w:w="2160"/>
          </w:tcPr>
          <w:p>
            <w:pPr>
              <w:jc w:val="left"/>
            </w:pPr>
            <w:r/>
            <w:r>
              <w:rPr>
                <w:sz w:val="18"/>
              </w:rPr>
              <w:t>Yang et al. (2026) 图 5</w:t>
            </w:r>
          </w:p>
        </w:tc>
        <w:tc>
          <w:tcPr>
            <w:tcW w:type="dxa" w:w="2736"/>
          </w:tcPr>
          <w:p>
            <w:pPr>
              <w:jc w:val="left"/>
            </w:pPr>
            <w:r/>
            <w:r>
              <w:rPr>
                <w:sz w:val="18"/>
              </w:rPr>
              <w:t>外部验证（4 个候选点）</w:t>
            </w:r>
          </w:p>
        </w:tc>
        <w:tc>
          <w:tcPr>
            <w:tcW w:type="dxa" w:w="2160"/>
          </w:tcPr>
          <w:p>
            <w:pPr>
              <w:jc w:val="center"/>
            </w:pPr>
            <w:r/>
            <w:r>
              <w:rPr>
                <w:sz w:val="18"/>
              </w:rPr>
              <w:t>—</w:t>
            </w:r>
          </w:p>
        </w:tc>
        <w:tc>
          <w:tcPr>
            <w:tcW w:type="dxa" w:w="2592"/>
          </w:tcPr>
          <w:p>
            <w:pPr>
              <w:jc w:val="left"/>
            </w:pPr>
            <w:r/>
            <w:r>
              <w:rPr>
                <w:sz w:val="18"/>
              </w:rPr>
              <w:t>Nature Astronomy</w:t>
            </w:r>
          </w:p>
        </w:tc>
      </w:tr>
    </w:tbl>
    <w:p/>
    <w:p>
      <w:r>
        <w:t>原始数据经 ISIS 10.0.0 导入、辐射校正与地图投影（lronac2isis、spiceinit、lronaccal、cam2map），再由 ASP 3.7.0 完成立体匹配、点云与 DEM 生成（parallel_stereo、point2dem）。2022 年的 LROC 数据需要手工提供 SPICE 内核（SPK 与两组 CK），这一依赖已在仓库文档中记录。自产 NAC DEM 的规格为 2176 × 13866 px、3.283 m/px（7 × 45 km 条带），三角交会误差中位数 4.46 m。</w:t>
      </w:r>
    </w:p>
    <w:p>
      <w:r>
        <w:t>自产 DEM 与 SLDEM 的一致性检验显示：垂向基准一致（中值偏差 −0.83 m），整体 RMSE 35.3 m，但误差强烈依赖坡度——坡度小于 5° 时 MAE 约 4 m，大于 25° 时升至约 88 m。配准检验排除了尺度/旋转失配作为主因。这一结果决定了后续所有陡坡区的指标都带有系统性不确定性。</w:t>
      </w:r>
    </w:p>
    <w:p>
      <w:pPr>
        <w:pStyle w:val="Heading2"/>
      </w:pPr>
      <w:r>
        <w:t>2.2  多尺度地形指标</w:t>
      </w:r>
    </w:p>
    <w:p>
      <w:r>
        <w:t>从 DEM 计算坡度、曲率、粗糙度（窗口内高程标准差）与局部起伏度，并在 20 m、60 m、200 m 三个物理支撑尺度上比较。指标定义在脚本中固定，并配有解析解自测（例如合成斜坡的坡度必须等于 atan(梯度)），以保证第 5 周的结论与第 7 周的模型输入完全一致。</w:t>
      </w:r>
    </w:p>
    <w:p>
      <w:r>
        <w:t>在 59.2 m/px 的 SLDEM 上，60 m 支撑的坡度中位数为 4.11°、粗糙度中位数 3.56 m。同一区域用 3.28 m/px 的 NAC 计算时，陡坡比例显著更高，说明 59 m 产品会在陡坡区平滑掉真实起伏——这是 H1 的直接动机。</w:t>
      </w:r>
    </w:p>
    <w:p>
      <w:pPr>
        <w:pStyle w:val="Heading2"/>
      </w:pPr>
      <w:r>
        <w:t>2.3  撞击坑自动识别与人工核查</w:t>
      </w:r>
    </w:p>
    <w:p>
      <w:r>
        <w:t>标签取自 Robbins (2018) 目录，按地理框裁剪（训练区 9,457 个坑，研究区 535 个坑），栅格化为圆盘掩膜后切成 256 × 256 px（约 15 × 15 km）的样本；模型为 4 层下采样 U-Net（1,286,417 参数），损失为 BCE 与 Dice 各半，训练在 CPU 上 12 轮约 11 分钟。数据划分为**地理划分**而非随机划分：训练区南半部训练、北半部验证、研究区整块留作测试，以避免相邻切片的泄漏。</w:t>
      </w:r>
    </w:p>
    <w:p>
      <w:r>
        <w:t>评价分两级：像素级 IoU/P/R/F1，以及检测级 P/R/F1（预测掩膜经连通域分析、等效直径计算和尺寸过滤后与真值匹配）。两级指标必须同时报告，因为像素 IoU 会因坑缘几个像素的偏移而大幅下降，而科研关心的是撞击坑是否被找到以及直径是否可靠。</w:t>
      </w:r>
    </w:p>
    <w:p>
      <w:r>
        <w:t>由于参考目录本身不是真值，我们用**均匀随机抽样 + 人工判读**对目录质量做了两次核查：从 347 个虚警中随机抽 40 个判读真伪，从 250 个漏检中随机抽 40 个判读可探测性（判据为「在 59 m/px 下坑缘能否辨认」）。核查结果用 Wilson 区间给出统计修正，并自动交叉核验「判为真坑」的检测是否落在目录已收录的坑上（用于排除重复检测造成的虚高）。</w:t>
      </w:r>
    </w:p>
    <w:p>
      <w:pPr>
        <w:pStyle w:val="Heading2"/>
      </w:pPr>
      <w:r>
        <w:t>2.4  适宜性模型与权重</w:t>
      </w:r>
    </w:p>
    <w:p>
      <w:r>
        <w:t>适宜性定义为三个危险度层的加权和：S = w_slope·H_slope + w_rough·H_rough + w_crater·H_crater。每个 H 是分段线性斜坡（低于安全阈值为 0，高于危险阈值为 1）：坡度 5°→15°，粗糙度 1 m→5 m；撞击坑层为坑内 1、向坑缘外 1 km 线性衰减到 0。分类阈值为 S &lt; 0.33 安全、0.33–0.66 注意、&gt; 0.66 危险。</w:t>
      </w:r>
    </w:p>
    <w:p>
      <w:r>
        <w:t>候选着陆点定义为**5 km 滑窗**的平均适宜性，按 S 升序取互不重叠的窗口。早期版本使用「最大连续安全区」，第一名达 10,724 km²（占研究区 39%），那不是着陆点而是区域统计量，因此改为滑窗——这一修正本身就是一项方法学结论。</w:t>
      </w:r>
    </w:p>
    <w:p>
      <w:r>
        <w:t>权重通过 AHP 由项目作者的专家判断给出：三次两两比较（坡度 3 倍于粗糙度、2 倍于撞击坑；粗糙度与撞击坑同等重要），几何平均法求得权重 0.550 / 0.210 / 0.240，一致性比例 CR = 0.0157（&lt; 0.1，可接受）。CR 的非零值来自第 3 次比较与完全自洽解（2/3）之间的微小差异，这正好说明 CR 度量的是判断之间的循环矛盾，而不是判断的正误。</w:t>
      </w:r>
    </w:p>
    <w:p>
      <w:pPr>
        <w:pStyle w:val="Heading2"/>
      </w:pPr>
      <w:r>
        <w:t>2.5  不确定性分析</w:t>
      </w:r>
    </w:p>
    <w:p>
      <w:r>
        <w:t>对每个不确定参数进行 200 次随机抽样：权重按 Dirichlet(浓度 × AHP 中心) 采样（保证均值等于中心且始终在单纯形上），坡度安全阈值 {3,5,8}°、危险阈值 {10,15,20}°，粗糙度安全阈值 {0.5,1,2} m、危险阈值 {3,5,10} m，坑缘缓冲 {500,1000,2000} m，撞击坑目录在 632 个（精度导向）与 897 个（召回导向）之间二选一。DEM、地形指标、网格与窗口大小保持固定。</w:t>
      </w:r>
    </w:p>
    <w:p>
      <w:r>
        <w:t>实现上，坑缘距离变换对每个目录只计算一次，之后每次抽样仅重新缩放，使 200 次抽样的总耗时降到约 3.3 分钟，从而让「参数扰动」成为常规分析而非一次性实验。输出包括逐站点的排名分位分布、安全区面积分布，以及逐像元的安全/危险概率。</w:t>
      </w:r>
    </w:p>
    <w:p>
      <w:pPr>
        <w:pStyle w:val="Heading2"/>
      </w:pPr>
      <w:r>
        <w:t>2.6  验证数据集</w:t>
      </w:r>
    </w:p>
    <w:p>
      <w:r>
        <w:t>外部验证使用 Yang et al. (2026) Fig. 5 的四个候选点。评价方式与候选点排序完全一致（同一 5 km 窗口定义），报告每个点的窗口平均 S、危险像元比例、在全部窗口中的分位排名，以及到本研究最优候选点的距离。</w:t>
      </w:r>
    </w:p>
    <w:p>
      <w:r>
        <w:br w:type="page"/>
      </w:r>
    </w:p>
    <w:p>
      <w:pPr>
        <w:pStyle w:val="Heading1"/>
      </w:pPr>
      <w:r>
        <w:t>3  结果</w:t>
      </w:r>
    </w:p>
    <w:p>
      <w:pPr>
        <w:pStyle w:val="Heading2"/>
      </w:pPr>
      <w:r>
        <w:t>3.1  撞击坑识别的精度与人工修正</w:t>
      </w:r>
    </w:p>
    <w:p>
      <w:r>
        <w:t>U-Net 在从未参与训练的研究区上取得像素级 IoU 0.298、F1 0.460，验证区（训练区北带）IoU 0.266；测试分数不低于验证分数，说明模型学到的是撞击坑的局部形态而非训练区地形本身。按直径分档的检测级结果差异很大，大坑几乎完美，小坑是瓶颈：</w:t>
      </w:r>
    </w:p>
    <w:p>
      <w:r>
        <w:rPr>
          <w:b/>
          <w:sz w:val="19"/>
        </w:rPr>
        <w:t>表 3  撞击坑检测级指标（按直径分档，最小检测直径 1 km）</w:t>
      </w:r>
    </w:p>
    <w:tbl>
      <w:tblPr>
        <w:tblStyle w:val="TableGrid"/>
        <w:tblW w:type="auto" w:w="0"/>
        <w:jc w:val="center"/>
        <w:tblLook w:firstColumn="1" w:firstRow="1" w:lastColumn="0" w:lastRow="0" w:noHBand="0" w:noVBand="1" w:val="04A0"/>
      </w:tblPr>
      <w:tblGrid>
        <w:gridCol w:w="1358"/>
        <w:gridCol w:w="1358"/>
        <w:gridCol w:w="1358"/>
        <w:gridCol w:w="1358"/>
        <w:gridCol w:w="1358"/>
        <w:gridCol w:w="1358"/>
        <w:gridCol w:w="1358"/>
      </w:tblGrid>
      <w:tr>
        <w:tc>
          <w:tcPr>
            <w:tcW w:type="dxa" w:w="1584"/>
          </w:tcPr>
          <w:p>
            <w:pPr>
              <w:jc w:val="center"/>
            </w:pPr>
            <w:r/>
            <w:r>
              <w:rPr>
                <w:b/>
                <w:sz w:val="18"/>
              </w:rPr>
              <w:t>直径档</w:t>
            </w:r>
          </w:p>
        </w:tc>
        <w:tc>
          <w:tcPr>
            <w:tcW w:type="dxa" w:w="1296"/>
          </w:tcPr>
          <w:p>
            <w:pPr>
              <w:jc w:val="center"/>
            </w:pPr>
            <w:r/>
            <w:r>
              <w:rPr>
                <w:b/>
                <w:sz w:val="18"/>
              </w:rPr>
              <w:t>真值数</w:t>
            </w:r>
          </w:p>
        </w:tc>
        <w:tc>
          <w:tcPr>
            <w:tcW w:type="dxa" w:w="1152"/>
          </w:tcPr>
          <w:p>
            <w:pPr>
              <w:jc w:val="center"/>
            </w:pPr>
            <w:r/>
            <w:r>
              <w:rPr>
                <w:b/>
                <w:sz w:val="18"/>
              </w:rPr>
              <w:t>检出</w:t>
            </w:r>
          </w:p>
        </w:tc>
        <w:tc>
          <w:tcPr>
            <w:tcW w:type="dxa" w:w="1152"/>
          </w:tcPr>
          <w:p>
            <w:pPr>
              <w:jc w:val="center"/>
            </w:pPr>
            <w:r/>
            <w:r>
              <w:rPr>
                <w:b/>
                <w:sz w:val="18"/>
              </w:rPr>
              <w:t>虚警</w:t>
            </w:r>
          </w:p>
        </w:tc>
        <w:tc>
          <w:tcPr>
            <w:tcW w:type="dxa" w:w="1152"/>
          </w:tcPr>
          <w:p>
            <w:pPr>
              <w:jc w:val="center"/>
            </w:pPr>
            <w:r/>
            <w:r>
              <w:rPr>
                <w:b/>
                <w:sz w:val="18"/>
              </w:rPr>
              <w:t>P</w:t>
            </w:r>
          </w:p>
        </w:tc>
        <w:tc>
          <w:tcPr>
            <w:tcW w:type="dxa" w:w="1152"/>
          </w:tcPr>
          <w:p>
            <w:pPr>
              <w:jc w:val="center"/>
            </w:pPr>
            <w:r/>
            <w:r>
              <w:rPr>
                <w:b/>
                <w:sz w:val="18"/>
              </w:rPr>
              <w:t>R</w:t>
            </w:r>
          </w:p>
        </w:tc>
        <w:tc>
          <w:tcPr>
            <w:tcW w:type="dxa" w:w="1152"/>
          </w:tcPr>
          <w:p>
            <w:pPr>
              <w:jc w:val="center"/>
            </w:pPr>
            <w:r/>
            <w:r>
              <w:rPr>
                <w:b/>
                <w:sz w:val="18"/>
              </w:rPr>
              <w:t>F1</w:t>
            </w:r>
          </w:p>
        </w:tc>
      </w:tr>
      <w:tr>
        <w:tc>
          <w:tcPr>
            <w:tcW w:type="dxa" w:w="1584"/>
          </w:tcPr>
          <w:p>
            <w:pPr>
              <w:jc w:val="left"/>
            </w:pPr>
            <w:r/>
            <w:r>
              <w:rPr>
                <w:sz w:val="18"/>
              </w:rPr>
              <w:t>1–2 km</w:t>
            </w:r>
          </w:p>
        </w:tc>
        <w:tc>
          <w:tcPr>
            <w:tcW w:type="dxa" w:w="1296"/>
          </w:tcPr>
          <w:p>
            <w:pPr>
              <w:jc w:val="center"/>
            </w:pPr>
            <w:r/>
            <w:r>
              <w:rPr>
                <w:sz w:val="18"/>
              </w:rPr>
              <w:t>453</w:t>
            </w:r>
          </w:p>
        </w:tc>
        <w:tc>
          <w:tcPr>
            <w:tcW w:type="dxa" w:w="1152"/>
          </w:tcPr>
          <w:p>
            <w:pPr>
              <w:jc w:val="center"/>
            </w:pPr>
            <w:r/>
            <w:r>
              <w:rPr>
                <w:sz w:val="18"/>
              </w:rPr>
              <w:t>232</w:t>
            </w:r>
          </w:p>
        </w:tc>
        <w:tc>
          <w:tcPr>
            <w:tcW w:type="dxa" w:w="1152"/>
          </w:tcPr>
          <w:p>
            <w:pPr>
              <w:jc w:val="center"/>
            </w:pPr>
            <w:r/>
            <w:r>
              <w:rPr>
                <w:sz w:val="18"/>
              </w:rPr>
              <w:t>265</w:t>
            </w:r>
          </w:p>
        </w:tc>
        <w:tc>
          <w:tcPr>
            <w:tcW w:type="dxa" w:w="1152"/>
          </w:tcPr>
          <w:p>
            <w:pPr>
              <w:jc w:val="center"/>
            </w:pPr>
            <w:r/>
            <w:r>
              <w:rPr>
                <w:sz w:val="18"/>
              </w:rPr>
              <w:t>0.467</w:t>
            </w:r>
          </w:p>
        </w:tc>
        <w:tc>
          <w:tcPr>
            <w:tcW w:type="dxa" w:w="1152"/>
          </w:tcPr>
          <w:p>
            <w:pPr>
              <w:jc w:val="center"/>
            </w:pPr>
            <w:r/>
            <w:r>
              <w:rPr>
                <w:sz w:val="18"/>
              </w:rPr>
              <w:t>0.512</w:t>
            </w:r>
          </w:p>
        </w:tc>
        <w:tc>
          <w:tcPr>
            <w:tcW w:type="dxa" w:w="1152"/>
          </w:tcPr>
          <w:p>
            <w:pPr>
              <w:jc w:val="center"/>
            </w:pPr>
            <w:r/>
            <w:r>
              <w:rPr>
                <w:sz w:val="18"/>
              </w:rPr>
              <w:t>0.488</w:t>
            </w:r>
          </w:p>
        </w:tc>
      </w:tr>
      <w:tr>
        <w:tc>
          <w:tcPr>
            <w:tcW w:type="dxa" w:w="1584"/>
          </w:tcPr>
          <w:p>
            <w:pPr>
              <w:jc w:val="left"/>
            </w:pPr>
            <w:r/>
            <w:r>
              <w:rPr>
                <w:sz w:val="18"/>
              </w:rPr>
              <w:t>2–5 km</w:t>
            </w:r>
          </w:p>
        </w:tc>
        <w:tc>
          <w:tcPr>
            <w:tcW w:type="dxa" w:w="1296"/>
          </w:tcPr>
          <w:p>
            <w:pPr>
              <w:jc w:val="center"/>
            </w:pPr>
            <w:r/>
            <w:r>
              <w:rPr>
                <w:sz w:val="18"/>
              </w:rPr>
              <w:t>74</w:t>
            </w:r>
          </w:p>
        </w:tc>
        <w:tc>
          <w:tcPr>
            <w:tcW w:type="dxa" w:w="1152"/>
          </w:tcPr>
          <w:p>
            <w:pPr>
              <w:jc w:val="center"/>
            </w:pPr>
            <w:r/>
            <w:r>
              <w:rPr>
                <w:sz w:val="18"/>
              </w:rPr>
              <w:t>45</w:t>
            </w:r>
          </w:p>
        </w:tc>
        <w:tc>
          <w:tcPr>
            <w:tcW w:type="dxa" w:w="1152"/>
          </w:tcPr>
          <w:p>
            <w:pPr>
              <w:jc w:val="center"/>
            </w:pPr>
            <w:r/>
            <w:r>
              <w:rPr>
                <w:sz w:val="18"/>
              </w:rPr>
              <w:t>82</w:t>
            </w:r>
          </w:p>
        </w:tc>
        <w:tc>
          <w:tcPr>
            <w:tcW w:type="dxa" w:w="1152"/>
          </w:tcPr>
          <w:p>
            <w:pPr>
              <w:jc w:val="center"/>
            </w:pPr>
            <w:r/>
            <w:r>
              <w:rPr>
                <w:sz w:val="18"/>
              </w:rPr>
              <w:t>0.354</w:t>
            </w:r>
          </w:p>
        </w:tc>
        <w:tc>
          <w:tcPr>
            <w:tcW w:type="dxa" w:w="1152"/>
          </w:tcPr>
          <w:p>
            <w:pPr>
              <w:jc w:val="center"/>
            </w:pPr>
            <w:r/>
            <w:r>
              <w:rPr>
                <w:sz w:val="18"/>
              </w:rPr>
              <w:t>0.608</w:t>
            </w:r>
          </w:p>
        </w:tc>
        <w:tc>
          <w:tcPr>
            <w:tcW w:type="dxa" w:w="1152"/>
          </w:tcPr>
          <w:p>
            <w:pPr>
              <w:jc w:val="center"/>
            </w:pPr>
            <w:r/>
            <w:r>
              <w:rPr>
                <w:sz w:val="18"/>
              </w:rPr>
              <w:t>0.448</w:t>
            </w:r>
          </w:p>
        </w:tc>
      </w:tr>
      <w:tr>
        <w:tc>
          <w:tcPr>
            <w:tcW w:type="dxa" w:w="1584"/>
          </w:tcPr>
          <w:p>
            <w:pPr>
              <w:jc w:val="left"/>
            </w:pPr>
            <w:r/>
            <w:r>
              <w:rPr>
                <w:sz w:val="18"/>
              </w:rPr>
              <w:t>≥5 km</w:t>
            </w:r>
          </w:p>
        </w:tc>
        <w:tc>
          <w:tcPr>
            <w:tcW w:type="dxa" w:w="1296"/>
          </w:tcPr>
          <w:p>
            <w:pPr>
              <w:jc w:val="center"/>
            </w:pPr>
            <w:r/>
            <w:r>
              <w:rPr>
                <w:sz w:val="18"/>
              </w:rPr>
              <w:t>8</w:t>
            </w:r>
          </w:p>
        </w:tc>
        <w:tc>
          <w:tcPr>
            <w:tcW w:type="dxa" w:w="1152"/>
          </w:tcPr>
          <w:p>
            <w:pPr>
              <w:jc w:val="center"/>
            </w:pPr>
            <w:r/>
            <w:r>
              <w:rPr>
                <w:sz w:val="18"/>
              </w:rPr>
              <w:t>8</w:t>
            </w:r>
          </w:p>
        </w:tc>
        <w:tc>
          <w:tcPr>
            <w:tcW w:type="dxa" w:w="1152"/>
          </w:tcPr>
          <w:p>
            <w:pPr>
              <w:jc w:val="center"/>
            </w:pPr>
            <w:r/>
            <w:r>
              <w:rPr>
                <w:sz w:val="18"/>
              </w:rPr>
              <w:t>0</w:t>
            </w:r>
          </w:p>
        </w:tc>
        <w:tc>
          <w:tcPr>
            <w:tcW w:type="dxa" w:w="1152"/>
          </w:tcPr>
          <w:p>
            <w:pPr>
              <w:jc w:val="center"/>
            </w:pPr>
            <w:r/>
            <w:r>
              <w:rPr>
                <w:sz w:val="18"/>
              </w:rPr>
              <w:t>1.0</w:t>
            </w:r>
          </w:p>
        </w:tc>
        <w:tc>
          <w:tcPr>
            <w:tcW w:type="dxa" w:w="1152"/>
          </w:tcPr>
          <w:p>
            <w:pPr>
              <w:jc w:val="center"/>
            </w:pPr>
            <w:r/>
            <w:r>
              <w:rPr>
                <w:sz w:val="18"/>
              </w:rPr>
              <w:t>1.0</w:t>
            </w:r>
          </w:p>
        </w:tc>
        <w:tc>
          <w:tcPr>
            <w:tcW w:type="dxa" w:w="1152"/>
          </w:tcPr>
          <w:p>
            <w:pPr>
              <w:jc w:val="center"/>
            </w:pPr>
            <w:r/>
            <w:r>
              <w:rPr>
                <w:sz w:val="18"/>
              </w:rPr>
              <w:t>1.0</w:t>
            </w:r>
          </w:p>
        </w:tc>
      </w:tr>
      <w:tr>
        <w:tc>
          <w:tcPr>
            <w:tcW w:type="dxa" w:w="1584"/>
          </w:tcPr>
          <w:p>
            <w:pPr>
              <w:jc w:val="left"/>
            </w:pPr>
            <w:r/>
            <w:r>
              <w:rPr>
                <w:sz w:val="18"/>
              </w:rPr>
              <w:t>全部</w:t>
            </w:r>
          </w:p>
        </w:tc>
        <w:tc>
          <w:tcPr>
            <w:tcW w:type="dxa" w:w="1296"/>
          </w:tcPr>
          <w:p>
            <w:pPr>
              <w:jc w:val="center"/>
            </w:pPr>
            <w:r/>
            <w:r>
              <w:rPr>
                <w:sz w:val="18"/>
              </w:rPr>
              <w:t>535</w:t>
            </w:r>
          </w:p>
        </w:tc>
        <w:tc>
          <w:tcPr>
            <w:tcW w:type="dxa" w:w="1152"/>
          </w:tcPr>
          <w:p>
            <w:pPr>
              <w:jc w:val="center"/>
            </w:pPr>
            <w:r/>
            <w:r>
              <w:rPr>
                <w:sz w:val="18"/>
              </w:rPr>
              <w:t>285</w:t>
            </w:r>
          </w:p>
        </w:tc>
        <w:tc>
          <w:tcPr>
            <w:tcW w:type="dxa" w:w="1152"/>
          </w:tcPr>
          <w:p>
            <w:pPr>
              <w:jc w:val="center"/>
            </w:pPr>
            <w:r/>
            <w:r>
              <w:rPr>
                <w:sz w:val="18"/>
              </w:rPr>
              <w:t>347</w:t>
            </w:r>
          </w:p>
        </w:tc>
        <w:tc>
          <w:tcPr>
            <w:tcW w:type="dxa" w:w="1152"/>
          </w:tcPr>
          <w:p>
            <w:pPr>
              <w:jc w:val="center"/>
            </w:pPr>
            <w:r/>
            <w:r>
              <w:rPr>
                <w:sz w:val="18"/>
              </w:rPr>
              <w:t>0.451</w:t>
            </w:r>
          </w:p>
        </w:tc>
        <w:tc>
          <w:tcPr>
            <w:tcW w:type="dxa" w:w="1152"/>
          </w:tcPr>
          <w:p>
            <w:pPr>
              <w:jc w:val="center"/>
            </w:pPr>
            <w:r/>
            <w:r>
              <w:rPr>
                <w:sz w:val="18"/>
              </w:rPr>
              <w:t>0.533</w:t>
            </w:r>
          </w:p>
        </w:tc>
        <w:tc>
          <w:tcPr>
            <w:tcW w:type="dxa" w:w="1152"/>
          </w:tcPr>
          <w:p>
            <w:pPr>
              <w:jc w:val="center"/>
            </w:pPr>
            <w:r/>
            <w:r>
              <w:rPr>
                <w:sz w:val="18"/>
              </w:rPr>
              <w:t>0.488</w:t>
            </w:r>
          </w:p>
        </w:tc>
      </w:tr>
    </w:tbl>
    <w:p/>
    <w:p>
      <w:r>
        <w:t>输入特征消融显示，单加坡度几乎不改变 F1（0.460 → 0.462），但显著改变模型的取舍（精度 0.368 → 0.447，召回 0.613 → 0.478）；再引入山体阴影后 F1 升至 0.548、IoU 0.298 → 0.377，检测级虚警由 347 个降到 81 个。这一结果支持 H2 的一半：融合确实有效，但增益来自视觉表达（阴影）而非物理量（坡度）。</w:t>
      </w:r>
    </w:p>
    <w:p>
      <w:r>
        <w:t>人工核查改变了指标的解读方式。随机抽样 40 个虚警中，50% 实为 Robbins 目录漏收的真坑；自动交叉核验确认其中 19 个位于目录完全没有的坑上（仅 1 个是重复检测），因此修正不是重复检测造成的虚高。随机抽样 40 个漏检中，45% 在 59 m/px 下无法辨认坑缘。修正后的目录质量如下：</w:t>
      </w:r>
    </w:p>
    <w:p>
      <w:r>
        <w:rPr>
          <w:b/>
          <w:sz w:val="19"/>
        </w:rPr>
        <w:t>表 4  人工核查对撞击坑目录质量的修正（Wilson 95% 区间）</w:t>
      </w:r>
    </w:p>
    <w:tbl>
      <w:tblPr>
        <w:tblStyle w:val="TableGrid"/>
        <w:tblW w:type="auto" w:w="0"/>
        <w:jc w:val="center"/>
        <w:tblLook w:firstColumn="1" w:firstRow="1" w:lastColumn="0" w:lastRow="0" w:noHBand="0" w:noVBand="1" w:val="04A0"/>
      </w:tblPr>
      <w:tblGrid>
        <w:gridCol w:w="2376"/>
        <w:gridCol w:w="2376"/>
        <w:gridCol w:w="2376"/>
        <w:gridCol w:w="2376"/>
      </w:tblGrid>
      <w:tr>
        <w:tc>
          <w:tcPr>
            <w:tcW w:type="dxa" w:w="1296"/>
          </w:tcPr>
          <w:p>
            <w:pPr>
              <w:jc w:val="center"/>
            </w:pPr>
            <w:r/>
            <w:r>
              <w:rPr>
                <w:b/>
                <w:sz w:val="18"/>
              </w:rPr>
              <w:t>指标</w:t>
            </w:r>
          </w:p>
        </w:tc>
        <w:tc>
          <w:tcPr>
            <w:tcW w:type="dxa" w:w="2016"/>
          </w:tcPr>
          <w:p>
            <w:pPr>
              <w:jc w:val="center"/>
            </w:pPr>
            <w:r/>
            <w:r>
              <w:rPr>
                <w:b/>
                <w:sz w:val="18"/>
              </w:rPr>
              <w:t>报告值（对目录）</w:t>
            </w:r>
          </w:p>
        </w:tc>
        <w:tc>
          <w:tcPr>
            <w:tcW w:type="dxa" w:w="2880"/>
          </w:tcPr>
          <w:p>
            <w:pPr>
              <w:jc w:val="center"/>
            </w:pPr>
            <w:r/>
            <w:r>
              <w:rPr>
                <w:b/>
                <w:sz w:val="18"/>
              </w:rPr>
              <w:t>修正值（对真实世界）</w:t>
            </w:r>
          </w:p>
        </w:tc>
        <w:tc>
          <w:tcPr>
            <w:tcW w:type="dxa" w:w="3168"/>
          </w:tcPr>
          <w:p>
            <w:pPr>
              <w:jc w:val="center"/>
            </w:pPr>
            <w:r/>
            <w:r>
              <w:rPr>
                <w:b/>
                <w:sz w:val="18"/>
              </w:rPr>
              <w:t>说明</w:t>
            </w:r>
          </w:p>
        </w:tc>
      </w:tr>
      <w:tr>
        <w:tc>
          <w:tcPr>
            <w:tcW w:type="dxa" w:w="1296"/>
          </w:tcPr>
          <w:p>
            <w:pPr>
              <w:jc w:val="left"/>
            </w:pPr>
            <w:r/>
            <w:r>
              <w:rPr>
                <w:sz w:val="18"/>
              </w:rPr>
              <w:t>精度</w:t>
            </w:r>
          </w:p>
        </w:tc>
        <w:tc>
          <w:tcPr>
            <w:tcW w:type="dxa" w:w="2016"/>
          </w:tcPr>
          <w:p>
            <w:pPr>
              <w:jc w:val="center"/>
            </w:pPr>
            <w:r/>
            <w:r>
              <w:rPr>
                <w:sz w:val="18"/>
              </w:rPr>
              <w:t>0.451</w:t>
            </w:r>
          </w:p>
        </w:tc>
        <w:tc>
          <w:tcPr>
            <w:tcW w:type="dxa" w:w="2880"/>
          </w:tcPr>
          <w:p>
            <w:pPr>
              <w:jc w:val="left"/>
            </w:pPr>
            <w:r/>
            <w:r>
              <w:rPr>
                <w:sz w:val="18"/>
              </w:rPr>
              <w:t>0.726（0.644–0.807）</w:t>
            </w:r>
          </w:p>
        </w:tc>
        <w:tc>
          <w:tcPr>
            <w:tcW w:type="dxa" w:w="3168"/>
          </w:tcPr>
          <w:p>
            <w:pPr>
              <w:jc w:val="left"/>
            </w:pPr>
            <w:r/>
            <w:r>
              <w:rPr>
                <w:sz w:val="18"/>
              </w:rPr>
              <w:t>1–2 km 档 0.467 → 0.804；2–5 km 档几乎无修正</w:t>
            </w:r>
          </w:p>
        </w:tc>
      </w:tr>
      <w:tr>
        <w:tc>
          <w:tcPr>
            <w:tcW w:type="dxa" w:w="1296"/>
          </w:tcPr>
          <w:p>
            <w:pPr>
              <w:jc w:val="left"/>
            </w:pPr>
            <w:r/>
            <w:r>
              <w:rPr>
                <w:sz w:val="18"/>
              </w:rPr>
              <w:t>召回</w:t>
            </w:r>
          </w:p>
        </w:tc>
        <w:tc>
          <w:tcPr>
            <w:tcW w:type="dxa" w:w="2016"/>
          </w:tcPr>
          <w:p>
            <w:pPr>
              <w:jc w:val="center"/>
            </w:pPr>
            <w:r/>
            <w:r>
              <w:rPr>
                <w:sz w:val="18"/>
              </w:rPr>
              <w:t>0.533</w:t>
            </w:r>
          </w:p>
        </w:tc>
        <w:tc>
          <w:tcPr>
            <w:tcW w:type="dxa" w:w="2880"/>
          </w:tcPr>
          <w:p>
            <w:pPr>
              <w:jc w:val="left"/>
            </w:pPr>
            <w:r/>
            <w:r>
              <w:rPr>
                <w:sz w:val="18"/>
              </w:rPr>
              <w:t>0.717（0.655–0.788）</w:t>
            </w:r>
          </w:p>
        </w:tc>
        <w:tc>
          <w:tcPr>
            <w:tcW w:type="dxa" w:w="3168"/>
          </w:tcPr>
          <w:p>
            <w:pPr>
              <w:jc w:val="left"/>
            </w:pPr>
            <w:r/>
            <w:r>
              <w:rPr>
                <w:sz w:val="18"/>
              </w:rPr>
              <w:t>不可探测的漏检不应计入分母</w:t>
            </w:r>
          </w:p>
        </w:tc>
      </w:tr>
    </w:tbl>
    <w:p/>
    <w:p>
      <w:r>
        <w:t>虚警的成因也可以归类：20 个真实虚警中 11 个（55%）来自光照/阴影造成的伪闭合（山脊背面、坡折、纹理阴影），其余来自非坑的弧状地貌（月溪、皱岭）、数据/几何伪影（影像边缘、投影边界）以及溅射丘等坑缘附生凸起。这既解释了误差机制，也直接支撑光照域偏移这一后续研究方向。</w:t>
      </w:r>
    </w:p>
    <w:p>
      <w:r>
        <w:t>最后，人工核查预测出一个可检验的后处理改进：12/40 的漏检是模型在坑内响应过、但小块小于 1 km 被尺寸过滤丢弃的目标；把最小检测直径从 1.0 km 降到 0.3 km 后，实测找回 44 个真坑（事前估计约 50），召回由 0.533 升到 0.615，代价是精度降到 0.334、F1 下降。对以召回优先的着陆安全评价而言，这个取舍需要结合新增检测的真实精度共同判断。</w:t>
      </w:r>
    </w:p>
    <w:p>
      <w:pPr>
        <w:pStyle w:val="Heading2"/>
      </w:pPr>
      <w:r>
        <w:t>3.2  地形指标与分辨率对照</w:t>
      </w:r>
    </w:p>
    <w:p>
      <w:r>
        <w:t>在匹配分辨率后，NAC 与 SLDEM 的坡度场高度一致（中值差 −0.05°，MAE 1.58°），但 SLDEM 会遗漏陡坡：分别漏掉 11.4%、16.9%、31.1% 的坡度大于 10°、15°、20° 的像元。在 60 m 支撑下，SLDEM 判定研究区 60% 的面积为安全，但把统计限制在 NAC 立体覆盖范围内时，安全比例只有 37%。这一差异是 H1 的量化动机，也解释了为什么粗分辨率产品会系统性高估安全区。</w:t>
      </w:r>
    </w:p>
    <w:p>
      <w:pPr>
        <w:pStyle w:val="Heading2"/>
      </w:pPr>
      <w:r>
        <w:t>3.3  适宜性图与候选点</w:t>
      </w:r>
    </w:p>
    <w:p>
      <w:r>
        <w:t>四种权重/阈值方案给出的安全区比例不同，但候选点的相对排序高度一致：</w:t>
      </w:r>
    </w:p>
    <w:p>
      <w:r>
        <w:rPr>
          <w:b/>
          <w:sz w:val="19"/>
        </w:rPr>
        <w:t>表 5  四种参数方案下的安全区比例</w:t>
      </w:r>
    </w:p>
    <w:tbl>
      <w:tblPr>
        <w:tblStyle w:val="TableGrid"/>
        <w:tblW w:type="auto" w:w="0"/>
        <w:jc w:val="center"/>
        <w:tblLook w:firstColumn="1" w:firstRow="1" w:lastColumn="0" w:lastRow="0" w:noHBand="0" w:noVBand="1" w:val="04A0"/>
      </w:tblPr>
      <w:tblGrid>
        <w:gridCol w:w="1901"/>
        <w:gridCol w:w="1901"/>
        <w:gridCol w:w="1901"/>
        <w:gridCol w:w="1901"/>
        <w:gridCol w:w="1901"/>
      </w:tblGrid>
      <w:tr>
        <w:tc>
          <w:tcPr>
            <w:tcW w:type="dxa" w:w="2304"/>
          </w:tcPr>
          <w:p>
            <w:pPr>
              <w:jc w:val="center"/>
            </w:pPr>
            <w:r/>
            <w:r>
              <w:rPr>
                <w:b/>
                <w:sz w:val="18"/>
              </w:rPr>
              <w:t>方案</w:t>
            </w:r>
          </w:p>
        </w:tc>
        <w:tc>
          <w:tcPr>
            <w:tcW w:type="dxa" w:w="2448"/>
          </w:tcPr>
          <w:p>
            <w:pPr>
              <w:jc w:val="center"/>
            </w:pPr>
            <w:r/>
            <w:r>
              <w:rPr>
                <w:b/>
                <w:sz w:val="18"/>
              </w:rPr>
              <w:t>权重（坡/糙/坑）</w:t>
            </w:r>
          </w:p>
        </w:tc>
        <w:tc>
          <w:tcPr>
            <w:tcW w:type="dxa" w:w="1872"/>
          </w:tcPr>
          <w:p>
            <w:pPr>
              <w:jc w:val="center"/>
            </w:pPr>
            <w:r/>
            <w:r>
              <w:rPr>
                <w:b/>
                <w:sz w:val="18"/>
              </w:rPr>
              <w:t>阈值</w:t>
            </w:r>
          </w:p>
        </w:tc>
        <w:tc>
          <w:tcPr>
            <w:tcW w:type="dxa" w:w="1296"/>
          </w:tcPr>
          <w:p>
            <w:pPr>
              <w:jc w:val="center"/>
            </w:pPr>
            <w:r/>
            <w:r>
              <w:rPr>
                <w:b/>
                <w:sz w:val="18"/>
              </w:rPr>
              <w:t>安全 %</w:t>
            </w:r>
          </w:p>
        </w:tc>
        <w:tc>
          <w:tcPr>
            <w:tcW w:type="dxa" w:w="1296"/>
          </w:tcPr>
          <w:p>
            <w:pPr>
              <w:jc w:val="center"/>
            </w:pPr>
            <w:r/>
            <w:r>
              <w:rPr>
                <w:b/>
                <w:sz w:val="18"/>
              </w:rPr>
              <w:t>危险 %</w:t>
            </w:r>
          </w:p>
        </w:tc>
      </w:tr>
      <w:tr>
        <w:tc>
          <w:tcPr>
            <w:tcW w:type="dxa" w:w="2304"/>
          </w:tcPr>
          <w:p>
            <w:pPr>
              <w:jc w:val="left"/>
            </w:pPr>
            <w:r/>
            <w:r>
              <w:rPr>
                <w:sz w:val="18"/>
              </w:rPr>
              <w:t>等权</w:t>
            </w:r>
          </w:p>
        </w:tc>
        <w:tc>
          <w:tcPr>
            <w:tcW w:type="dxa" w:w="2448"/>
          </w:tcPr>
          <w:p>
            <w:pPr>
              <w:jc w:val="left"/>
            </w:pPr>
            <w:r/>
            <w:r>
              <w:rPr>
                <w:sz w:val="18"/>
              </w:rPr>
              <w:t>0.333 / 0.333 / 0.333</w:t>
            </w:r>
          </w:p>
        </w:tc>
        <w:tc>
          <w:tcPr>
            <w:tcW w:type="dxa" w:w="1872"/>
          </w:tcPr>
          <w:p>
            <w:pPr>
              <w:jc w:val="left"/>
            </w:pPr>
            <w:r/>
            <w:r>
              <w:rPr>
                <w:sz w:val="18"/>
              </w:rPr>
              <w:t>5/15°, 1/5 m</w:t>
            </w:r>
          </w:p>
        </w:tc>
        <w:tc>
          <w:tcPr>
            <w:tcW w:type="dxa" w:w="1296"/>
          </w:tcPr>
          <w:p>
            <w:pPr>
              <w:jc w:val="center"/>
            </w:pPr>
            <w:r/>
            <w:r>
              <w:rPr>
                <w:sz w:val="18"/>
              </w:rPr>
              <w:t>58.4</w:t>
            </w:r>
          </w:p>
        </w:tc>
        <w:tc>
          <w:tcPr>
            <w:tcW w:type="dxa" w:w="1296"/>
          </w:tcPr>
          <w:p>
            <w:pPr>
              <w:jc w:val="center"/>
            </w:pPr>
            <w:r/>
            <w:r>
              <w:rPr>
                <w:sz w:val="18"/>
              </w:rPr>
              <w:t>10.5</w:t>
            </w:r>
          </w:p>
        </w:tc>
      </w:tr>
      <w:tr>
        <w:tc>
          <w:tcPr>
            <w:tcW w:type="dxa" w:w="2304"/>
          </w:tcPr>
          <w:p>
            <w:pPr>
              <w:jc w:val="left"/>
            </w:pPr>
            <w:r/>
            <w:r>
              <w:rPr>
                <w:sz w:val="18"/>
              </w:rPr>
              <w:t>熵权</w:t>
            </w:r>
          </w:p>
        </w:tc>
        <w:tc>
          <w:tcPr>
            <w:tcW w:type="dxa" w:w="2448"/>
          </w:tcPr>
          <w:p>
            <w:pPr>
              <w:jc w:val="left"/>
            </w:pPr>
            <w:r/>
            <w:r>
              <w:rPr>
                <w:sz w:val="18"/>
              </w:rPr>
              <w:t>0.343 / 0.158 / 0.499</w:t>
            </w:r>
          </w:p>
        </w:tc>
        <w:tc>
          <w:tcPr>
            <w:tcW w:type="dxa" w:w="1872"/>
          </w:tcPr>
          <w:p>
            <w:pPr>
              <w:jc w:val="left"/>
            </w:pPr>
            <w:r/>
            <w:r>
              <w:rPr>
                <w:sz w:val="18"/>
              </w:rPr>
              <w:t>5/15°, 1/5 m</w:t>
            </w:r>
          </w:p>
        </w:tc>
        <w:tc>
          <w:tcPr>
            <w:tcW w:type="dxa" w:w="1296"/>
          </w:tcPr>
          <w:p>
            <w:pPr>
              <w:jc w:val="center"/>
            </w:pPr>
            <w:r/>
            <w:r>
              <w:rPr>
                <w:sz w:val="18"/>
              </w:rPr>
              <w:t>75.6</w:t>
            </w:r>
          </w:p>
        </w:tc>
        <w:tc>
          <w:tcPr>
            <w:tcW w:type="dxa" w:w="1296"/>
          </w:tcPr>
          <w:p>
            <w:pPr>
              <w:jc w:val="center"/>
            </w:pPr>
            <w:r/>
            <w:r>
              <w:rPr>
                <w:sz w:val="18"/>
              </w:rPr>
              <w:t>7.1</w:t>
            </w:r>
          </w:p>
        </w:tc>
      </w:tr>
      <w:tr>
        <w:tc>
          <w:tcPr>
            <w:tcW w:type="dxa" w:w="2304"/>
          </w:tcPr>
          <w:p>
            <w:pPr>
              <w:jc w:val="left"/>
            </w:pPr>
            <w:r/>
            <w:r>
              <w:rPr>
                <w:sz w:val="18"/>
              </w:rPr>
              <w:t>分位数标定</w:t>
            </w:r>
          </w:p>
        </w:tc>
        <w:tc>
          <w:tcPr>
            <w:tcW w:type="dxa" w:w="2448"/>
          </w:tcPr>
          <w:p>
            <w:pPr>
              <w:jc w:val="left"/>
            </w:pPr>
            <w:r/>
            <w:r>
              <w:rPr>
                <w:sz w:val="18"/>
              </w:rPr>
              <w:t>0.333 / 0.333 / 0.333</w:t>
            </w:r>
          </w:p>
        </w:tc>
        <w:tc>
          <w:tcPr>
            <w:tcW w:type="dxa" w:w="1872"/>
          </w:tcPr>
          <w:p>
            <w:pPr>
              <w:jc w:val="center"/>
            </w:pPr>
            <w:r/>
            <w:r>
              <w:rPr>
                <w:sz w:val="18"/>
              </w:rPr>
              <w:t>p50 / p95</w:t>
            </w:r>
          </w:p>
        </w:tc>
        <w:tc>
          <w:tcPr>
            <w:tcW w:type="dxa" w:w="1296"/>
          </w:tcPr>
          <w:p>
            <w:pPr>
              <w:jc w:val="center"/>
            </w:pPr>
            <w:r/>
            <w:r>
              <w:rPr>
                <w:sz w:val="18"/>
              </w:rPr>
              <w:t>78.4</w:t>
            </w:r>
          </w:p>
        </w:tc>
        <w:tc>
          <w:tcPr>
            <w:tcW w:type="dxa" w:w="1296"/>
          </w:tcPr>
          <w:p>
            <w:pPr>
              <w:jc w:val="center"/>
            </w:pPr>
            <w:r/>
            <w:r>
              <w:rPr>
                <w:sz w:val="18"/>
              </w:rPr>
              <w:t>7.5</w:t>
            </w:r>
          </w:p>
        </w:tc>
      </w:tr>
      <w:tr>
        <w:tc>
          <w:tcPr>
            <w:tcW w:type="dxa" w:w="2304"/>
          </w:tcPr>
          <w:p>
            <w:pPr>
              <w:jc w:val="left"/>
            </w:pPr>
            <w:r/>
            <w:r>
              <w:rPr>
                <w:sz w:val="18"/>
              </w:rPr>
              <w:t>作者 AHP（CR = 0.0157）</w:t>
            </w:r>
          </w:p>
        </w:tc>
        <w:tc>
          <w:tcPr>
            <w:tcW w:type="dxa" w:w="2448"/>
          </w:tcPr>
          <w:p>
            <w:pPr>
              <w:jc w:val="left"/>
            </w:pPr>
            <w:r/>
            <w:r>
              <w:rPr>
                <w:sz w:val="18"/>
              </w:rPr>
              <w:t>0.550 / 0.210 / 0.240</w:t>
            </w:r>
          </w:p>
        </w:tc>
        <w:tc>
          <w:tcPr>
            <w:tcW w:type="dxa" w:w="1872"/>
          </w:tcPr>
          <w:p>
            <w:pPr>
              <w:jc w:val="left"/>
            </w:pPr>
            <w:r/>
            <w:r>
              <w:rPr>
                <w:sz w:val="18"/>
              </w:rPr>
              <w:t>5/15°, 1/5 m</w:t>
            </w:r>
          </w:p>
        </w:tc>
        <w:tc>
          <w:tcPr>
            <w:tcW w:type="dxa" w:w="1296"/>
          </w:tcPr>
          <w:p>
            <w:pPr>
              <w:jc w:val="center"/>
            </w:pPr>
            <w:r/>
            <w:r>
              <w:rPr>
                <w:sz w:val="18"/>
              </w:rPr>
              <w:t>70.7</w:t>
            </w:r>
          </w:p>
        </w:tc>
        <w:tc>
          <w:tcPr>
            <w:tcW w:type="dxa" w:w="1296"/>
          </w:tcPr>
          <w:p>
            <w:pPr>
              <w:jc w:val="center"/>
            </w:pPr>
            <w:r/>
            <w:r>
              <w:rPr>
                <w:sz w:val="18"/>
              </w:rPr>
              <w:t>8.7</w:t>
            </w:r>
          </w:p>
        </w:tc>
      </w:tr>
    </w:tbl>
    <w:p/>
    <w:p>
      <w:r>
        <w:t>等权并不意味着等影响：三个危险度层的分布差异很大（粗糙度层均值 0.613、58.5% 的像元超过 0.5，而坡度层与撞击坑层约为 0.15），因此等权下粗糙度实际主导了结果。熵权法通过分布对比度自动把粗糙度权重压到 0.158、撞击坑抬到 0.499，部分修正了这一偏差。</w:t>
      </w:r>
    </w:p>
    <w:p>
      <w:r>
        <w:t>稳健性检验更直接：改变权重时前 10 名候选点重合 9 个，改变阈值时只重合 5 个——**阈值不确定性大于权重不确定性**。四种方案共同选出一个稳定最优区 (353.76°E, 11.08°N)，其 5 km 窗口的平均 S 在 0.002–0.052 之间（越靠近 0 越安全）。</w:t>
      </w:r>
    </w:p>
    <w:p>
      <w:pPr>
        <w:pStyle w:val="Heading2"/>
      </w:pPr>
      <w:r>
        <w:t>3.4  与论文候选点的对比</w:t>
      </w:r>
    </w:p>
    <w:p>
      <w:r>
        <w:t>把论文的四个候选点按同一 5 km 窗口定义评分，并与我们的最优区比较。表中数字为「比研究区中多少比例的窗口更安全」（越高越安全）：</w:t>
      </w:r>
    </w:p>
    <w:p>
      <w:r>
        <w:rPr>
          <w:b/>
          <w:sz w:val="19"/>
        </w:rPr>
        <w:t>表 6  论文候选点与本研究最优区的适宜性分位（四种参数化）</w:t>
      </w:r>
    </w:p>
    <w:tbl>
      <w:tblPr>
        <w:tblStyle w:val="TableGrid"/>
        <w:tblW w:type="auto" w:w="0"/>
        <w:jc w:val="center"/>
        <w:tblLook w:firstColumn="1" w:firstRow="1" w:lastColumn="0" w:lastRow="0" w:noHBand="0" w:noVBand="1" w:val="04A0"/>
      </w:tblPr>
      <w:tblGrid>
        <w:gridCol w:w="1584"/>
        <w:gridCol w:w="1584"/>
        <w:gridCol w:w="1584"/>
        <w:gridCol w:w="1584"/>
        <w:gridCol w:w="1584"/>
        <w:gridCol w:w="1584"/>
      </w:tblGrid>
      <w:tr>
        <w:tc>
          <w:tcPr>
            <w:tcW w:type="dxa" w:w="2016"/>
          </w:tcPr>
          <w:p>
            <w:pPr>
              <w:jc w:val="center"/>
            </w:pPr>
            <w:r/>
            <w:r>
              <w:rPr>
                <w:b/>
                <w:sz w:val="18"/>
              </w:rPr>
              <w:t>点</w:t>
            </w:r>
          </w:p>
        </w:tc>
        <w:tc>
          <w:tcPr>
            <w:tcW w:type="dxa" w:w="1296"/>
          </w:tcPr>
          <w:p>
            <w:pPr>
              <w:jc w:val="center"/>
            </w:pPr>
            <w:r/>
            <w:r>
              <w:rPr>
                <w:b/>
                <w:sz w:val="18"/>
              </w:rPr>
              <w:t>等权</w:t>
            </w:r>
          </w:p>
        </w:tc>
        <w:tc>
          <w:tcPr>
            <w:tcW w:type="dxa" w:w="1296"/>
          </w:tcPr>
          <w:p>
            <w:pPr>
              <w:jc w:val="center"/>
            </w:pPr>
            <w:r/>
            <w:r>
              <w:rPr>
                <w:b/>
                <w:sz w:val="18"/>
              </w:rPr>
              <w:t>熵权</w:t>
            </w:r>
          </w:p>
        </w:tc>
        <w:tc>
          <w:tcPr>
            <w:tcW w:type="dxa" w:w="1584"/>
          </w:tcPr>
          <w:p>
            <w:pPr>
              <w:jc w:val="center"/>
            </w:pPr>
            <w:r/>
            <w:r>
              <w:rPr>
                <w:b/>
                <w:sz w:val="18"/>
              </w:rPr>
              <w:t>分位数标定</w:t>
            </w:r>
          </w:p>
        </w:tc>
        <w:tc>
          <w:tcPr>
            <w:tcW w:type="dxa" w:w="1440"/>
          </w:tcPr>
          <w:p>
            <w:pPr>
              <w:jc w:val="center"/>
            </w:pPr>
            <w:r/>
            <w:r>
              <w:rPr>
                <w:b/>
                <w:sz w:val="18"/>
              </w:rPr>
              <w:t>作者 AHP</w:t>
            </w:r>
          </w:p>
        </w:tc>
        <w:tc>
          <w:tcPr>
            <w:tcW w:type="dxa" w:w="1584"/>
          </w:tcPr>
          <w:p>
            <w:pPr>
              <w:jc w:val="center"/>
            </w:pPr>
            <w:r/>
            <w:r>
              <w:rPr>
                <w:b/>
                <w:sz w:val="18"/>
              </w:rPr>
              <w:t>危险像元 %</w:t>
            </w:r>
          </w:p>
        </w:tc>
      </w:tr>
      <w:tr>
        <w:tc>
          <w:tcPr>
            <w:tcW w:type="dxa" w:w="2016"/>
          </w:tcPr>
          <w:p>
            <w:pPr>
              <w:jc w:val="left"/>
            </w:pPr>
            <w:r/>
            <w:r>
              <w:rPr>
                <w:sz w:val="18"/>
              </w:rPr>
              <w:t>LS3</w:t>
            </w:r>
          </w:p>
        </w:tc>
        <w:tc>
          <w:tcPr>
            <w:tcW w:type="dxa" w:w="1296"/>
          </w:tcPr>
          <w:p>
            <w:pPr>
              <w:jc w:val="center"/>
            </w:pPr>
            <w:r/>
            <w:r>
              <w:rPr>
                <w:sz w:val="18"/>
              </w:rPr>
              <w:t>80.6</w:t>
            </w:r>
          </w:p>
        </w:tc>
        <w:tc>
          <w:tcPr>
            <w:tcW w:type="dxa" w:w="1296"/>
          </w:tcPr>
          <w:p>
            <w:pPr>
              <w:jc w:val="center"/>
            </w:pPr>
            <w:r/>
            <w:r>
              <w:rPr>
                <w:sz w:val="18"/>
              </w:rPr>
              <w:t>82.7</w:t>
            </w:r>
          </w:p>
        </w:tc>
        <w:tc>
          <w:tcPr>
            <w:tcW w:type="dxa" w:w="1584"/>
          </w:tcPr>
          <w:p>
            <w:pPr>
              <w:jc w:val="center"/>
            </w:pPr>
            <w:r/>
            <w:r>
              <w:rPr>
                <w:sz w:val="18"/>
              </w:rPr>
              <w:t>86.2</w:t>
            </w:r>
          </w:p>
        </w:tc>
        <w:tc>
          <w:tcPr>
            <w:tcW w:type="dxa" w:w="1440"/>
          </w:tcPr>
          <w:p>
            <w:pPr>
              <w:jc w:val="center"/>
            </w:pPr>
            <w:r/>
            <w:r>
              <w:rPr>
                <w:sz w:val="18"/>
              </w:rPr>
              <w:t>82.1</w:t>
            </w:r>
          </w:p>
        </w:tc>
        <w:tc>
          <w:tcPr>
            <w:tcW w:type="dxa" w:w="1584"/>
          </w:tcPr>
          <w:p>
            <w:pPr>
              <w:jc w:val="center"/>
            </w:pPr>
            <w:r/>
            <w:r>
              <w:rPr>
                <w:sz w:val="18"/>
              </w:rPr>
              <w:t>0.0</w:t>
            </w:r>
          </w:p>
        </w:tc>
      </w:tr>
      <w:tr>
        <w:tc>
          <w:tcPr>
            <w:tcW w:type="dxa" w:w="2016"/>
          </w:tcPr>
          <w:p>
            <w:pPr>
              <w:jc w:val="left"/>
            </w:pPr>
            <w:r/>
            <w:r>
              <w:rPr>
                <w:sz w:val="18"/>
              </w:rPr>
              <w:t>LS1</w:t>
            </w:r>
          </w:p>
        </w:tc>
        <w:tc>
          <w:tcPr>
            <w:tcW w:type="dxa" w:w="1296"/>
          </w:tcPr>
          <w:p>
            <w:pPr>
              <w:jc w:val="center"/>
            </w:pPr>
            <w:r/>
            <w:r>
              <w:rPr>
                <w:sz w:val="18"/>
              </w:rPr>
              <w:t>65.0</w:t>
            </w:r>
          </w:p>
        </w:tc>
        <w:tc>
          <w:tcPr>
            <w:tcW w:type="dxa" w:w="1296"/>
          </w:tcPr>
          <w:p>
            <w:pPr>
              <w:jc w:val="center"/>
            </w:pPr>
            <w:r/>
            <w:r>
              <w:rPr>
                <w:sz w:val="18"/>
              </w:rPr>
              <w:t>51.8</w:t>
            </w:r>
          </w:p>
        </w:tc>
        <w:tc>
          <w:tcPr>
            <w:tcW w:type="dxa" w:w="1584"/>
          </w:tcPr>
          <w:p>
            <w:pPr>
              <w:jc w:val="center"/>
            </w:pPr>
            <w:r/>
            <w:r>
              <w:rPr>
                <w:sz w:val="18"/>
              </w:rPr>
              <w:t>46.6</w:t>
            </w:r>
          </w:p>
        </w:tc>
        <w:tc>
          <w:tcPr>
            <w:tcW w:type="dxa" w:w="1440"/>
          </w:tcPr>
          <w:p>
            <w:pPr>
              <w:jc w:val="center"/>
            </w:pPr>
            <w:r/>
            <w:r>
              <w:rPr>
                <w:sz w:val="18"/>
              </w:rPr>
              <w:t>57.6</w:t>
            </w:r>
          </w:p>
        </w:tc>
        <w:tc>
          <w:tcPr>
            <w:tcW w:type="dxa" w:w="1584"/>
          </w:tcPr>
          <w:p>
            <w:pPr>
              <w:jc w:val="center"/>
            </w:pPr>
            <w:r/>
            <w:r>
              <w:rPr>
                <w:sz w:val="18"/>
              </w:rPr>
              <w:t>15.3</w:t>
            </w:r>
          </w:p>
        </w:tc>
      </w:tr>
      <w:tr>
        <w:tc>
          <w:tcPr>
            <w:tcW w:type="dxa" w:w="2016"/>
          </w:tcPr>
          <w:p>
            <w:pPr>
              <w:jc w:val="left"/>
            </w:pPr>
            <w:r/>
            <w:r>
              <w:rPr>
                <w:sz w:val="18"/>
              </w:rPr>
              <w:t>LS4</w:t>
            </w:r>
          </w:p>
        </w:tc>
        <w:tc>
          <w:tcPr>
            <w:tcW w:type="dxa" w:w="1296"/>
          </w:tcPr>
          <w:p>
            <w:pPr>
              <w:jc w:val="center"/>
            </w:pPr>
            <w:r/>
            <w:r>
              <w:rPr>
                <w:sz w:val="18"/>
              </w:rPr>
              <w:t>47.4</w:t>
            </w:r>
          </w:p>
        </w:tc>
        <w:tc>
          <w:tcPr>
            <w:tcW w:type="dxa" w:w="1296"/>
          </w:tcPr>
          <w:p>
            <w:pPr>
              <w:jc w:val="center"/>
            </w:pPr>
            <w:r/>
            <w:r>
              <w:rPr>
                <w:sz w:val="18"/>
              </w:rPr>
              <w:t>38.3</w:t>
            </w:r>
          </w:p>
        </w:tc>
        <w:tc>
          <w:tcPr>
            <w:tcW w:type="dxa" w:w="1584"/>
          </w:tcPr>
          <w:p>
            <w:pPr>
              <w:jc w:val="center"/>
            </w:pPr>
            <w:r/>
            <w:r>
              <w:rPr>
                <w:sz w:val="18"/>
              </w:rPr>
              <w:t>38.7</w:t>
            </w:r>
          </w:p>
        </w:tc>
        <w:tc>
          <w:tcPr>
            <w:tcW w:type="dxa" w:w="1440"/>
          </w:tcPr>
          <w:p>
            <w:pPr>
              <w:jc w:val="center"/>
            </w:pPr>
            <w:r/>
            <w:r>
              <w:rPr>
                <w:sz w:val="18"/>
              </w:rPr>
              <w:t>45.2</w:t>
            </w:r>
          </w:p>
        </w:tc>
        <w:tc>
          <w:tcPr>
            <w:tcW w:type="dxa" w:w="1584"/>
          </w:tcPr>
          <w:p>
            <w:pPr>
              <w:jc w:val="center"/>
            </w:pPr>
            <w:r/>
            <w:r>
              <w:rPr>
                <w:sz w:val="18"/>
              </w:rPr>
              <w:t>15.8</w:t>
            </w:r>
          </w:p>
        </w:tc>
      </w:tr>
      <w:tr>
        <w:tc>
          <w:tcPr>
            <w:tcW w:type="dxa" w:w="2016"/>
          </w:tcPr>
          <w:p>
            <w:pPr>
              <w:jc w:val="left"/>
            </w:pPr>
            <w:r/>
            <w:r>
              <w:rPr>
                <w:sz w:val="18"/>
              </w:rPr>
              <w:t>LS2</w:t>
            </w:r>
          </w:p>
        </w:tc>
        <w:tc>
          <w:tcPr>
            <w:tcW w:type="dxa" w:w="1296"/>
          </w:tcPr>
          <w:p>
            <w:pPr>
              <w:jc w:val="center"/>
            </w:pPr>
            <w:r/>
            <w:r>
              <w:rPr>
                <w:sz w:val="18"/>
              </w:rPr>
              <w:t>1.3</w:t>
            </w:r>
          </w:p>
        </w:tc>
        <w:tc>
          <w:tcPr>
            <w:tcW w:type="dxa" w:w="1296"/>
          </w:tcPr>
          <w:p>
            <w:pPr>
              <w:jc w:val="center"/>
            </w:pPr>
            <w:r/>
            <w:r>
              <w:rPr>
                <w:sz w:val="18"/>
              </w:rPr>
              <w:t>0.7</w:t>
            </w:r>
          </w:p>
        </w:tc>
        <w:tc>
          <w:tcPr>
            <w:tcW w:type="dxa" w:w="1584"/>
          </w:tcPr>
          <w:p>
            <w:pPr>
              <w:jc w:val="center"/>
            </w:pPr>
            <w:r/>
            <w:r>
              <w:rPr>
                <w:sz w:val="18"/>
              </w:rPr>
              <w:t>1.3</w:t>
            </w:r>
          </w:p>
        </w:tc>
        <w:tc>
          <w:tcPr>
            <w:tcW w:type="dxa" w:w="1440"/>
          </w:tcPr>
          <w:p>
            <w:pPr>
              <w:jc w:val="center"/>
            </w:pPr>
            <w:r/>
            <w:r>
              <w:rPr>
                <w:sz w:val="18"/>
              </w:rPr>
              <w:t>1.6</w:t>
            </w:r>
          </w:p>
        </w:tc>
        <w:tc>
          <w:tcPr>
            <w:tcW w:type="dxa" w:w="1584"/>
          </w:tcPr>
          <w:p>
            <w:pPr>
              <w:jc w:val="center"/>
            </w:pPr>
            <w:r/>
            <w:r>
              <w:rPr>
                <w:sz w:val="18"/>
              </w:rPr>
              <w:t>55.6</w:t>
            </w:r>
          </w:p>
        </w:tc>
      </w:tr>
      <w:tr>
        <w:tc>
          <w:tcPr>
            <w:tcW w:type="dxa" w:w="2016"/>
          </w:tcPr>
          <w:p>
            <w:pPr>
              <w:jc w:val="left"/>
            </w:pPr>
            <w:r/>
            <w:r>
              <w:rPr>
                <w:sz w:val="18"/>
              </w:rPr>
              <w:t>本研究最优区</w:t>
            </w:r>
          </w:p>
        </w:tc>
        <w:tc>
          <w:tcPr>
            <w:tcW w:type="dxa" w:w="1296"/>
          </w:tcPr>
          <w:p>
            <w:pPr>
              <w:jc w:val="center"/>
            </w:pPr>
            <w:r/>
            <w:r>
              <w:rPr>
                <w:sz w:val="18"/>
              </w:rPr>
              <w:t>≈100</w:t>
            </w:r>
          </w:p>
        </w:tc>
        <w:tc>
          <w:tcPr>
            <w:tcW w:type="dxa" w:w="1296"/>
          </w:tcPr>
          <w:p>
            <w:pPr>
              <w:jc w:val="center"/>
            </w:pPr>
            <w:r/>
            <w:r>
              <w:rPr>
                <w:sz w:val="18"/>
              </w:rPr>
              <w:t>≈100</w:t>
            </w:r>
          </w:p>
        </w:tc>
        <w:tc>
          <w:tcPr>
            <w:tcW w:type="dxa" w:w="1584"/>
          </w:tcPr>
          <w:p>
            <w:pPr>
              <w:jc w:val="center"/>
            </w:pPr>
            <w:r/>
            <w:r>
              <w:rPr>
                <w:sz w:val="18"/>
              </w:rPr>
              <w:t>≈100</w:t>
            </w:r>
          </w:p>
        </w:tc>
        <w:tc>
          <w:tcPr>
            <w:tcW w:type="dxa" w:w="1440"/>
          </w:tcPr>
          <w:p>
            <w:pPr>
              <w:jc w:val="center"/>
            </w:pPr>
            <w:r/>
            <w:r>
              <w:rPr>
                <w:sz w:val="18"/>
              </w:rPr>
              <w:t>≈100</w:t>
            </w:r>
          </w:p>
        </w:tc>
        <w:tc>
          <w:tcPr>
            <w:tcW w:type="dxa" w:w="1584"/>
          </w:tcPr>
          <w:p>
            <w:pPr>
              <w:jc w:val="center"/>
            </w:pPr>
            <w:r/>
            <w:r>
              <w:rPr>
                <w:sz w:val="18"/>
              </w:rPr>
              <w:t>0.0</w:t>
            </w:r>
          </w:p>
        </w:tc>
      </w:tr>
    </w:tbl>
    <w:p/>
    <w:p>
      <w:r>
        <w:t>模型独立地重现了论文的偏好：**LS3 在四种参数化下都是四点中最安全的，LS2 都是最危险的**。同时本研究的最优区与四个论文候选点相距 26–73 km，并不重合——这一差异在第 4.1 节解释。</w:t>
      </w:r>
    </w:p>
    <w:p>
      <w:pPr>
        <w:pStyle w:val="Heading2"/>
      </w:pPr>
      <w:r>
        <w:t>3.5  不确定性</w:t>
      </w:r>
    </w:p>
    <w:p>
      <w:r>
        <w:t>200 次参数抽样的结果是「面积不确定、排序稳定」：</w:t>
      </w:r>
    </w:p>
    <w:p>
      <w:r>
        <w:rPr>
          <w:b/>
          <w:sz w:val="19"/>
        </w:rPr>
        <w:t>表 7  安全区面积比例的 Monte Carlo 分布</w:t>
      </w:r>
    </w:p>
    <w:tbl>
      <w:tblPr>
        <w:tblStyle w:val="TableGrid"/>
        <w:tblW w:type="auto" w:w="0"/>
        <w:jc w:val="center"/>
        <w:tblLook w:firstColumn="1" w:firstRow="1" w:lastColumn="0" w:lastRow="0" w:noHBand="0" w:noVBand="1" w:val="04A0"/>
      </w:tblPr>
      <w:tblGrid>
        <w:gridCol w:w="2376"/>
        <w:gridCol w:w="2376"/>
        <w:gridCol w:w="2376"/>
        <w:gridCol w:w="2376"/>
      </w:tblGrid>
      <w:tr>
        <w:tc>
          <w:tcPr>
            <w:tcW w:type="dxa" w:w="3168"/>
          </w:tcPr>
          <w:p>
            <w:pPr>
              <w:jc w:val="center"/>
            </w:pPr>
            <w:r/>
            <w:r>
              <w:rPr>
                <w:b/>
                <w:sz w:val="18"/>
              </w:rPr>
              <w:t>运行</w:t>
            </w:r>
          </w:p>
        </w:tc>
        <w:tc>
          <w:tcPr>
            <w:tcW w:type="dxa" w:w="2016"/>
          </w:tcPr>
          <w:p>
            <w:pPr>
              <w:jc w:val="center"/>
            </w:pPr>
            <w:r/>
            <w:r>
              <w:rPr>
                <w:b/>
                <w:sz w:val="18"/>
              </w:rPr>
              <w:t>安全区比例均值</w:t>
            </w:r>
          </w:p>
        </w:tc>
        <w:tc>
          <w:tcPr>
            <w:tcW w:type="dxa" w:w="2160"/>
          </w:tcPr>
          <w:p>
            <w:pPr>
              <w:jc w:val="center"/>
            </w:pPr>
            <w:r/>
            <w:r>
              <w:rPr>
                <w:b/>
                <w:sz w:val="18"/>
              </w:rPr>
              <w:t>5–95% 区间</w:t>
            </w:r>
          </w:p>
        </w:tc>
        <w:tc>
          <w:tcPr>
            <w:tcW w:type="dxa" w:w="2160"/>
          </w:tcPr>
          <w:p>
            <w:pPr>
              <w:jc w:val="center"/>
            </w:pPr>
            <w:r/>
            <w:r>
              <w:rPr>
                <w:b/>
                <w:sz w:val="18"/>
              </w:rPr>
              <w:t>最小–最大</w:t>
            </w:r>
          </w:p>
        </w:tc>
      </w:tr>
      <w:tr>
        <w:tc>
          <w:tcPr>
            <w:tcW w:type="dxa" w:w="3168"/>
          </w:tcPr>
          <w:p>
            <w:pPr>
              <w:jc w:val="left"/>
            </w:pPr>
            <w:r/>
            <w:r>
              <w:rPr>
                <w:sz w:val="18"/>
              </w:rPr>
              <w:t>宽权重（Dirichlet 浓度 15）</w:t>
            </w:r>
          </w:p>
        </w:tc>
        <w:tc>
          <w:tcPr>
            <w:tcW w:type="dxa" w:w="2016"/>
          </w:tcPr>
          <w:p>
            <w:pPr>
              <w:jc w:val="center"/>
            </w:pPr>
            <w:r/>
            <w:r>
              <w:rPr>
                <w:sz w:val="18"/>
              </w:rPr>
              <w:t>0.708</w:t>
            </w:r>
          </w:p>
        </w:tc>
        <w:tc>
          <w:tcPr>
            <w:tcW w:type="dxa" w:w="2160"/>
          </w:tcPr>
          <w:p>
            <w:pPr>
              <w:jc w:val="left"/>
            </w:pPr>
            <w:r/>
            <w:r>
              <w:rPr>
                <w:sz w:val="18"/>
              </w:rPr>
              <w:t>0.384 – 0.931</w:t>
            </w:r>
          </w:p>
        </w:tc>
        <w:tc>
          <w:tcPr>
            <w:tcW w:type="dxa" w:w="2160"/>
          </w:tcPr>
          <w:p>
            <w:pPr>
              <w:jc w:val="left"/>
            </w:pPr>
            <w:r/>
            <w:r>
              <w:rPr>
                <w:sz w:val="18"/>
              </w:rPr>
              <w:t>0.209 – 0.963</w:t>
            </w:r>
          </w:p>
        </w:tc>
      </w:tr>
      <w:tr>
        <w:tc>
          <w:tcPr>
            <w:tcW w:type="dxa" w:w="3168"/>
          </w:tcPr>
          <w:p>
            <w:pPr>
              <w:jc w:val="left"/>
            </w:pPr>
            <w:r/>
            <w:r>
              <w:rPr>
                <w:sz w:val="18"/>
              </w:rPr>
              <w:t>约 ±30% 权重（浓度 60）</w:t>
            </w:r>
          </w:p>
        </w:tc>
        <w:tc>
          <w:tcPr>
            <w:tcW w:type="dxa" w:w="2016"/>
          </w:tcPr>
          <w:p>
            <w:pPr>
              <w:jc w:val="center"/>
            </w:pPr>
            <w:r/>
            <w:r>
              <w:rPr>
                <w:sz w:val="18"/>
              </w:rPr>
              <w:t>0.713</w:t>
            </w:r>
          </w:p>
        </w:tc>
        <w:tc>
          <w:tcPr>
            <w:tcW w:type="dxa" w:w="2160"/>
          </w:tcPr>
          <w:p>
            <w:pPr>
              <w:jc w:val="left"/>
            </w:pPr>
            <w:r/>
            <w:r>
              <w:rPr>
                <w:sz w:val="18"/>
              </w:rPr>
              <w:t>0.444 – 0.906</w:t>
            </w:r>
          </w:p>
        </w:tc>
        <w:tc>
          <w:tcPr>
            <w:tcW w:type="dxa" w:w="2160"/>
          </w:tcPr>
          <w:p>
            <w:pPr>
              <w:jc w:val="left"/>
            </w:pPr>
            <w:r/>
            <w:r>
              <w:rPr>
                <w:sz w:val="18"/>
              </w:rPr>
              <w:t>0.280 – 0.958</w:t>
            </w:r>
          </w:p>
        </w:tc>
      </w:tr>
    </w:tbl>
    <w:p/>
    <w:p>
      <w:r>
        <w:t>第 8 周的四个确定性取值（0.584 / 0.756 / 0.784 / 0.707）全部落在上述区间内，说明它们只是分布上的四个点，而不是四个结论。与此同时，我们的最优候选区在每一次抽样中都保持在前 1% 分位，论文 LS3 始终位于 79–88 分位、LS2 始终低于 4 分位。</w:t>
      </w:r>
    </w:p>
    <w:p>
      <w:r>
        <w:t>不确定性来源可以排序（以安全区比例的组间极差衡量）：</w:t>
      </w:r>
    </w:p>
    <w:p>
      <w:r>
        <w:rPr>
          <w:b/>
          <w:sz w:val="19"/>
        </w:rPr>
        <w:t>表 8  各参数对安全区面积的影响（Monte Carlo 组间极差）</w:t>
      </w:r>
    </w:p>
    <w:tbl>
      <w:tblPr>
        <w:tblStyle w:val="TableGrid"/>
        <w:tblW w:type="auto" w:w="0"/>
        <w:jc w:val="center"/>
        <w:tblLook w:firstColumn="1" w:firstRow="1" w:lastColumn="0" w:lastRow="0" w:noHBand="0" w:noVBand="1" w:val="04A0"/>
      </w:tblPr>
      <w:tblGrid>
        <w:gridCol w:w="2376"/>
        <w:gridCol w:w="2376"/>
        <w:gridCol w:w="2376"/>
        <w:gridCol w:w="2376"/>
      </w:tblGrid>
      <w:tr>
        <w:tc>
          <w:tcPr>
            <w:tcW w:type="dxa" w:w="3168"/>
          </w:tcPr>
          <w:p>
            <w:pPr>
              <w:jc w:val="center"/>
            </w:pPr>
            <w:r/>
            <w:r>
              <w:rPr>
                <w:b/>
                <w:sz w:val="18"/>
              </w:rPr>
              <w:t>参数</w:t>
            </w:r>
          </w:p>
        </w:tc>
        <w:tc>
          <w:tcPr>
            <w:tcW w:type="dxa" w:w="1296"/>
          </w:tcPr>
          <w:p>
            <w:pPr>
              <w:jc w:val="center"/>
            </w:pPr>
            <w:r/>
            <w:r>
              <w:rPr>
                <w:b/>
                <w:sz w:val="18"/>
              </w:rPr>
              <w:t>极差</w:t>
            </w:r>
          </w:p>
        </w:tc>
        <w:tc>
          <w:tcPr>
            <w:tcW w:type="dxa" w:w="3456"/>
          </w:tcPr>
          <w:p>
            <w:pPr>
              <w:jc w:val="center"/>
            </w:pPr>
            <w:r/>
            <w:r>
              <w:rPr>
                <w:b/>
                <w:sz w:val="18"/>
              </w:rPr>
              <w:t>参数</w:t>
            </w:r>
          </w:p>
        </w:tc>
        <w:tc>
          <w:tcPr>
            <w:tcW w:type="dxa" w:w="1296"/>
          </w:tcPr>
          <w:p>
            <w:pPr>
              <w:jc w:val="center"/>
            </w:pPr>
            <w:r/>
            <w:r>
              <w:rPr>
                <w:b/>
                <w:sz w:val="18"/>
              </w:rPr>
              <w:t>极差</w:t>
            </w:r>
          </w:p>
        </w:tc>
      </w:tr>
      <w:tr>
        <w:tc>
          <w:tcPr>
            <w:tcW w:type="dxa" w:w="3168"/>
          </w:tcPr>
          <w:p>
            <w:pPr>
              <w:jc w:val="left"/>
            </w:pPr>
            <w:r/>
            <w:r>
              <w:rPr>
                <w:sz w:val="18"/>
              </w:rPr>
              <w:t>坡度安全阈值 {3,5,8}°</w:t>
            </w:r>
          </w:p>
        </w:tc>
        <w:tc>
          <w:tcPr>
            <w:tcW w:type="dxa" w:w="1296"/>
          </w:tcPr>
          <w:p>
            <w:pPr>
              <w:jc w:val="center"/>
            </w:pPr>
            <w:r/>
            <w:r>
              <w:rPr>
                <w:sz w:val="18"/>
              </w:rPr>
              <w:t>0.177</w:t>
            </w:r>
          </w:p>
        </w:tc>
        <w:tc>
          <w:tcPr>
            <w:tcW w:type="dxa" w:w="3456"/>
          </w:tcPr>
          <w:p>
            <w:pPr>
              <w:jc w:val="left"/>
            </w:pPr>
            <w:r/>
            <w:r>
              <w:rPr>
                <w:sz w:val="18"/>
              </w:rPr>
              <w:t>坑缘缓冲 {500,1000,2000} m</w:t>
            </w:r>
          </w:p>
        </w:tc>
        <w:tc>
          <w:tcPr>
            <w:tcW w:type="dxa" w:w="1296"/>
          </w:tcPr>
          <w:p>
            <w:pPr>
              <w:jc w:val="center"/>
            </w:pPr>
            <w:r/>
            <w:r>
              <w:rPr>
                <w:sz w:val="18"/>
              </w:rPr>
              <w:t>0.115</w:t>
            </w:r>
          </w:p>
        </w:tc>
      </w:tr>
      <w:tr>
        <w:tc>
          <w:tcPr>
            <w:tcW w:type="dxa" w:w="3168"/>
          </w:tcPr>
          <w:p>
            <w:pPr>
              <w:jc w:val="left"/>
            </w:pPr>
            <w:r/>
            <w:r>
              <w:rPr>
                <w:sz w:val="18"/>
              </w:rPr>
              <w:t>坡度危险阈值 {10,15,20}°</w:t>
            </w:r>
          </w:p>
        </w:tc>
        <w:tc>
          <w:tcPr>
            <w:tcW w:type="dxa" w:w="1296"/>
          </w:tcPr>
          <w:p>
            <w:pPr>
              <w:jc w:val="center"/>
            </w:pPr>
            <w:r/>
            <w:r>
              <w:rPr>
                <w:sz w:val="18"/>
              </w:rPr>
              <w:t>0.161</w:t>
            </w:r>
          </w:p>
        </w:tc>
        <w:tc>
          <w:tcPr>
            <w:tcW w:type="dxa" w:w="3456"/>
          </w:tcPr>
          <w:p>
            <w:pPr>
              <w:jc w:val="left"/>
            </w:pPr>
            <w:r/>
            <w:r>
              <w:rPr>
                <w:sz w:val="18"/>
              </w:rPr>
              <w:t>撞击坑目录（632 vs 897）</w:t>
            </w:r>
          </w:p>
        </w:tc>
        <w:tc>
          <w:tcPr>
            <w:tcW w:type="dxa" w:w="1296"/>
          </w:tcPr>
          <w:p>
            <w:pPr>
              <w:jc w:val="center"/>
            </w:pPr>
            <w:r/>
            <w:r>
              <w:rPr>
                <w:sz w:val="18"/>
              </w:rPr>
              <w:t>0.034</w:t>
            </w:r>
          </w:p>
        </w:tc>
      </w:tr>
      <w:tr>
        <w:tc>
          <w:tcPr>
            <w:tcW w:type="dxa" w:w="3168"/>
          </w:tcPr>
          <w:p>
            <w:pPr>
              <w:jc w:val="left"/>
            </w:pPr>
            <w:r/>
            <w:r>
              <w:rPr>
                <w:sz w:val="18"/>
              </w:rPr>
              <w:t>粗糙度危险阈值 {3,5,10} m</w:t>
            </w:r>
          </w:p>
        </w:tc>
        <w:tc>
          <w:tcPr>
            <w:tcW w:type="dxa" w:w="1296"/>
          </w:tcPr>
          <w:p>
            <w:pPr>
              <w:jc w:val="center"/>
            </w:pPr>
            <w:r/>
            <w:r>
              <w:rPr>
                <w:sz w:val="18"/>
              </w:rPr>
              <w:t>0.147</w:t>
            </w:r>
          </w:p>
        </w:tc>
        <w:tc>
          <w:tcPr>
            <w:tcW w:type="dxa" w:w="3456"/>
          </w:tcPr>
          <w:p>
            <w:pPr>
              <w:jc w:val="left"/>
            </w:pPr>
            <w:r/>
            <w:r>
              <w:rPr>
                <w:sz w:val="18"/>
              </w:rPr>
              <w:t>粗糙度安全阈值 {0.5,1,2} m</w:t>
            </w:r>
          </w:p>
        </w:tc>
        <w:tc>
          <w:tcPr>
            <w:tcW w:type="dxa" w:w="1296"/>
          </w:tcPr>
          <w:p>
            <w:pPr>
              <w:jc w:val="center"/>
            </w:pPr>
            <w:r/>
            <w:r>
              <w:rPr>
                <w:sz w:val="18"/>
              </w:rPr>
              <w:t>0.033</w:t>
            </w:r>
          </w:p>
        </w:tc>
      </w:tr>
    </w:tbl>
    <w:p/>
    <w:p>
      <w:r>
        <w:t>权重中与安全区比例相关最强的是粗糙度权重（r = −0.44），坡度 +0.25、撞击坑 +0.14。空间上，仅 26.1% 的研究区在**任何**参数组合下都安全，35.2% 的区域安全性结论取决于参数（0.1 &lt; P(safe) &lt; 0.9），6.3% 在任何参数下都不安全。</w:t>
      </w:r>
    </w:p>
    <w:p>
      <w:pPr>
        <w:pStyle w:val="Heading2"/>
      </w:pPr>
      <w:r>
        <w:t>3.6  分辨率效应（H1）</w:t>
      </w:r>
    </w:p>
    <w:p>
      <w:r>
        <w:t>直接用 NAC 与 SLDEM 对比无法隔离分辨率效应（两者还差在垂直精度、基准与处理流程），且 NAC 条带与最优候选点 0 重叠。因此本实验把同一块 SLDEM 逐级块平均到 59 / 118 / 237 / 474 / 948 m，每次重跑完整评价流程；网格精确嵌套，比较逐格网配对，阈值、权重与撞击坑目录保持固定。自测在受控算例中验证了机制：幅度 10 m 的棋盘起伏在 59 m 下粗糙度 4.97 m、判为不安全，8 倍平均后粗糙度降为 0、判为安全。</w:t>
      </w:r>
    </w:p>
    <w:p>
      <w:r>
        <w:rPr>
          <w:b/>
          <w:sz w:val="19"/>
        </w:rPr>
        <w:t>表 9  同一地形逐级粗化后的安全区比例（%，逐格网配对）</w:t>
      </w:r>
    </w:p>
    <w:tbl>
      <w:tblPr>
        <w:tblStyle w:val="TableGrid"/>
        <w:tblW w:type="auto" w:w="0"/>
        <w:jc w:val="center"/>
        <w:tblLook w:firstColumn="1" w:firstRow="1" w:lastColumn="0" w:lastRow="0" w:noHBand="0" w:noVBand="1" w:val="04A0"/>
      </w:tblPr>
      <w:tblGrid>
        <w:gridCol w:w="1584"/>
        <w:gridCol w:w="1584"/>
        <w:gridCol w:w="1584"/>
        <w:gridCol w:w="1584"/>
        <w:gridCol w:w="1584"/>
        <w:gridCol w:w="1584"/>
      </w:tblGrid>
      <w:tr>
        <w:tc>
          <w:tcPr>
            <w:tcW w:type="dxa" w:w="1728"/>
          </w:tcPr>
          <w:p>
            <w:pPr>
              <w:jc w:val="center"/>
            </w:pPr>
            <w:r/>
            <w:r>
              <w:rPr>
                <w:b/>
                <w:sz w:val="18"/>
              </w:rPr>
              <w:t>有效像元</w:t>
            </w:r>
          </w:p>
        </w:tc>
        <w:tc>
          <w:tcPr>
            <w:tcW w:type="dxa" w:w="1440"/>
          </w:tcPr>
          <w:p>
            <w:pPr>
              <w:jc w:val="center"/>
            </w:pPr>
            <w:r/>
            <w:r>
              <w:rPr>
                <w:b/>
                <w:sz w:val="18"/>
              </w:rPr>
              <w:t>坡度 p95</w:t>
            </w:r>
          </w:p>
        </w:tc>
        <w:tc>
          <w:tcPr>
            <w:tcW w:type="dxa" w:w="1584"/>
          </w:tcPr>
          <w:p>
            <w:pPr>
              <w:jc w:val="center"/>
            </w:pPr>
            <w:r/>
            <w:r>
              <w:rPr>
                <w:b/>
                <w:sz w:val="18"/>
              </w:rPr>
              <w:t>&gt;=15 度比例</w:t>
            </w:r>
          </w:p>
        </w:tc>
        <w:tc>
          <w:tcPr>
            <w:tcW w:type="dxa" w:w="1584"/>
          </w:tcPr>
          <w:p>
            <w:pPr>
              <w:jc w:val="center"/>
            </w:pPr>
            <w:r/>
            <w:r>
              <w:rPr>
                <w:b/>
                <w:sz w:val="18"/>
              </w:rPr>
              <w:t>粗糙度 p95</w:t>
            </w:r>
          </w:p>
        </w:tc>
        <w:tc>
          <w:tcPr>
            <w:tcW w:type="dxa" w:w="2016"/>
          </w:tcPr>
          <w:p>
            <w:pPr>
              <w:jc w:val="center"/>
            </w:pPr>
            <w:r/>
            <w:r>
              <w:rPr>
                <w:b/>
                <w:sz w:val="18"/>
              </w:rPr>
              <w:t>安全区（仅坡度）</w:t>
            </w:r>
          </w:p>
        </w:tc>
        <w:tc>
          <w:tcPr>
            <w:tcW w:type="dxa" w:w="2304"/>
          </w:tcPr>
          <w:p>
            <w:pPr>
              <w:jc w:val="center"/>
            </w:pPr>
            <w:r/>
            <w:r>
              <w:rPr>
                <w:b/>
                <w:sz w:val="18"/>
              </w:rPr>
              <w:t>安全区（坡度+粗糙度）</w:t>
            </w:r>
          </w:p>
        </w:tc>
      </w:tr>
      <w:tr>
        <w:tc>
          <w:tcPr>
            <w:tcW w:type="dxa" w:w="1728"/>
          </w:tcPr>
          <w:p>
            <w:pPr>
              <w:jc w:val="left"/>
            </w:pPr>
            <w:r/>
            <w:r>
              <w:rPr>
                <w:sz w:val="18"/>
              </w:rPr>
              <w:t>59.2 m</w:t>
            </w:r>
          </w:p>
        </w:tc>
        <w:tc>
          <w:tcPr>
            <w:tcW w:type="dxa" w:w="1440"/>
          </w:tcPr>
          <w:p>
            <w:pPr>
              <w:jc w:val="center"/>
            </w:pPr>
            <w:r/>
            <w:r>
              <w:rPr>
                <w:sz w:val="18"/>
              </w:rPr>
              <w:t>14.26°</w:t>
            </w:r>
          </w:p>
        </w:tc>
        <w:tc>
          <w:tcPr>
            <w:tcW w:type="dxa" w:w="1584"/>
          </w:tcPr>
          <w:p>
            <w:pPr>
              <w:jc w:val="center"/>
            </w:pPr>
            <w:r/>
            <w:r>
              <w:rPr>
                <w:sz w:val="18"/>
              </w:rPr>
              <w:t>4.33 %</w:t>
            </w:r>
          </w:p>
        </w:tc>
        <w:tc>
          <w:tcPr>
            <w:tcW w:type="dxa" w:w="1584"/>
          </w:tcPr>
          <w:p>
            <w:pPr>
              <w:jc w:val="center"/>
            </w:pPr>
            <w:r/>
            <w:r>
              <w:rPr>
                <w:sz w:val="18"/>
              </w:rPr>
              <w:t>12.23 m</w:t>
            </w:r>
          </w:p>
        </w:tc>
        <w:tc>
          <w:tcPr>
            <w:tcW w:type="dxa" w:w="2016"/>
          </w:tcPr>
          <w:p>
            <w:pPr>
              <w:jc w:val="center"/>
            </w:pPr>
            <w:r/>
            <w:r>
              <w:rPr>
                <w:sz w:val="18"/>
              </w:rPr>
              <w:t>81.3 %</w:t>
            </w:r>
          </w:p>
        </w:tc>
        <w:tc>
          <w:tcPr>
            <w:tcW w:type="dxa" w:w="2304"/>
          </w:tcPr>
          <w:p>
            <w:pPr>
              <w:jc w:val="center"/>
            </w:pPr>
            <w:r/>
            <w:r>
              <w:rPr>
                <w:sz w:val="18"/>
              </w:rPr>
              <w:t>51.1 %</w:t>
            </w:r>
          </w:p>
        </w:tc>
      </w:tr>
      <w:tr>
        <w:tc>
          <w:tcPr>
            <w:tcW w:type="dxa" w:w="1728"/>
          </w:tcPr>
          <w:p>
            <w:pPr>
              <w:jc w:val="left"/>
            </w:pPr>
            <w:r/>
            <w:r>
              <w:rPr>
                <w:sz w:val="18"/>
              </w:rPr>
              <w:t>118.4 m</w:t>
            </w:r>
          </w:p>
        </w:tc>
        <w:tc>
          <w:tcPr>
            <w:tcW w:type="dxa" w:w="1440"/>
          </w:tcPr>
          <w:p>
            <w:pPr>
              <w:jc w:val="center"/>
            </w:pPr>
            <w:r/>
            <w:r>
              <w:rPr>
                <w:sz w:val="18"/>
              </w:rPr>
              <w:t>13.42°</w:t>
            </w:r>
          </w:p>
        </w:tc>
        <w:tc>
          <w:tcPr>
            <w:tcW w:type="dxa" w:w="1584"/>
          </w:tcPr>
          <w:p>
            <w:pPr>
              <w:jc w:val="center"/>
            </w:pPr>
            <w:r/>
            <w:r>
              <w:rPr>
                <w:sz w:val="18"/>
              </w:rPr>
              <w:t>3.67 %</w:t>
            </w:r>
          </w:p>
        </w:tc>
        <w:tc>
          <w:tcPr>
            <w:tcW w:type="dxa" w:w="1584"/>
          </w:tcPr>
          <w:p>
            <w:pPr>
              <w:jc w:val="center"/>
            </w:pPr>
            <w:r/>
            <w:r>
              <w:rPr>
                <w:sz w:val="18"/>
              </w:rPr>
              <w:t>22.83 m</w:t>
            </w:r>
          </w:p>
        </w:tc>
        <w:tc>
          <w:tcPr>
            <w:tcW w:type="dxa" w:w="2016"/>
          </w:tcPr>
          <w:p>
            <w:pPr>
              <w:jc w:val="center"/>
            </w:pPr>
            <w:r/>
            <w:r>
              <w:rPr>
                <w:sz w:val="18"/>
              </w:rPr>
              <w:t>84.2 %</w:t>
            </w:r>
          </w:p>
        </w:tc>
        <w:tc>
          <w:tcPr>
            <w:tcW w:type="dxa" w:w="2304"/>
          </w:tcPr>
          <w:p>
            <w:pPr>
              <w:jc w:val="center"/>
            </w:pPr>
            <w:r/>
            <w:r>
              <w:rPr>
                <w:sz w:val="18"/>
              </w:rPr>
              <w:t>31.0 %</w:t>
            </w:r>
          </w:p>
        </w:tc>
      </w:tr>
      <w:tr>
        <w:tc>
          <w:tcPr>
            <w:tcW w:type="dxa" w:w="1728"/>
          </w:tcPr>
          <w:p>
            <w:pPr>
              <w:jc w:val="left"/>
            </w:pPr>
            <w:r/>
            <w:r>
              <w:rPr>
                <w:sz w:val="18"/>
              </w:rPr>
              <w:t>236.9 m</w:t>
            </w:r>
          </w:p>
        </w:tc>
        <w:tc>
          <w:tcPr>
            <w:tcW w:type="dxa" w:w="1440"/>
          </w:tcPr>
          <w:p>
            <w:pPr>
              <w:jc w:val="center"/>
            </w:pPr>
            <w:r/>
            <w:r>
              <w:rPr>
                <w:sz w:val="18"/>
              </w:rPr>
              <w:t>12.19°</w:t>
            </w:r>
          </w:p>
        </w:tc>
        <w:tc>
          <w:tcPr>
            <w:tcW w:type="dxa" w:w="1584"/>
          </w:tcPr>
          <w:p>
            <w:pPr>
              <w:jc w:val="center"/>
            </w:pPr>
            <w:r/>
            <w:r>
              <w:rPr>
                <w:sz w:val="18"/>
              </w:rPr>
              <w:t>2.86 %</w:t>
            </w:r>
          </w:p>
        </w:tc>
        <w:tc>
          <w:tcPr>
            <w:tcW w:type="dxa" w:w="1584"/>
          </w:tcPr>
          <w:p>
            <w:pPr>
              <w:jc w:val="center"/>
            </w:pPr>
            <w:r/>
            <w:r>
              <w:rPr>
                <w:sz w:val="18"/>
              </w:rPr>
              <w:t>41.08 m</w:t>
            </w:r>
          </w:p>
        </w:tc>
        <w:tc>
          <w:tcPr>
            <w:tcW w:type="dxa" w:w="2016"/>
          </w:tcPr>
          <w:p>
            <w:pPr>
              <w:jc w:val="center"/>
            </w:pPr>
            <w:r/>
            <w:r>
              <w:rPr>
                <w:sz w:val="18"/>
              </w:rPr>
              <w:t>87.3 %</w:t>
            </w:r>
          </w:p>
        </w:tc>
        <w:tc>
          <w:tcPr>
            <w:tcW w:type="dxa" w:w="2304"/>
          </w:tcPr>
          <w:p>
            <w:pPr>
              <w:jc w:val="center"/>
            </w:pPr>
            <w:r/>
            <w:r>
              <w:rPr>
                <w:sz w:val="18"/>
              </w:rPr>
              <w:t>21.8 %</w:t>
            </w:r>
          </w:p>
        </w:tc>
      </w:tr>
      <w:tr>
        <w:tc>
          <w:tcPr>
            <w:tcW w:type="dxa" w:w="1728"/>
          </w:tcPr>
          <w:p>
            <w:pPr>
              <w:jc w:val="left"/>
            </w:pPr>
            <w:r/>
            <w:r>
              <w:rPr>
                <w:sz w:val="18"/>
              </w:rPr>
              <w:t>473.8 m</w:t>
            </w:r>
          </w:p>
        </w:tc>
        <w:tc>
          <w:tcPr>
            <w:tcW w:type="dxa" w:w="1440"/>
          </w:tcPr>
          <w:p>
            <w:pPr>
              <w:jc w:val="center"/>
            </w:pPr>
            <w:r/>
            <w:r>
              <w:rPr>
                <w:sz w:val="18"/>
              </w:rPr>
              <w:t>10.20°</w:t>
            </w:r>
          </w:p>
        </w:tc>
        <w:tc>
          <w:tcPr>
            <w:tcW w:type="dxa" w:w="1584"/>
          </w:tcPr>
          <w:p>
            <w:pPr>
              <w:jc w:val="center"/>
            </w:pPr>
            <w:r/>
            <w:r>
              <w:rPr>
                <w:sz w:val="18"/>
              </w:rPr>
              <w:t>1.85 %</w:t>
            </w:r>
          </w:p>
        </w:tc>
        <w:tc>
          <w:tcPr>
            <w:tcW w:type="dxa" w:w="1584"/>
          </w:tcPr>
          <w:p>
            <w:pPr>
              <w:jc w:val="center"/>
            </w:pPr>
            <w:r/>
            <w:r>
              <w:rPr>
                <w:sz w:val="18"/>
              </w:rPr>
              <w:t>68.12 m</w:t>
            </w:r>
          </w:p>
        </w:tc>
        <w:tc>
          <w:tcPr>
            <w:tcW w:type="dxa" w:w="2016"/>
          </w:tcPr>
          <w:p>
            <w:pPr>
              <w:jc w:val="center"/>
            </w:pPr>
            <w:r/>
            <w:r>
              <w:rPr>
                <w:sz w:val="18"/>
              </w:rPr>
              <w:t>91.7 %</w:t>
            </w:r>
          </w:p>
        </w:tc>
        <w:tc>
          <w:tcPr>
            <w:tcW w:type="dxa" w:w="2304"/>
          </w:tcPr>
          <w:p>
            <w:pPr>
              <w:jc w:val="center"/>
            </w:pPr>
            <w:r/>
            <w:r>
              <w:rPr>
                <w:sz w:val="18"/>
              </w:rPr>
              <w:t>15.9 %</w:t>
            </w:r>
          </w:p>
        </w:tc>
      </w:tr>
      <w:tr>
        <w:tc>
          <w:tcPr>
            <w:tcW w:type="dxa" w:w="1728"/>
          </w:tcPr>
          <w:p>
            <w:pPr>
              <w:jc w:val="left"/>
            </w:pPr>
            <w:r/>
            <w:r>
              <w:rPr>
                <w:sz w:val="18"/>
              </w:rPr>
              <w:t>947.5 m</w:t>
            </w:r>
          </w:p>
        </w:tc>
        <w:tc>
          <w:tcPr>
            <w:tcW w:type="dxa" w:w="1440"/>
          </w:tcPr>
          <w:p>
            <w:pPr>
              <w:jc w:val="center"/>
            </w:pPr>
            <w:r/>
            <w:r>
              <w:rPr>
                <w:sz w:val="18"/>
              </w:rPr>
              <w:t>7.61°</w:t>
            </w:r>
          </w:p>
        </w:tc>
        <w:tc>
          <w:tcPr>
            <w:tcW w:type="dxa" w:w="1584"/>
          </w:tcPr>
          <w:p>
            <w:pPr>
              <w:jc w:val="center"/>
            </w:pPr>
            <w:r/>
            <w:r>
              <w:rPr>
                <w:sz w:val="18"/>
              </w:rPr>
              <w:t>1.10 %</w:t>
            </w:r>
          </w:p>
        </w:tc>
        <w:tc>
          <w:tcPr>
            <w:tcW w:type="dxa" w:w="1584"/>
          </w:tcPr>
          <w:p>
            <w:pPr>
              <w:jc w:val="center"/>
            </w:pPr>
            <w:r/>
            <w:r>
              <w:rPr>
                <w:sz w:val="18"/>
              </w:rPr>
              <w:t>101.44 m</w:t>
            </w:r>
          </w:p>
        </w:tc>
        <w:tc>
          <w:tcPr>
            <w:tcW w:type="dxa" w:w="2016"/>
          </w:tcPr>
          <w:p>
            <w:pPr>
              <w:jc w:val="center"/>
            </w:pPr>
            <w:r/>
            <w:r>
              <w:rPr>
                <w:sz w:val="18"/>
              </w:rPr>
              <w:t>95.9 %</w:t>
            </w:r>
          </w:p>
        </w:tc>
        <w:tc>
          <w:tcPr>
            <w:tcW w:type="dxa" w:w="2304"/>
          </w:tcPr>
          <w:p>
            <w:pPr>
              <w:jc w:val="center"/>
            </w:pPr>
            <w:r/>
            <w:r>
              <w:rPr>
                <w:sz w:val="18"/>
              </w:rPr>
              <w:t>8.7 %</w:t>
            </w:r>
          </w:p>
        </w:tc>
      </w:tr>
    </w:tbl>
    <w:p/>
    <w:p>
      <w:r>
        <w:t>逐格网配对（59 m 与 948 m，30,720 个格网）给出两个相反方向的结论：仅坡度判据下 8.8% 的区域由不安全翻转为安全（反向仅 0.1%），安全区由 81.3% 升到 95.9%，H1 成立；加入粗糙度后 41.8% 的区域由安全翻转为不安全，安全区降到 8.7%，方向相反。原因是粗糙度窗口以像素计，像元粗化 16 倍使窗口的物理尺度由 178 m 膨胀到 2.8 km，测到的不再是局部起伏而是区域地形起伏。</w:t>
      </w:r>
    </w:p>
    <w:p>
      <w:r>
        <w:t>因此对 H1 的结论是：该假设适用于阈值型判据，不适用于窗口统计型判据；跨分辨率比较必须固定指标的物理支撑尺度，报告安全区面积时也必须写明这一尺度。</w:t>
      </w:r>
    </w:p>
    <w:p>
      <w:r>
        <w:br w:type="page"/>
      </w:r>
    </w:p>
    <w:p>
      <w:pPr>
        <w:pStyle w:val="Heading1"/>
      </w:pPr>
      <w:r>
        <w:t>4  讨论</w:t>
      </w:r>
    </w:p>
    <w:p>
      <w:pPr>
        <w:pStyle w:val="Heading2"/>
      </w:pPr>
      <w:r>
        <w:t>4.1  失败案例：论文的 LS2 与我们的判定相反</w:t>
      </w:r>
    </w:p>
    <w:p>
      <w:r>
        <w:t>LS2 是全文最有价值的案例：论文把它列为候选点，我们的模型判为最危险。把 5 km 窗口内的物理量列出来，分歧的原因就清楚了：</w:t>
      </w:r>
    </w:p>
    <w:p>
      <w:r>
        <w:rPr>
          <w:b/>
          <w:sz w:val="19"/>
        </w:rPr>
        <w:t>表 9  各站点 5 km 窗口内的物理地形事实</w:t>
      </w:r>
    </w:p>
    <w:tbl>
      <w:tblPr>
        <w:tblStyle w:val="TableGrid"/>
        <w:tblW w:type="auto" w:w="0"/>
        <w:jc w:val="center"/>
        <w:tblLook w:firstColumn="1" w:firstRow="1" w:lastColumn="0" w:lastRow="0" w:noHBand="0" w:noVBand="1" w:val="04A0"/>
      </w:tblPr>
      <w:tblGrid>
        <w:gridCol w:w="1358"/>
        <w:gridCol w:w="1358"/>
        <w:gridCol w:w="1358"/>
        <w:gridCol w:w="1358"/>
        <w:gridCol w:w="1358"/>
        <w:gridCol w:w="1358"/>
        <w:gridCol w:w="1358"/>
      </w:tblGrid>
      <w:tr>
        <w:tc>
          <w:tcPr>
            <w:tcW w:type="dxa" w:w="1728"/>
          </w:tcPr>
          <w:p>
            <w:pPr>
              <w:jc w:val="center"/>
            </w:pPr>
            <w:r/>
            <w:r>
              <w:rPr>
                <w:b/>
                <w:sz w:val="18"/>
              </w:rPr>
              <w:t>站点</w:t>
            </w:r>
          </w:p>
        </w:tc>
        <w:tc>
          <w:tcPr>
            <w:tcW w:type="dxa" w:w="1296"/>
          </w:tcPr>
          <w:p>
            <w:pPr>
              <w:jc w:val="center"/>
            </w:pPr>
            <w:r/>
            <w:r>
              <w:rPr>
                <w:b/>
                <w:sz w:val="18"/>
              </w:rPr>
              <w:t>坡度中位数</w:t>
            </w:r>
          </w:p>
        </w:tc>
        <w:tc>
          <w:tcPr>
            <w:tcW w:type="dxa" w:w="1152"/>
          </w:tcPr>
          <w:p>
            <w:pPr>
              <w:jc w:val="center"/>
            </w:pPr>
            <w:r/>
            <w:r>
              <w:rPr>
                <w:b/>
                <w:sz w:val="18"/>
              </w:rPr>
              <w:t>坡度 p95</w:t>
            </w:r>
          </w:p>
        </w:tc>
        <w:tc>
          <w:tcPr>
            <w:tcW w:type="dxa" w:w="1584"/>
          </w:tcPr>
          <w:p>
            <w:pPr>
              <w:jc w:val="center"/>
            </w:pPr>
            <w:r/>
            <w:r>
              <w:rPr>
                <w:b/>
                <w:sz w:val="18"/>
              </w:rPr>
              <w:t>粗糙度中位数</w:t>
            </w:r>
          </w:p>
        </w:tc>
        <w:tc>
          <w:tcPr>
            <w:tcW w:type="dxa" w:w="1440"/>
          </w:tcPr>
          <w:p>
            <w:pPr>
              <w:jc w:val="center"/>
            </w:pPr>
            <w:r/>
            <w:r>
              <w:rPr>
                <w:b/>
                <w:sz w:val="18"/>
              </w:rPr>
              <w:t>粗糙度 p95</w:t>
            </w:r>
          </w:p>
        </w:tc>
        <w:tc>
          <w:tcPr>
            <w:tcW w:type="dxa" w:w="1296"/>
          </w:tcPr>
          <w:p>
            <w:pPr>
              <w:jc w:val="center"/>
            </w:pPr>
            <w:r/>
            <w:r>
              <w:rPr>
                <w:b/>
                <w:sz w:val="18"/>
              </w:rPr>
              <w:t>窗口内坑数</w:t>
            </w:r>
          </w:p>
        </w:tc>
        <w:tc>
          <w:tcPr>
            <w:tcW w:type="dxa" w:w="1296"/>
          </w:tcPr>
          <w:p>
            <w:pPr>
              <w:jc w:val="center"/>
            </w:pPr>
            <w:r/>
            <w:r>
              <w:rPr>
                <w:b/>
                <w:sz w:val="18"/>
              </w:rPr>
              <w:t>最近坑距</w:t>
            </w:r>
          </w:p>
        </w:tc>
      </w:tr>
      <w:tr>
        <w:tc>
          <w:tcPr>
            <w:tcW w:type="dxa" w:w="1728"/>
          </w:tcPr>
          <w:p>
            <w:pPr>
              <w:jc w:val="left"/>
            </w:pPr>
            <w:r/>
            <w:r>
              <w:rPr>
                <w:sz w:val="18"/>
              </w:rPr>
              <w:t>LS2</w:t>
            </w:r>
          </w:p>
        </w:tc>
        <w:tc>
          <w:tcPr>
            <w:tcW w:type="dxa" w:w="1296"/>
          </w:tcPr>
          <w:p>
            <w:pPr>
              <w:jc w:val="center"/>
            </w:pPr>
            <w:r/>
            <w:r>
              <w:rPr>
                <w:sz w:val="18"/>
              </w:rPr>
              <w:t>9.00°</w:t>
            </w:r>
          </w:p>
        </w:tc>
        <w:tc>
          <w:tcPr>
            <w:tcW w:type="dxa" w:w="1152"/>
          </w:tcPr>
          <w:p>
            <w:pPr>
              <w:jc w:val="center"/>
            </w:pPr>
            <w:r/>
            <w:r>
              <w:rPr>
                <w:sz w:val="18"/>
              </w:rPr>
              <w:t>25.64°</w:t>
            </w:r>
          </w:p>
        </w:tc>
        <w:tc>
          <w:tcPr>
            <w:tcW w:type="dxa" w:w="1584"/>
          </w:tcPr>
          <w:p>
            <w:pPr>
              <w:jc w:val="center"/>
            </w:pPr>
            <w:r/>
            <w:r>
              <w:rPr>
                <w:sz w:val="18"/>
              </w:rPr>
              <w:t>7.79 m</w:t>
            </w:r>
          </w:p>
        </w:tc>
        <w:tc>
          <w:tcPr>
            <w:tcW w:type="dxa" w:w="1440"/>
          </w:tcPr>
          <w:p>
            <w:pPr>
              <w:jc w:val="center"/>
            </w:pPr>
            <w:r/>
            <w:r>
              <w:rPr>
                <w:sz w:val="18"/>
              </w:rPr>
              <w:t>23.16 m</w:t>
            </w:r>
          </w:p>
        </w:tc>
        <w:tc>
          <w:tcPr>
            <w:tcW w:type="dxa" w:w="1296"/>
          </w:tcPr>
          <w:p>
            <w:pPr>
              <w:jc w:val="center"/>
            </w:pPr>
            <w:r/>
            <w:r>
              <w:rPr>
                <w:sz w:val="18"/>
              </w:rPr>
              <w:t>2</w:t>
            </w:r>
          </w:p>
        </w:tc>
        <w:tc>
          <w:tcPr>
            <w:tcW w:type="dxa" w:w="1296"/>
          </w:tcPr>
          <w:p>
            <w:pPr>
              <w:jc w:val="center"/>
            </w:pPr>
            <w:r/>
            <w:r>
              <w:rPr>
                <w:sz w:val="18"/>
              </w:rPr>
              <w:t>1.55 km</w:t>
            </w:r>
          </w:p>
        </w:tc>
      </w:tr>
      <w:tr>
        <w:tc>
          <w:tcPr>
            <w:tcW w:type="dxa" w:w="1728"/>
          </w:tcPr>
          <w:p>
            <w:pPr>
              <w:jc w:val="left"/>
            </w:pPr>
            <w:r/>
            <w:r>
              <w:rPr>
                <w:sz w:val="18"/>
              </w:rPr>
              <w:t>LS1</w:t>
            </w:r>
          </w:p>
        </w:tc>
        <w:tc>
          <w:tcPr>
            <w:tcW w:type="dxa" w:w="1296"/>
          </w:tcPr>
          <w:p>
            <w:pPr>
              <w:jc w:val="center"/>
            </w:pPr>
            <w:r/>
            <w:r>
              <w:rPr>
                <w:sz w:val="18"/>
              </w:rPr>
              <w:t>2.51°</w:t>
            </w:r>
          </w:p>
        </w:tc>
        <w:tc>
          <w:tcPr>
            <w:tcW w:type="dxa" w:w="1152"/>
          </w:tcPr>
          <w:p>
            <w:pPr>
              <w:jc w:val="center"/>
            </w:pPr>
            <w:r/>
            <w:r>
              <w:rPr>
                <w:sz w:val="18"/>
              </w:rPr>
              <w:t>20.27°</w:t>
            </w:r>
          </w:p>
        </w:tc>
        <w:tc>
          <w:tcPr>
            <w:tcW w:type="dxa" w:w="1584"/>
          </w:tcPr>
          <w:p>
            <w:pPr>
              <w:jc w:val="center"/>
            </w:pPr>
            <w:r/>
            <w:r>
              <w:rPr>
                <w:sz w:val="18"/>
              </w:rPr>
              <w:t>2.21 m</w:t>
            </w:r>
          </w:p>
        </w:tc>
        <w:tc>
          <w:tcPr>
            <w:tcW w:type="dxa" w:w="1440"/>
          </w:tcPr>
          <w:p>
            <w:pPr>
              <w:jc w:val="center"/>
            </w:pPr>
            <w:r/>
            <w:r>
              <w:rPr>
                <w:sz w:val="18"/>
              </w:rPr>
              <w:t>17.94 m</w:t>
            </w:r>
          </w:p>
        </w:tc>
        <w:tc>
          <w:tcPr>
            <w:tcW w:type="dxa" w:w="1296"/>
          </w:tcPr>
          <w:p>
            <w:pPr>
              <w:jc w:val="center"/>
            </w:pPr>
            <w:r/>
            <w:r>
              <w:rPr>
                <w:sz w:val="18"/>
              </w:rPr>
              <w:t>0</w:t>
            </w:r>
          </w:p>
        </w:tc>
        <w:tc>
          <w:tcPr>
            <w:tcW w:type="dxa" w:w="1296"/>
          </w:tcPr>
          <w:p>
            <w:pPr>
              <w:jc w:val="center"/>
            </w:pPr>
            <w:r/>
            <w:r>
              <w:rPr>
                <w:sz w:val="18"/>
              </w:rPr>
              <w:t>2.77 km</w:t>
            </w:r>
          </w:p>
        </w:tc>
      </w:tr>
      <w:tr>
        <w:tc>
          <w:tcPr>
            <w:tcW w:type="dxa" w:w="1728"/>
          </w:tcPr>
          <w:p>
            <w:pPr>
              <w:jc w:val="left"/>
            </w:pPr>
            <w:r/>
            <w:r>
              <w:rPr>
                <w:sz w:val="18"/>
              </w:rPr>
              <w:t>LS3</w:t>
            </w:r>
          </w:p>
        </w:tc>
        <w:tc>
          <w:tcPr>
            <w:tcW w:type="dxa" w:w="1296"/>
          </w:tcPr>
          <w:p>
            <w:pPr>
              <w:jc w:val="center"/>
            </w:pPr>
            <w:r/>
            <w:r>
              <w:rPr>
                <w:sz w:val="18"/>
              </w:rPr>
              <w:t>2.85°</w:t>
            </w:r>
          </w:p>
        </w:tc>
        <w:tc>
          <w:tcPr>
            <w:tcW w:type="dxa" w:w="1152"/>
          </w:tcPr>
          <w:p>
            <w:pPr>
              <w:jc w:val="center"/>
            </w:pPr>
            <w:r/>
            <w:r>
              <w:rPr>
                <w:sz w:val="18"/>
              </w:rPr>
              <w:t>7.23°</w:t>
            </w:r>
          </w:p>
        </w:tc>
        <w:tc>
          <w:tcPr>
            <w:tcW w:type="dxa" w:w="1584"/>
          </w:tcPr>
          <w:p>
            <w:pPr>
              <w:jc w:val="center"/>
            </w:pPr>
            <w:r/>
            <w:r>
              <w:rPr>
                <w:sz w:val="18"/>
              </w:rPr>
              <w:t>2.56 m</w:t>
            </w:r>
          </w:p>
        </w:tc>
        <w:tc>
          <w:tcPr>
            <w:tcW w:type="dxa" w:w="1440"/>
          </w:tcPr>
          <w:p>
            <w:pPr>
              <w:jc w:val="center"/>
            </w:pPr>
            <w:r/>
            <w:r>
              <w:rPr>
                <w:sz w:val="18"/>
              </w:rPr>
              <w:t>5.93 m</w:t>
            </w:r>
          </w:p>
        </w:tc>
        <w:tc>
          <w:tcPr>
            <w:tcW w:type="dxa" w:w="1296"/>
          </w:tcPr>
          <w:p>
            <w:pPr>
              <w:jc w:val="center"/>
            </w:pPr>
            <w:r/>
            <w:r>
              <w:rPr>
                <w:sz w:val="18"/>
              </w:rPr>
              <w:t>0</w:t>
            </w:r>
          </w:p>
        </w:tc>
        <w:tc>
          <w:tcPr>
            <w:tcW w:type="dxa" w:w="1296"/>
          </w:tcPr>
          <w:p>
            <w:pPr>
              <w:jc w:val="center"/>
            </w:pPr>
            <w:r/>
            <w:r>
              <w:rPr>
                <w:sz w:val="18"/>
              </w:rPr>
              <w:t>5.34 km</w:t>
            </w:r>
          </w:p>
        </w:tc>
      </w:tr>
      <w:tr>
        <w:tc>
          <w:tcPr>
            <w:tcW w:type="dxa" w:w="1728"/>
          </w:tcPr>
          <w:p>
            <w:pPr>
              <w:jc w:val="left"/>
            </w:pPr>
            <w:r/>
            <w:r>
              <w:rPr>
                <w:sz w:val="18"/>
              </w:rPr>
              <w:t>LS4</w:t>
            </w:r>
          </w:p>
        </w:tc>
        <w:tc>
          <w:tcPr>
            <w:tcW w:type="dxa" w:w="1296"/>
          </w:tcPr>
          <w:p>
            <w:pPr>
              <w:jc w:val="center"/>
            </w:pPr>
            <w:r/>
            <w:r>
              <w:rPr>
                <w:sz w:val="18"/>
              </w:rPr>
              <w:t>3.52°</w:t>
            </w:r>
          </w:p>
        </w:tc>
        <w:tc>
          <w:tcPr>
            <w:tcW w:type="dxa" w:w="1152"/>
          </w:tcPr>
          <w:p>
            <w:pPr>
              <w:jc w:val="center"/>
            </w:pPr>
            <w:r/>
            <w:r>
              <w:rPr>
                <w:sz w:val="18"/>
              </w:rPr>
              <w:t>13.91°</w:t>
            </w:r>
          </w:p>
        </w:tc>
        <w:tc>
          <w:tcPr>
            <w:tcW w:type="dxa" w:w="1584"/>
          </w:tcPr>
          <w:p>
            <w:pPr>
              <w:jc w:val="center"/>
            </w:pPr>
            <w:r/>
            <w:r>
              <w:rPr>
                <w:sz w:val="18"/>
              </w:rPr>
              <w:t>3.09 m</w:t>
            </w:r>
          </w:p>
        </w:tc>
        <w:tc>
          <w:tcPr>
            <w:tcW w:type="dxa" w:w="1440"/>
          </w:tcPr>
          <w:p>
            <w:pPr>
              <w:jc w:val="center"/>
            </w:pPr>
            <w:r/>
            <w:r>
              <w:rPr>
                <w:sz w:val="18"/>
              </w:rPr>
              <w:t>11.83 m</w:t>
            </w:r>
          </w:p>
        </w:tc>
        <w:tc>
          <w:tcPr>
            <w:tcW w:type="dxa" w:w="1296"/>
          </w:tcPr>
          <w:p>
            <w:pPr>
              <w:jc w:val="center"/>
            </w:pPr>
            <w:r/>
            <w:r>
              <w:rPr>
                <w:sz w:val="18"/>
              </w:rPr>
              <w:t>1</w:t>
            </w:r>
          </w:p>
        </w:tc>
        <w:tc>
          <w:tcPr>
            <w:tcW w:type="dxa" w:w="1296"/>
          </w:tcPr>
          <w:p>
            <w:pPr>
              <w:jc w:val="center"/>
            </w:pPr>
            <w:r/>
            <w:r>
              <w:rPr>
                <w:sz w:val="18"/>
              </w:rPr>
              <w:t>1.64 km</w:t>
            </w:r>
          </w:p>
        </w:tc>
      </w:tr>
      <w:tr>
        <w:tc>
          <w:tcPr>
            <w:tcW w:type="dxa" w:w="1728"/>
          </w:tcPr>
          <w:p>
            <w:pPr>
              <w:jc w:val="left"/>
            </w:pPr>
            <w:r/>
            <w:r>
              <w:rPr>
                <w:sz w:val="18"/>
              </w:rPr>
              <w:t>本研究最优区</w:t>
            </w:r>
          </w:p>
        </w:tc>
        <w:tc>
          <w:tcPr>
            <w:tcW w:type="dxa" w:w="1296"/>
          </w:tcPr>
          <w:p>
            <w:pPr>
              <w:jc w:val="center"/>
            </w:pPr>
            <w:r/>
            <w:r>
              <w:rPr>
                <w:sz w:val="18"/>
              </w:rPr>
              <w:t>1.51°</w:t>
            </w:r>
          </w:p>
        </w:tc>
        <w:tc>
          <w:tcPr>
            <w:tcW w:type="dxa" w:w="1152"/>
          </w:tcPr>
          <w:p>
            <w:pPr>
              <w:jc w:val="center"/>
            </w:pPr>
            <w:r/>
            <w:r>
              <w:rPr>
                <w:sz w:val="18"/>
              </w:rPr>
              <w:t>3.76°</w:t>
            </w:r>
          </w:p>
        </w:tc>
        <w:tc>
          <w:tcPr>
            <w:tcW w:type="dxa" w:w="1584"/>
          </w:tcPr>
          <w:p>
            <w:pPr>
              <w:jc w:val="center"/>
            </w:pPr>
            <w:r/>
            <w:r>
              <w:rPr>
                <w:sz w:val="18"/>
              </w:rPr>
              <w:t>1.42 m</w:t>
            </w:r>
          </w:p>
        </w:tc>
        <w:tc>
          <w:tcPr>
            <w:tcW w:type="dxa" w:w="1440"/>
          </w:tcPr>
          <w:p>
            <w:pPr>
              <w:jc w:val="center"/>
            </w:pPr>
            <w:r/>
            <w:r>
              <w:rPr>
                <w:sz w:val="18"/>
              </w:rPr>
              <w:t>3.07 m</w:t>
            </w:r>
          </w:p>
        </w:tc>
        <w:tc>
          <w:tcPr>
            <w:tcW w:type="dxa" w:w="1296"/>
          </w:tcPr>
          <w:p>
            <w:pPr>
              <w:jc w:val="center"/>
            </w:pPr>
            <w:r/>
            <w:r>
              <w:rPr>
                <w:sz w:val="18"/>
              </w:rPr>
              <w:t>0</w:t>
            </w:r>
          </w:p>
        </w:tc>
        <w:tc>
          <w:tcPr>
            <w:tcW w:type="dxa" w:w="1296"/>
          </w:tcPr>
          <w:p>
            <w:pPr>
              <w:jc w:val="center"/>
            </w:pPr>
            <w:r/>
            <w:r>
              <w:rPr>
                <w:sz w:val="18"/>
              </w:rPr>
              <w:t>5.42 km</w:t>
            </w:r>
          </w:p>
        </w:tc>
      </w:tr>
    </w:tbl>
    <w:p/>
    <w:p>
      <w:r>
        <w:t>LS2 的坡度中位数是其他论文候选点的 2.5–3.6 倍、粗糙度是 2.5–3.9 倍，窗口内还有 2 个已编目撞击坑（最近 1.55 km）。因此我们的判定不是模型噪声，而是可复核的地形事实。分歧的真正来源是评价准则：论文的候选点同时考虑地质样品价值、钍丰度与玄武岩单元代表性（LS2 位于 Rima Bode II 高钍单元南侧），而本模型只衡量工程安全性。结论应是给这类点位标注「科学价值高、工程风险也高」，而不是用安全性模型否定论文的候选点。这正是「科学价值与工程安全性分离」的定量证据。</w:t>
      </w:r>
    </w:p>
    <w:p>
      <w:r>
        <w:t>反过来说，本研究的最优区（1.51°、1.42 m）比四个论文候选点都更平缓，但它在论文的框架里是否具备科学价值，本研究无法回答——因为缺少钍丰度与 TiO₂ 数据。这是下一步最需要补齐的一环。</w:t>
      </w:r>
    </w:p>
    <w:p>
      <w:pPr>
        <w:pStyle w:val="Heading2"/>
      </w:pPr>
      <w:r>
        <w:t>4.2  参数敏感区的几何必然性</w:t>
      </w:r>
    </w:p>
    <w:p>
      <w:r>
        <w:t>不确定性不是随机噪声，而有明确的地形含义：敏感区正是指标落在阈值附近的地带。</w:t>
      </w:r>
    </w:p>
    <w:p>
      <w:r>
        <w:rPr>
          <w:b/>
          <w:sz w:val="19"/>
        </w:rPr>
        <w:t>表 10  三类连通区及其地形特征</w:t>
      </w:r>
    </w:p>
    <w:tbl>
      <w:tblPr>
        <w:tblStyle w:val="TableGrid"/>
        <w:tblW w:type="auto" w:w="0"/>
        <w:jc w:val="center"/>
        <w:tblLook w:firstColumn="1" w:firstRow="1" w:lastColumn="0" w:lastRow="0" w:noHBand="0" w:noVBand="1" w:val="04A0"/>
      </w:tblPr>
      <w:tblGrid>
        <w:gridCol w:w="1901"/>
        <w:gridCol w:w="1901"/>
        <w:gridCol w:w="1901"/>
        <w:gridCol w:w="1901"/>
        <w:gridCol w:w="1901"/>
      </w:tblGrid>
      <w:tr>
        <w:tc>
          <w:tcPr>
            <w:tcW w:type="dxa" w:w="2736"/>
          </w:tcPr>
          <w:p>
            <w:pPr>
              <w:jc w:val="center"/>
            </w:pPr>
            <w:r/>
            <w:r>
              <w:rPr>
                <w:b/>
                <w:sz w:val="18"/>
              </w:rPr>
              <w:t>类别</w:t>
            </w:r>
          </w:p>
        </w:tc>
        <w:tc>
          <w:tcPr>
            <w:tcW w:type="dxa" w:w="1728"/>
          </w:tcPr>
          <w:p>
            <w:pPr>
              <w:jc w:val="center"/>
            </w:pPr>
            <w:r/>
            <w:r>
              <w:rPr>
                <w:b/>
                <w:sz w:val="18"/>
              </w:rPr>
              <w:t>最大连通区</w:t>
            </w:r>
          </w:p>
        </w:tc>
        <w:tc>
          <w:tcPr>
            <w:tcW w:type="dxa" w:w="2304"/>
          </w:tcPr>
          <w:p>
            <w:pPr>
              <w:jc w:val="center"/>
            </w:pPr>
            <w:r/>
            <w:r>
              <w:rPr>
                <w:b/>
                <w:sz w:val="18"/>
              </w:rPr>
              <w:t>位置</w:t>
            </w:r>
          </w:p>
        </w:tc>
        <w:tc>
          <w:tcPr>
            <w:tcW w:type="dxa" w:w="1440"/>
          </w:tcPr>
          <w:p>
            <w:pPr>
              <w:jc w:val="center"/>
            </w:pPr>
            <w:r/>
            <w:r>
              <w:rPr>
                <w:b/>
                <w:sz w:val="18"/>
              </w:rPr>
              <w:t>坡度中位数</w:t>
            </w:r>
          </w:p>
        </w:tc>
        <w:tc>
          <w:tcPr>
            <w:tcW w:type="dxa" w:w="1584"/>
          </w:tcPr>
          <w:p>
            <w:pPr>
              <w:jc w:val="center"/>
            </w:pPr>
            <w:r/>
            <w:r>
              <w:rPr>
                <w:b/>
                <w:sz w:val="18"/>
              </w:rPr>
              <w:t>粗糙度中位数</w:t>
            </w:r>
          </w:p>
        </w:tc>
      </w:tr>
      <w:tr>
        <w:tc>
          <w:tcPr>
            <w:tcW w:type="dxa" w:w="2736"/>
          </w:tcPr>
          <w:p>
            <w:pPr>
              <w:jc w:val="left"/>
            </w:pPr>
            <w:r/>
            <w:r>
              <w:rPr>
                <w:sz w:val="18"/>
              </w:rPr>
              <w:t>参数敏感（0.1 &lt; P &lt; 0.9）</w:t>
            </w:r>
          </w:p>
        </w:tc>
        <w:tc>
          <w:tcPr>
            <w:tcW w:type="dxa" w:w="1728"/>
          </w:tcPr>
          <w:p>
            <w:pPr>
              <w:jc w:val="center"/>
            </w:pPr>
            <w:r/>
            <w:r>
              <w:rPr>
                <w:sz w:val="18"/>
              </w:rPr>
              <w:t>7,439 km²</w:t>
            </w:r>
          </w:p>
        </w:tc>
        <w:tc>
          <w:tcPr>
            <w:tcW w:type="dxa" w:w="2304"/>
          </w:tcPr>
          <w:p>
            <w:pPr>
              <w:jc w:val="left"/>
            </w:pPr>
            <w:r/>
            <w:r>
              <w:rPr>
                <w:sz w:val="18"/>
              </w:rPr>
              <w:t>356.85°E, 10.27°N</w:t>
            </w:r>
          </w:p>
        </w:tc>
        <w:tc>
          <w:tcPr>
            <w:tcW w:type="dxa" w:w="1440"/>
          </w:tcPr>
          <w:p>
            <w:pPr>
              <w:jc w:val="center"/>
            </w:pPr>
            <w:r/>
            <w:r>
              <w:rPr>
                <w:sz w:val="18"/>
              </w:rPr>
              <w:t>6.16°</w:t>
            </w:r>
          </w:p>
        </w:tc>
        <w:tc>
          <w:tcPr>
            <w:tcW w:type="dxa" w:w="1584"/>
          </w:tcPr>
          <w:p>
            <w:pPr>
              <w:jc w:val="center"/>
            </w:pPr>
            <w:r/>
            <w:r>
              <w:rPr>
                <w:sz w:val="18"/>
              </w:rPr>
              <w:t>5.27 m</w:t>
            </w:r>
          </w:p>
        </w:tc>
      </w:tr>
      <w:tr>
        <w:tc>
          <w:tcPr>
            <w:tcW w:type="dxa" w:w="2736"/>
          </w:tcPr>
          <w:p>
            <w:pPr>
              <w:jc w:val="left"/>
            </w:pPr>
            <w:r/>
            <w:r>
              <w:rPr>
                <w:sz w:val="18"/>
              </w:rPr>
              <w:t>稳健安全（P ≈ 1）</w:t>
            </w:r>
          </w:p>
        </w:tc>
        <w:tc>
          <w:tcPr>
            <w:tcW w:type="dxa" w:w="1728"/>
          </w:tcPr>
          <w:p>
            <w:pPr>
              <w:jc w:val="center"/>
            </w:pPr>
            <w:r/>
            <w:r>
              <w:rPr>
                <w:sz w:val="18"/>
              </w:rPr>
              <w:t>2,332 km²</w:t>
            </w:r>
          </w:p>
        </w:tc>
        <w:tc>
          <w:tcPr>
            <w:tcW w:type="dxa" w:w="2304"/>
          </w:tcPr>
          <w:p>
            <w:pPr>
              <w:jc w:val="left"/>
            </w:pPr>
            <w:r/>
            <w:r>
              <w:rPr>
                <w:sz w:val="18"/>
              </w:rPr>
              <w:t>354.26°E, 10.78°N</w:t>
            </w:r>
          </w:p>
        </w:tc>
        <w:tc>
          <w:tcPr>
            <w:tcW w:type="dxa" w:w="1440"/>
          </w:tcPr>
          <w:p>
            <w:pPr>
              <w:jc w:val="center"/>
            </w:pPr>
            <w:r/>
            <w:r>
              <w:rPr>
                <w:sz w:val="18"/>
              </w:rPr>
              <w:t>1.56°</w:t>
            </w:r>
          </w:p>
        </w:tc>
        <w:tc>
          <w:tcPr>
            <w:tcW w:type="dxa" w:w="1584"/>
          </w:tcPr>
          <w:p>
            <w:pPr>
              <w:jc w:val="center"/>
            </w:pPr>
            <w:r/>
            <w:r>
              <w:rPr>
                <w:sz w:val="18"/>
              </w:rPr>
              <w:t>1.55 m</w:t>
            </w:r>
          </w:p>
        </w:tc>
      </w:tr>
      <w:tr>
        <w:tc>
          <w:tcPr>
            <w:tcW w:type="dxa" w:w="2736"/>
          </w:tcPr>
          <w:p>
            <w:pPr>
              <w:jc w:val="left"/>
            </w:pPr>
            <w:r/>
            <w:r>
              <w:rPr>
                <w:sz w:val="18"/>
              </w:rPr>
              <w:t>从不安全（P ≈ 0）</w:t>
            </w:r>
          </w:p>
        </w:tc>
        <w:tc>
          <w:tcPr>
            <w:tcW w:type="dxa" w:w="1728"/>
          </w:tcPr>
          <w:p>
            <w:pPr>
              <w:jc w:val="center"/>
            </w:pPr>
            <w:r/>
            <w:r>
              <w:rPr>
                <w:sz w:val="18"/>
              </w:rPr>
              <w:t>104 km²</w:t>
            </w:r>
          </w:p>
        </w:tc>
        <w:tc>
          <w:tcPr>
            <w:tcW w:type="dxa" w:w="2304"/>
          </w:tcPr>
          <w:p>
            <w:pPr>
              <w:jc w:val="left"/>
            </w:pPr>
            <w:r/>
            <w:r>
              <w:rPr>
                <w:sz w:val="18"/>
              </w:rPr>
              <w:t>358.82°E, 9.00°N</w:t>
            </w:r>
          </w:p>
        </w:tc>
        <w:tc>
          <w:tcPr>
            <w:tcW w:type="dxa" w:w="1440"/>
          </w:tcPr>
          <w:p>
            <w:pPr>
              <w:jc w:val="center"/>
            </w:pPr>
            <w:r/>
            <w:r>
              <w:rPr>
                <w:sz w:val="18"/>
              </w:rPr>
              <w:t>31.91°</w:t>
            </w:r>
          </w:p>
        </w:tc>
        <w:tc>
          <w:tcPr>
            <w:tcW w:type="dxa" w:w="1584"/>
          </w:tcPr>
          <w:p>
            <w:pPr>
              <w:jc w:val="center"/>
            </w:pPr>
            <w:r/>
            <w:r>
              <w:rPr>
                <w:sz w:val="18"/>
              </w:rPr>
              <w:t>30.16 m</w:t>
            </w:r>
          </w:p>
        </w:tc>
      </w:tr>
    </w:tbl>
    <w:p/>
    <w:p>
      <w:r>
        <w:t>敏感区的坡度/粗糙度中位数（6.16°、5.27 m）正落在扰动的阈值区间内（坡度安全 3–8°、危险 10–20°；粗糙度安全 0.5–2 m、危险 3–10 m），因此阈值一变，整片区域的分类就翻转；稳健安全区的指标（1.56°、1.55 m）远离所有阈值；从不安全区则是坑内与坑缘（31.9°、30.2 m）。换言之，敏感性地图画出的其实是阈值在参数空间中的投影，这一解释可以把「哪里不确定」转化为可解释的地貌判据。</w:t>
      </w:r>
    </w:p>
    <w:p>
      <w:pPr>
        <w:pStyle w:val="Heading2"/>
      </w:pPr>
      <w:r>
        <w:t>4.3  外部验证的意义</w:t>
      </w:r>
    </w:p>
    <w:p>
      <w:r>
        <w:t>论文发表时我们并不知道 LS1–LS4 的位置，评价链却独立给出 LS3 最安全、LS2 最危险，且在 200 次抽样下保持不变。这说明该评价链具备外部可重复性，而不是只在自身参数下自洽。对于以「可复现」为目标的本科科研项目，外部验证比内部一致性更有说服力。</w:t>
      </w:r>
    </w:p>
    <w:p>
      <w:r>
        <w:t>同时要注意验证的限度：四个点中只有两个（LS3、LS2）给出稳健结论，LS1 与 LS4 位于中间区间（分位 44–65），与参数选择相关。把它们报告为「结论依赖参数」比强行排序更诚实。</w:t>
      </w:r>
    </w:p>
    <w:p>
      <w:pPr>
        <w:pStyle w:val="Heading2"/>
      </w:pPr>
      <w:r>
        <w:t>4.4  局限性</w:t>
      </w:r>
    </w:p>
    <w:p>
      <w:pPr>
        <w:pStyle w:val="ListBullet"/>
      </w:pPr>
      <w:r>
        <w:t>只有三个危险度层：缺少石块丰度（Diviner）与光照条件，因此本文的 S 是「三因子安全性」，不能称为完整的多准则评价，而论文使用的石块丰度是已知的关键危险指标。</w:t>
      </w:r>
    </w:p>
    <w:p>
      <w:pPr>
        <w:pStyle w:val="ListBullet"/>
      </w:pPr>
      <w:r>
        <w:t>撞击坑层精度非完美：修正后精度 0.726（0.644–0.807）、可探测召回 0.717（0.655–0.788），且基于单次人工判读（n = 40、非完全盲评、判读者即模型作者，存在确认偏误风险）。</w:t>
      </w:r>
    </w:p>
    <w:p>
      <w:pPr>
        <w:pStyle w:val="ListBullet"/>
      </w:pPr>
      <w:r>
        <w:t>分辨率效应（H1）在本报告中做的是聚合检验：把同一块 SLDEM 逐级块平均到 948 m，可以隔离分辨率的纯效应，但不能替代两种真实产品的对比；NAC 条带只覆盖研究区约 1%，且与前 10 名候选点 0 重叠，最优点上的验证仍待补充一对 NAC 立体像对。</w:t>
      </w:r>
    </w:p>
    <w:p>
      <w:pPr>
        <w:pStyle w:val="ListBullet"/>
      </w:pPr>
      <w:r>
        <w:t>阈值主导不确定性：安全区面积对阈值的敏感性（0.15–0.18）远大于权重与目录口径（0.03），因此任何面积结论都必须以区间形式给出。</w:t>
      </w:r>
    </w:p>
    <w:p>
      <w:pPr>
        <w:pStyle w:val="ListBullet"/>
      </w:pPr>
      <w:r>
        <w:t>DEM 垂向精度随坡度恶化：NAC 与 SLDEM 的偏差在坡度大于 25° 时可达数十米，影响陡坡区的坡度与粗糙度取值。</w:t>
      </w:r>
    </w:p>
    <w:p>
      <w:pPr>
        <w:pStyle w:val="ListBullet"/>
      </w:pPr>
      <w:r>
        <w:t>未论证阈值本身的最优性：本文扰动阈值，但没有给出「哪个阈值才是工程正确的」这一判断，后者需要引用任务规范。</w:t>
      </w:r>
    </w:p>
    <w:p>
      <w:pPr>
        <w:pStyle w:val="Heading2"/>
      </w:pPr>
      <w:r>
        <w:t>4.5  可推广性</w:t>
      </w:r>
    </w:p>
    <w:p>
      <w:r>
        <w:t>整条流水线不含月球专属假设：更换 DEM 与撞击坑目录后，同一套代码可用于火星（如 CTX + MOLA）、水星（MESSENGER）或其他天体的选址问题。更具普遍性的结论有两条：其一，「面积不确定、排序稳定」很可能普遍存在，因为任何阈值型适宜性模型都具有「阈值附近最敏感」的几何性质；其二，把**排名稳定性**而非单张适宜性图作为交付物，更稳健，也更容易被任务规划者使用。</w:t>
      </w:r>
    </w:p>
    <w:p>
      <w:r>
        <w:t>需要谨慎的是具体数值：本文的阈值、权重与最优坐标只对 Rimae Bode 及所扰动的参数区间成立，跨区域应用前必须重跑敏感性分析。</w:t>
      </w:r>
    </w:p>
    <w:p>
      <w:pPr>
        <w:pStyle w:val="Heading1"/>
      </w:pPr>
      <w:r>
        <w:t>5  结论</w:t>
      </w:r>
    </w:p>
    <w:p>
      <w:pPr>
        <w:pStyle w:val="ListBullet"/>
      </w:pPr>
      <w:r>
        <w:t>建立了一条端到端、可复现的月面着陆区地形安全性与适宜性评价流程，覆盖 PDS 数据获取、ISIS/ASP 摄影测量、多尺度地形指标、U-Net 撞击坑识别、加权适宜性模型与 Monte Carlo 不确定性分析，全部步骤配有自测脚本与产物哈希登记。</w:t>
      </w:r>
    </w:p>
    <w:p>
      <w:pPr>
        <w:pStyle w:val="ListBullet"/>
      </w:pPr>
      <w:r>
        <w:t>撞击坑自动识别的表面精度（0.451）主要由参考目录与 59 m 分辨率决定：人工随机抽样核查后，精度修正为 0.726、可探测召回为 0.717。因此评价自动撞击坑识别的价值时，必须区分「模型误差」与「参考数据误差」。</w:t>
      </w:r>
    </w:p>
    <w:p>
      <w:pPr>
        <w:pStyle w:val="ListBullet"/>
      </w:pPr>
      <w:r>
        <w:t>在 Rimae Bode 区域，**安全区面积高度不确定（0.38–0.93），但候选点排序稳健**：四种参数化与 200 次随机抽样都指向同一最优区 (353.76°E, 11.08°N)，而论文四个候选点中 LS3 最安全、LS2 最危险。</w:t>
      </w:r>
    </w:p>
    <w:p>
      <w:pPr>
        <w:pStyle w:val="ListBullet"/>
      </w:pPr>
      <w:r>
        <w:t>不确定性主要来自阈值选择而非权重或目录口径。这提示后续工作应把精力放在阈值的工程依据上，而不是反复调整权重。</w:t>
      </w:r>
    </w:p>
    <w:p>
      <w:pPr>
        <w:pStyle w:val="ListBullet"/>
      </w:pPr>
      <w:r>
        <w:t>仅 26.1% 的研究区在任何参数下都安全，35.2% 的区域结论依赖参数。把这一比例与对应的概率图作为交付物，比给出单一安全区图更有实用价值。</w:t>
      </w:r>
    </w:p>
    <w:p>
      <w:pPr>
        <w:pStyle w:val="ListBullet"/>
      </w:pPr>
      <w:r>
        <w:t>分辨率效应（H1）由聚合实验给出方向性结论：坡度判据下粗分辨率确实高估安全区（安全区 81.3% → 95.9%，8.8% 的格网由不安全翻转为安全），而像素窗口粗糙度判据下方向相反，说明分辨率效应必须与指标的物理支撑尺度一起报告。最优点上的彻底验证仍需补充 NAC 立体像对。</w:t>
      </w:r>
    </w:p>
    <w:p>
      <w:r>
        <w:br w:type="page"/>
      </w:r>
    </w:p>
    <w:p>
      <w:pPr>
        <w:pStyle w:val="Heading1"/>
      </w:pPr>
      <w:r>
        <w:t>附录 A  脚本与文档索引</w:t>
      </w:r>
    </w:p>
    <w:p>
      <w:r>
        <w:t>仓库共 54 个脚本、20 篇文档，按周次组织。完整索引（含每个脚本的首次提交日期）见 docs/script_index.md，并由 tests/test_script_index.py 自动校验完整性——任何被 Git 跟踪的脚本若未登记在索引中，测试即失败。</w:t>
      </w:r>
    </w:p>
    <w:tbl>
      <w:tblPr>
        <w:tblStyle w:val="TableGrid"/>
        <w:tblW w:type="auto" w:w="0"/>
        <w:jc w:val="center"/>
        <w:tblLook w:firstColumn="1" w:firstRow="1" w:lastColumn="0" w:lastRow="0" w:noHBand="0" w:noVBand="1" w:val="04A0"/>
      </w:tblPr>
      <w:tblGrid>
        <w:gridCol w:w="3168"/>
        <w:gridCol w:w="3168"/>
        <w:gridCol w:w="3168"/>
      </w:tblGrid>
      <w:tr>
        <w:tc>
          <w:tcPr>
            <w:tcW w:type="dxa" w:w="1584"/>
          </w:tcPr>
          <w:p>
            <w:pPr>
              <w:jc w:val="center"/>
            </w:pPr>
            <w:r/>
            <w:r>
              <w:rPr>
                <w:b/>
                <w:sz w:val="18"/>
              </w:rPr>
              <w:t>阶段</w:t>
            </w:r>
          </w:p>
        </w:tc>
        <w:tc>
          <w:tcPr>
            <w:tcW w:type="dxa" w:w="4320"/>
          </w:tcPr>
          <w:p>
            <w:pPr>
              <w:jc w:val="center"/>
            </w:pPr>
            <w:r/>
            <w:r>
              <w:rPr>
                <w:b/>
                <w:sz w:val="18"/>
              </w:rPr>
              <w:t>主要脚本</w:t>
            </w:r>
          </w:p>
        </w:tc>
        <w:tc>
          <w:tcPr>
            <w:tcW w:type="dxa" w:w="3168"/>
          </w:tcPr>
          <w:p>
            <w:pPr>
              <w:jc w:val="center"/>
            </w:pPr>
            <w:r/>
            <w:r>
              <w:rPr>
                <w:b/>
                <w:sz w:val="18"/>
              </w:rPr>
              <w:t>产物</w:t>
            </w:r>
          </w:p>
        </w:tc>
      </w:tr>
      <w:tr>
        <w:tc>
          <w:tcPr>
            <w:tcW w:type="dxa" w:w="1584"/>
          </w:tcPr>
          <w:p>
            <w:pPr>
              <w:jc w:val="left"/>
            </w:pPr>
            <w:r/>
            <w:r>
              <w:rPr>
                <w:sz w:val="18"/>
              </w:rPr>
              <w:t>第 1–2 周</w:t>
            </w:r>
          </w:p>
        </w:tc>
        <w:tc>
          <w:tcPr>
            <w:tcW w:type="dxa" w:w="4320"/>
          </w:tcPr>
          <w:p>
            <w:pPr>
              <w:jc w:val="left"/>
            </w:pPr>
            <w:r/>
            <w:r>
              <w:rPr>
                <w:sz w:val="18"/>
              </w:rPr>
              <w:t>preprocess_isis.sh, fetch_nac.py, build_data_manifest.py</w:t>
            </w:r>
          </w:p>
        </w:tc>
        <w:tc>
          <w:tcPr>
            <w:tcW w:type="dxa" w:w="3168"/>
          </w:tcPr>
          <w:p>
            <w:pPr>
              <w:jc w:val="left"/>
            </w:pPr>
            <w:r/>
            <w:r>
              <w:rPr>
                <w:sz w:val="18"/>
              </w:rPr>
              <w:t>标准化影像、data_manifest.csv</w:t>
            </w:r>
          </w:p>
        </w:tc>
      </w:tr>
      <w:tr>
        <w:tc>
          <w:tcPr>
            <w:tcW w:type="dxa" w:w="1584"/>
          </w:tcPr>
          <w:p>
            <w:pPr>
              <w:jc w:val="left"/>
            </w:pPr>
            <w:r/>
            <w:r>
              <w:rPr>
                <w:sz w:val="18"/>
              </w:rPr>
              <w:t>第 3–4 周</w:t>
            </w:r>
          </w:p>
        </w:tc>
        <w:tc>
          <w:tcPr>
            <w:tcW w:type="dxa" w:w="4320"/>
          </w:tcPr>
          <w:p>
            <w:pPr>
              <w:jc w:val="left"/>
            </w:pPr>
            <w:r/>
            <w:r>
              <w:rPr>
                <w:sz w:val="18"/>
              </w:rPr>
              <w:t>run_nac_pair_rimae_bode.sh, compare_nac_to_sldem.py, preprocess_week4.py</w:t>
            </w:r>
          </w:p>
        </w:tc>
        <w:tc>
          <w:tcPr>
            <w:tcW w:type="dxa" w:w="3168"/>
          </w:tcPr>
          <w:p>
            <w:pPr>
              <w:jc w:val="left"/>
            </w:pPr>
            <w:r/>
            <w:r>
              <w:rPr>
                <w:sz w:val="18"/>
              </w:rPr>
              <w:t>NAC DEM 3.28 m、误差统计、研究区底图</w:t>
            </w:r>
          </w:p>
        </w:tc>
      </w:tr>
      <w:tr>
        <w:tc>
          <w:tcPr>
            <w:tcW w:type="dxa" w:w="1584"/>
          </w:tcPr>
          <w:p>
            <w:pPr>
              <w:jc w:val="left"/>
            </w:pPr>
            <w:r/>
            <w:r>
              <w:rPr>
                <w:sz w:val="18"/>
              </w:rPr>
              <w:t>第 5 周</w:t>
            </w:r>
          </w:p>
        </w:tc>
        <w:tc>
          <w:tcPr>
            <w:tcW w:type="dxa" w:w="4320"/>
          </w:tcPr>
          <w:p>
            <w:pPr>
              <w:jc w:val="left"/>
            </w:pPr>
            <w:r/>
            <w:r>
              <w:rPr>
                <w:sz w:val="18"/>
              </w:rPr>
              <w:t>week5_terrain_metrics.py, week5_risk_map.py, week5_error_spatial.py</w:t>
            </w:r>
          </w:p>
        </w:tc>
        <w:tc>
          <w:tcPr>
            <w:tcW w:type="dxa" w:w="3168"/>
          </w:tcPr>
          <w:p>
            <w:pPr>
              <w:jc w:val="left"/>
            </w:pPr>
            <w:r/>
            <w:r>
              <w:rPr>
                <w:sz w:val="18"/>
              </w:rPr>
              <w:t>多尺度地形指标、风险图、误差剖面</w:t>
            </w:r>
          </w:p>
        </w:tc>
      </w:tr>
      <w:tr>
        <w:tc>
          <w:tcPr>
            <w:tcW w:type="dxa" w:w="1584"/>
          </w:tcPr>
          <w:p>
            <w:pPr>
              <w:jc w:val="left"/>
            </w:pPr>
            <w:r/>
            <w:r>
              <w:rPr>
                <w:sz w:val="18"/>
              </w:rPr>
              <w:t>第 6 周</w:t>
            </w:r>
          </w:p>
        </w:tc>
        <w:tc>
          <w:tcPr>
            <w:tcW w:type="dxa" w:w="4320"/>
          </w:tcPr>
          <w:p>
            <w:pPr>
              <w:jc w:val="left"/>
            </w:pPr>
            <w:r/>
            <w:r>
              <w:rPr>
                <w:sz w:val="18"/>
              </w:rPr>
              <w:t>week6_build_crater_labels.py, week6_train_unet.py, week6_mask_to_catalog.py, week6_review_false_positives.py</w:t>
            </w:r>
          </w:p>
        </w:tc>
        <w:tc>
          <w:tcPr>
            <w:tcW w:type="dxa" w:w="3168"/>
          </w:tcPr>
          <w:p>
            <w:pPr>
              <w:jc w:val="left"/>
            </w:pPr>
            <w:r/>
            <w:r>
              <w:rPr>
                <w:sz w:val="18"/>
              </w:rPr>
              <w:t>U-Net 权重、632 个坑的 GeoJSON、核查修正</w:t>
            </w:r>
          </w:p>
        </w:tc>
      </w:tr>
      <w:tr>
        <w:tc>
          <w:tcPr>
            <w:tcW w:type="dxa" w:w="1584"/>
          </w:tcPr>
          <w:p>
            <w:pPr>
              <w:jc w:val="left"/>
            </w:pPr>
            <w:r/>
            <w:r>
              <w:rPr>
                <w:sz w:val="18"/>
              </w:rPr>
              <w:t>第 7 周</w:t>
            </w:r>
          </w:p>
        </w:tc>
        <w:tc>
          <w:tcPr>
            <w:tcW w:type="dxa" w:w="4320"/>
          </w:tcPr>
          <w:p>
            <w:pPr>
              <w:jc w:val="left"/>
            </w:pPr>
            <w:r/>
            <w:r>
              <w:rPr>
                <w:sz w:val="18"/>
              </w:rPr>
              <w:t>week7_suitability.py, week7_ahp.py, week7_compare_literature.py</w:t>
            </w:r>
          </w:p>
        </w:tc>
        <w:tc>
          <w:tcPr>
            <w:tcW w:type="dxa" w:w="3168"/>
          </w:tcPr>
          <w:p>
            <w:pPr>
              <w:jc w:val="left"/>
            </w:pPr>
            <w:r/>
            <w:r>
              <w:rPr>
                <w:sz w:val="18"/>
              </w:rPr>
              <w:t>适宜性图、候选点、AHP 权重、文献对比</w:t>
            </w:r>
          </w:p>
        </w:tc>
      </w:tr>
      <w:tr>
        <w:tc>
          <w:tcPr>
            <w:tcW w:type="dxa" w:w="1584"/>
          </w:tcPr>
          <w:p>
            <w:pPr>
              <w:jc w:val="left"/>
            </w:pPr>
            <w:r/>
            <w:r>
              <w:rPr>
                <w:sz w:val="18"/>
              </w:rPr>
              <w:t>第 8 周</w:t>
            </w:r>
          </w:p>
        </w:tc>
        <w:tc>
          <w:tcPr>
            <w:tcW w:type="dxa" w:w="4320"/>
          </w:tcPr>
          <w:p>
            <w:pPr>
              <w:jc w:val="left"/>
            </w:pPr>
            <w:r/>
            <w:r>
              <w:rPr>
                <w:sz w:val="18"/>
              </w:rPr>
              <w:t>week8_montecarlo.py</w:t>
            </w:r>
          </w:p>
        </w:tc>
        <w:tc>
          <w:tcPr>
            <w:tcW w:type="dxa" w:w="3168"/>
          </w:tcPr>
          <w:p>
            <w:pPr>
              <w:jc w:val="left"/>
            </w:pPr>
            <w:r/>
            <w:r>
              <w:rPr>
                <w:sz w:val="18"/>
              </w:rPr>
              <w:t>排名稳定性、P(safe) 概率图、参数主导性</w:t>
            </w:r>
          </w:p>
        </w:tc>
      </w:tr>
      <w:tr>
        <w:tc>
          <w:tcPr>
            <w:tcW w:type="dxa" w:w="1584"/>
          </w:tcPr>
          <w:p>
            <w:pPr>
              <w:jc w:val="left"/>
            </w:pPr>
            <w:r/>
            <w:r>
              <w:rPr>
                <w:sz w:val="18"/>
              </w:rPr>
              <w:t>第 9 周</w:t>
            </w:r>
          </w:p>
        </w:tc>
        <w:tc>
          <w:tcPr>
            <w:tcW w:type="dxa" w:w="4320"/>
          </w:tcPr>
          <w:p>
            <w:pPr>
              <w:jc w:val="left"/>
            </w:pPr>
            <w:r/>
            <w:r>
              <w:rPr>
                <w:sz w:val="18"/>
              </w:rPr>
              <w:t>week9_case_studies.py</w:t>
            </w:r>
          </w:p>
        </w:tc>
        <w:tc>
          <w:tcPr>
            <w:tcW w:type="dxa" w:w="3168"/>
          </w:tcPr>
          <w:p>
            <w:pPr>
              <w:jc w:val="left"/>
            </w:pPr>
            <w:r/>
            <w:r>
              <w:rPr>
                <w:sz w:val="18"/>
              </w:rPr>
              <w:t>案例表、敏感/稳健连通区、讨论稿</w:t>
            </w:r>
          </w:p>
        </w:tc>
      </w:tr>
    </w:tbl>
    <w:p/>
    <w:p>
      <w:pPr>
        <w:pStyle w:val="Heading1"/>
      </w:pPr>
      <w:r>
        <w:t>附录 B  复现命令</w:t>
      </w:r>
    </w:p>
    <w:p>
      <w:r>
        <w:t>环境：conda env create -f environment.yml（lunarsafe，含 GDAL 与 PyTorch）；摄影测量另需 asp 环境（ISIS 10.0.0 与 ASP 3.7.0）。</w:t>
      </w:r>
    </w:p>
    <w:p>
      <w:pPr>
        <w:spacing w:after="40"/>
      </w:pPr>
      <w:r>
        <w:rPr>
          <w:rFonts w:ascii="Consolas" w:hAnsi="Consolas"/>
          <w:sz w:val="18"/>
        </w:rPr>
        <w:t>bash scripts/run_all_tests.sh                                  # 5 个自测全部通过</w:t>
      </w:r>
    </w:p>
    <w:p>
      <w:pPr>
        <w:spacing w:after="40"/>
      </w:pPr>
      <w:r>
        <w:rPr>
          <w:rFonts w:ascii="Consolas" w:hAnsi="Consolas"/>
          <w:sz w:val="18"/>
        </w:rPr>
        <w:t>python scripts/week7_suitability.py --weights 0.5499,0.2098,0.2402 --tag ahp</w:t>
      </w:r>
    </w:p>
    <w:p>
      <w:pPr>
        <w:spacing w:after="40"/>
      </w:pPr>
      <w:r>
        <w:rPr>
          <w:rFonts w:ascii="Consolas" w:hAnsi="Consolas"/>
          <w:sz w:val="18"/>
        </w:rPr>
        <w:t>python scripts/week7_compare_literature.py --tag ahp</w:t>
      </w:r>
    </w:p>
    <w:p>
      <w:pPr>
        <w:spacing w:after="40"/>
      </w:pPr>
      <w:r>
        <w:rPr>
          <w:rFonts w:ascii="Consolas" w:hAnsi="Consolas"/>
          <w:sz w:val="18"/>
        </w:rPr>
        <w:t>python scripts/week8_montecarlo.py --n 200 --concentration 15 --tag k15</w:t>
      </w:r>
    </w:p>
    <w:p>
      <w:pPr>
        <w:spacing w:after="40"/>
      </w:pPr>
      <w:r>
        <w:rPr>
          <w:rFonts w:ascii="Consolas" w:hAnsi="Consolas"/>
          <w:sz w:val="18"/>
        </w:rPr>
        <w:t>python scripts/week8_montecarlo.py --n 200 --concentration 60 --seed 1 --tag k60</w:t>
      </w:r>
    </w:p>
    <w:p>
      <w:pPr>
        <w:spacing w:after="40"/>
      </w:pPr>
      <w:r>
        <w:rPr>
          <w:rFonts w:ascii="Consolas" w:hAnsi="Consolas"/>
          <w:sz w:val="18"/>
        </w:rPr>
        <w:t>python scripts/week9_case_studies.py --tag k15 --top 5</w:t>
      </w:r>
    </w:p>
    <w:p>
      <w:pPr>
        <w:spacing w:after="40"/>
      </w:pPr>
      <w:r>
        <w:rPr>
          <w:rFonts w:ascii="Consolas" w:hAnsi="Consolas"/>
          <w:sz w:val="18"/>
        </w:rPr>
        <w:t>python scripts/build_technical_report.py --out docs/LunarSafeMap_technical_report_v1.0.docx</w:t>
      </w:r>
    </w:p>
    <w:p>
      <w:r>
        <w:t>原始行星数据与训练得到的模型权重不进入 Git；其大小与 SHA-256 记录在 data/metadata/data_manifest.csv 与 data/metadata/derived_products.csv 中，可按登记信息重新获取与校验。</w:t>
      </w:r>
    </w:p>
    <w:p>
      <w:pPr>
        <w:pStyle w:val="Heading1"/>
      </w:pPr>
      <w:r>
        <w:t>图版</w:t>
      </w:r>
    </w:p>
    <w:p>
      <w:pPr>
        <w:jc w:val="center"/>
      </w:pPr>
      <w:r>
        <w:drawing>
          <wp:inline xmlns:a="http://schemas.openxmlformats.org/drawingml/2006/main" xmlns:pic="http://schemas.openxmlformats.org/drawingml/2006/picture">
            <wp:extent cx="5486400" cy="3840480"/>
            <wp:docPr id="1" name="Picture 1" descr="图 1  研究区与地标：Rimae Bode（353–359°E, 8–13°N），底图为 LROC WAC 镶嵌图与 SLDEM2015。" title="图 1  研究区与地标：Rimae Bode（353–359°E, 8–13°N），底图为 LROC WAC 镶嵌图与 SLDEM2015。"/>
            <wp:cNvGraphicFramePr>
              <a:graphicFrameLocks noChangeAspect="1"/>
            </wp:cNvGraphicFramePr>
            <a:graphic>
              <a:graphicData uri="http://schemas.openxmlformats.org/drawingml/2006/picture">
                <pic:pic>
                  <pic:nvPicPr>
                    <pic:cNvPr id="0" name="study_area_map.png"/>
                    <pic:cNvPicPr/>
                  </pic:nvPicPr>
                  <pic:blipFill>
                    <a:blip r:embed="rId9"/>
                    <a:stretch>
                      <a:fillRect/>
                    </a:stretch>
                  </pic:blipFill>
                  <pic:spPr>
                    <a:xfrm>
                      <a:off x="0" y="0"/>
                      <a:ext cx="5486400" cy="3840480"/>
                    </a:xfrm>
                    <a:prstGeom prst="rect"/>
                  </pic:spPr>
                </pic:pic>
              </a:graphicData>
            </a:graphic>
          </wp:inline>
        </w:drawing>
      </w:r>
    </w:p>
    <w:p>
      <w:pPr>
        <w:jc w:val="center"/>
      </w:pPr>
      <w:r>
        <w:rPr>
          <w:i/>
          <w:sz w:val="18"/>
        </w:rPr>
        <w:t>图 1  研究区与地标：Rimae Bode（353–359°E, 8–13°N），底图为 LROC WAC 镶嵌图与 SLDEM2015。</w:t>
      </w:r>
    </w:p>
    <w:p>
      <w:pPr>
        <w:jc w:val="center"/>
      </w:pPr>
      <w:r>
        <w:drawing>
          <wp:inline xmlns:a="http://schemas.openxmlformats.org/drawingml/2006/main" xmlns:pic="http://schemas.openxmlformats.org/drawingml/2006/picture">
            <wp:extent cx="5486400" cy="2351314"/>
            <wp:docPr id="2" name="Picture 2" descr="图 2  自产 NAC 立体 DEM（3.28 m/px, 2176 × 13866 px）与 SLDEM 的对比。" title="图 2  自产 NAC 立体 DEM（3.28 m/px, 2176 × 13866 px）与 SLDEM 的对比。"/>
            <wp:cNvGraphicFramePr>
              <a:graphicFrameLocks noChangeAspect="1"/>
            </wp:cNvGraphicFramePr>
            <a:graphic>
              <a:graphicData uri="http://schemas.openxmlformats.org/drawingml/2006/picture">
                <pic:pic>
                  <pic:nvPicPr>
                    <pic:cNvPr id="0" name="nac_dem_preview.png"/>
                    <pic:cNvPicPr/>
                  </pic:nvPicPr>
                  <pic:blipFill>
                    <a:blip r:embed="rId10"/>
                    <a:stretch>
                      <a:fillRect/>
                    </a:stretch>
                  </pic:blipFill>
                  <pic:spPr>
                    <a:xfrm>
                      <a:off x="0" y="0"/>
                      <a:ext cx="5486400" cy="2351314"/>
                    </a:xfrm>
                    <a:prstGeom prst="rect"/>
                  </pic:spPr>
                </pic:pic>
              </a:graphicData>
            </a:graphic>
          </wp:inline>
        </w:drawing>
      </w:r>
    </w:p>
    <w:p>
      <w:pPr>
        <w:jc w:val="center"/>
      </w:pPr>
      <w:r>
        <w:rPr>
          <w:i/>
          <w:sz w:val="18"/>
        </w:rPr>
        <w:t>图 2  自产 NAC 立体 DEM（3.28 m/px, 2176 × 13866 px）与 SLDEM 的对比。</w:t>
      </w:r>
    </w:p>
    <w:p>
      <w:pPr>
        <w:jc w:val="center"/>
      </w:pPr>
      <w:r>
        <w:drawing>
          <wp:inline xmlns:a="http://schemas.openxmlformats.org/drawingml/2006/main" xmlns:pic="http://schemas.openxmlformats.org/drawingml/2006/picture">
            <wp:extent cx="5486400" cy="3200400"/>
            <wp:docPr id="3" name="Picture 3" descr="图 3  撞击坑识别的输入特征消融（DEM / +坡度 / +坡度+阴影）。" title="图 3  撞击坑识别的输入特征消融（DEM / +坡度 / +坡度+阴影）。"/>
            <wp:cNvGraphicFramePr>
              <a:graphicFrameLocks noChangeAspect="1"/>
            </wp:cNvGraphicFramePr>
            <a:graphic>
              <a:graphicData uri="http://schemas.openxmlformats.org/drawingml/2006/picture">
                <pic:pic>
                  <pic:nvPicPr>
                    <pic:cNvPr id="0" name="ablation_features.png"/>
                    <pic:cNvPicPr/>
                  </pic:nvPicPr>
                  <pic:blipFill>
                    <a:blip r:embed="rId11"/>
                    <a:stretch>
                      <a:fillRect/>
                    </a:stretch>
                  </pic:blipFill>
                  <pic:spPr>
                    <a:xfrm>
                      <a:off x="0" y="0"/>
                      <a:ext cx="5486400" cy="3200400"/>
                    </a:xfrm>
                    <a:prstGeom prst="rect"/>
                  </pic:spPr>
                </pic:pic>
              </a:graphicData>
            </a:graphic>
          </wp:inline>
        </w:drawing>
      </w:r>
    </w:p>
    <w:p>
      <w:pPr>
        <w:jc w:val="center"/>
      </w:pPr>
      <w:r>
        <w:rPr>
          <w:i/>
          <w:sz w:val="18"/>
        </w:rPr>
        <w:t>图 3  撞击坑识别的输入特征消融（DEM / +坡度 / +坡度+阴影）。</w:t>
      </w:r>
    </w:p>
    <w:p>
      <w:pPr>
        <w:jc w:val="center"/>
      </w:pPr>
      <w:r>
        <w:drawing>
          <wp:inline xmlns:a="http://schemas.openxmlformats.org/drawingml/2006/main" xmlns:pic="http://schemas.openxmlformats.org/drawingml/2006/picture">
            <wp:extent cx="5486400" cy="4488873"/>
            <wp:docPr id="4" name="Picture 4" descr="图 4  人工核查的虚警分布（绿圈为 Robbins 真值，红叉为虚警）。" title="图 4  人工核查的虚警分布（绿圈为 Robbins 真值，红叉为虚警）。"/>
            <wp:cNvGraphicFramePr>
              <a:graphicFrameLocks noChangeAspect="1"/>
            </wp:cNvGraphicFramePr>
            <a:graphic>
              <a:graphicData uri="http://schemas.openxmlformats.org/drawingml/2006/picture">
                <pic:pic>
                  <pic:nvPicPr>
                    <pic:cNvPr id="0" name="review_fp_map.png"/>
                    <pic:cNvPicPr/>
                  </pic:nvPicPr>
                  <pic:blipFill>
                    <a:blip r:embed="rId12"/>
                    <a:stretch>
                      <a:fillRect/>
                    </a:stretch>
                  </pic:blipFill>
                  <pic:spPr>
                    <a:xfrm>
                      <a:off x="0" y="0"/>
                      <a:ext cx="5486400" cy="4488873"/>
                    </a:xfrm>
                    <a:prstGeom prst="rect"/>
                  </pic:spPr>
                </pic:pic>
              </a:graphicData>
            </a:graphic>
          </wp:inline>
        </w:drawing>
      </w:r>
    </w:p>
    <w:p>
      <w:pPr>
        <w:jc w:val="center"/>
      </w:pPr>
      <w:r>
        <w:rPr>
          <w:i/>
          <w:sz w:val="18"/>
        </w:rPr>
        <w:t>图 4  人工核查的虚警分布（绿圈为 Robbins 真值，红叉为虚警）。</w:t>
      </w:r>
    </w:p>
    <w:p>
      <w:pPr>
        <w:jc w:val="center"/>
      </w:pPr>
      <w:r>
        <w:drawing>
          <wp:inline xmlns:a="http://schemas.openxmlformats.org/drawingml/2006/main" xmlns:pic="http://schemas.openxmlformats.org/drawingml/2006/picture">
            <wp:extent cx="5486400" cy="3108960"/>
            <wp:docPr id="5" name="Picture 5" descr="图 5  适宜性模型：三个危险度层、综合得分、分类与分布。" title="图 5  适宜性模型：三个危险度层、综合得分、分类与分布。"/>
            <wp:cNvGraphicFramePr>
              <a:graphicFrameLocks noChangeAspect="1"/>
            </wp:cNvGraphicFramePr>
            <a:graphic>
              <a:graphicData uri="http://schemas.openxmlformats.org/drawingml/2006/picture">
                <pic:pic>
                  <pic:nvPicPr>
                    <pic:cNvPr id="0" name="suitability_map.png"/>
                    <pic:cNvPicPr/>
                  </pic:nvPicPr>
                  <pic:blipFill>
                    <a:blip r:embed="rId13"/>
                    <a:stretch>
                      <a:fillRect/>
                    </a:stretch>
                  </pic:blipFill>
                  <pic:spPr>
                    <a:xfrm>
                      <a:off x="0" y="0"/>
                      <a:ext cx="5486400" cy="3108960"/>
                    </a:xfrm>
                    <a:prstGeom prst="rect"/>
                  </pic:spPr>
                </pic:pic>
              </a:graphicData>
            </a:graphic>
          </wp:inline>
        </w:drawing>
      </w:r>
    </w:p>
    <w:p>
      <w:pPr>
        <w:jc w:val="center"/>
      </w:pPr>
      <w:r>
        <w:rPr>
          <w:i/>
          <w:sz w:val="18"/>
        </w:rPr>
        <w:t>图 5  适宜性模型：三个危险度层、综合得分、分类与分布。</w:t>
      </w:r>
    </w:p>
    <w:p>
      <w:pPr>
        <w:jc w:val="center"/>
      </w:pPr>
      <w:r>
        <w:drawing>
          <wp:inline xmlns:a="http://schemas.openxmlformats.org/drawingml/2006/main" xmlns:pic="http://schemas.openxmlformats.org/drawingml/2006/picture">
            <wp:extent cx="5486400" cy="3798277"/>
            <wp:docPr id="6" name="Picture 6" descr="图 7  Monte Carlo 结果：安全区比例分布、候选点排名区间、逐像元 P(safe) 与 P(danger)。" title="图 7  Monte Carlo 结果：安全区比例分布、候选点排名区间、逐像元 P(safe) 与 P(danger)。"/>
            <wp:cNvGraphicFramePr>
              <a:graphicFrameLocks noChangeAspect="1"/>
            </wp:cNvGraphicFramePr>
            <a:graphic>
              <a:graphicData uri="http://schemas.openxmlformats.org/drawingml/2006/picture">
                <pic:pic>
                  <pic:nvPicPr>
                    <pic:cNvPr id="0" name="mc_summary_k15.png"/>
                    <pic:cNvPicPr/>
                  </pic:nvPicPr>
                  <pic:blipFill>
                    <a:blip r:embed="rId14"/>
                    <a:stretch>
                      <a:fillRect/>
                    </a:stretch>
                  </pic:blipFill>
                  <pic:spPr>
                    <a:xfrm>
                      <a:off x="0" y="0"/>
                      <a:ext cx="5486400" cy="3798277"/>
                    </a:xfrm>
                    <a:prstGeom prst="rect"/>
                  </pic:spPr>
                </pic:pic>
              </a:graphicData>
            </a:graphic>
          </wp:inline>
        </w:drawing>
      </w:r>
    </w:p>
    <w:p>
      <w:pPr>
        <w:jc w:val="center"/>
      </w:pPr>
      <w:r>
        <w:rPr>
          <w:i/>
          <w:sz w:val="18"/>
        </w:rPr>
        <w:t>图 7  Monte Carlo 结果：安全区比例分布、候选点排名区间、逐像元 P(safe) 与 P(danger)。</w:t>
      </w:r>
    </w:p>
    <w:p>
      <w:pPr>
        <w:jc w:val="center"/>
      </w:pPr>
      <w:r>
        <w:drawing>
          <wp:inline xmlns:a="http://schemas.openxmlformats.org/drawingml/2006/main" xmlns:pic="http://schemas.openxmlformats.org/drawingml/2006/picture">
            <wp:extent cx="5486400" cy="2560320"/>
            <wp:docPr id="7" name="Picture 7" descr="图 8  案例研究：适宜性图与 P(safe) 图，标注论文候选点与本研究最优区。" title="图 8  案例研究：适宜性图与 P(safe) 图，标注论文候选点与本研究最优区。"/>
            <wp:cNvGraphicFramePr>
              <a:graphicFrameLocks noChangeAspect="1"/>
            </wp:cNvGraphicFramePr>
            <a:graphic>
              <a:graphicData uri="http://schemas.openxmlformats.org/drawingml/2006/picture">
                <pic:pic>
                  <pic:nvPicPr>
                    <pic:cNvPr id="0" name="case_studies.png"/>
                    <pic:cNvPicPr/>
                  </pic:nvPicPr>
                  <pic:blipFill>
                    <a:blip r:embed="rId15"/>
                    <a:stretch>
                      <a:fillRect/>
                    </a:stretch>
                  </pic:blipFill>
                  <pic:spPr>
                    <a:xfrm>
                      <a:off x="0" y="0"/>
                      <a:ext cx="5486400" cy="2560320"/>
                    </a:xfrm>
                    <a:prstGeom prst="rect"/>
                  </pic:spPr>
                </pic:pic>
              </a:graphicData>
            </a:graphic>
          </wp:inline>
        </w:drawing>
      </w:r>
    </w:p>
    <w:p>
      <w:pPr>
        <w:jc w:val="center"/>
      </w:pPr>
      <w:r>
        <w:rPr>
          <w:i/>
          <w:sz w:val="18"/>
        </w:rPr>
        <w:t>图 8  案例研究：适宜性图与 P(safe) 图，标注论文候选点与本研究最优区。</w:t>
      </w:r>
    </w:p>
    <w:sectPr w:rsidR="00FC693F" w:rsidRPr="0006063C" w:rsidSect="00034616">
      <w:pgSz w:w="12240" w:h="15840"/>
      <w:pgMar w:top="1296" w:right="1368" w:bottom="1296"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Microsoft YaHe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Microsoft YaHe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Microsoft YaHe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