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Arial" w:cs="Arial" w:eastAsia="Arial" w:hAnsi="Arial"/>
          <w:b/>
          <w:bCs/>
          <w:sz w:val="36"/>
          <w:szCs w:val="36"/>
        </w:rPr>
        <w:t xml:space="preserve">Bayyinah Audit MCP Server</w:t>
      </w:r>
    </w:p>
    <w:p>
      <w:pPr>
        <w:spacing w:after="480"/>
        <w:jc w:val="center"/>
      </w:pPr>
      <w:r>
        <w:rPr>
          <w:rFonts w:ascii="Arial" w:cs="Arial" w:eastAsia="Arial" w:hAnsi="Arial"/>
          <w:i/>
          <w:iCs/>
          <w:sz w:val="28"/>
          <w:szCs w:val="28"/>
        </w:rPr>
        <w:t xml:space="preserve">Setup and Operations Guide</w:t>
      </w:r>
    </w:p>
    <w:p>
      <w:pPr>
        <w:spacing w:after="480"/>
        <w:jc w:val="center"/>
      </w:pPr>
      <w:r>
        <w:rPr>
          <w:color w:val="595959"/>
          <w:sz w:val="20"/>
          <w:szCs w:val="20"/>
        </w:rPr>
        <w:t>BayyinahEnterprise  |  MCP Server v0.1.0</w:t>
      </w:r>
    </w:p>
    <w:p>
      <w:pPr>
        <w:pStyle w:val="Heading1"/>
      </w:pPr>
      <w:r>
        <w:rPr>
          <w:b/>
          <w:bCs/>
        </w:rPr>
        <w:t xml:space="preserve">What this is</w:t>
      </w:r>
    </w:p>
    <w:p>
      <w:pPr>
        <w:spacing w:after="120"/>
      </w:pPr>
      <w:r>
        <w:t xml:space="preserve">An MCP (Model Context Protocol) server that exposes the Bayyinah Audit Framework as a set of tools any compliant agent can invoke. Wraps lanes #1, #2, and #3 behind the standard MCP protocol so Claude Desktop, Codex, Cursor, Goose, Continue, and any other compliant agent can call the same primitives.</w:t>
      </w:r>
    </w:p>
    <w:p>
      <w:pPr>
        <w:spacing w:after="120"/>
      </w:pPr>
      <w:r>
        <w:t xml:space="preserve">This is lane #4: the distribution layer. Where lane #1 ships a skill bundle, lane #2 ships CI workflows, and lane #3 ships a Python orchestrator, lane #4 ships an agent-callable surface that doesn't require copying any of those bundles into each consumer's environment.</w:t>
      </w:r>
    </w:p>
    <w:p>
      <w:pPr>
        <w:pStyle w:val="Heading1"/>
      </w:pPr>
      <w:r>
        <w:rPr>
          <w:b/>
          <w:bCs/>
        </w:rPr>
        <w:t xml:space="preserve">The seven tools</w:t>
      </w:r>
    </w:p>
    <w:p>
      <w:pPr>
        <w:pStyle w:val="ListParagraph"/>
        <w:numPr>
          <w:ilvl w:val="0"/>
          <w:numId w:val="2"/>
        </w:numPr>
        <w:spacing w:after="80"/>
      </w:pPr>
      <w:r>
        <w:t xml:space="preserve">bayyinah_audit_artifact: Returns audit prompt scaffold for the calling agent. Server stays provider-neutral; the agent runs the audit with its own model.</w:t>
      </w:r>
    </w:p>
    <w:p>
      <w:pPr>
        <w:pStyle w:val="ListParagraph"/>
        <w:numPr>
          <w:ilvl w:val="0"/>
          <w:numId w:val="2"/>
        </w:numPr>
        <w:spacing w:after="80"/>
      </w:pPr>
      <w:r>
        <w:t xml:space="preserve">bayyinah_run_furqan_lint: Invokes furqan-lint as a subprocess and returns findings in Bayyinah format.</w:t>
      </w:r>
    </w:p>
    <w:p>
      <w:pPr>
        <w:pStyle w:val="ListParagraph"/>
        <w:numPr>
          <w:ilvl w:val="0"/>
          <w:numId w:val="2"/>
        </w:numPr>
        <w:spacing w:after="80"/>
      </w:pPr>
      <w:r>
        <w:t xml:space="preserve">bayyinah_check_attributions: §14.5 cross-document attribution check. Resolves section refs against the section index, author-year cites against an optional corpus.</w:t>
      </w:r>
    </w:p>
    <w:p>
      <w:pPr>
        <w:pStyle w:val="ListParagraph"/>
        <w:numPr>
          <w:ilvl w:val="0"/>
          <w:numId w:val="2"/>
        </w:numPr>
        <w:spacing w:after="80"/>
      </w:pPr>
      <w:r>
        <w:t xml:space="preserve">bayyinah_cross_vendor_audit: Delegates to the lane #3 orchestrator. Returns consensus + solo findings across the configured validator panel.</w:t>
      </w:r>
    </w:p>
    <w:p>
      <w:pPr>
        <w:pStyle w:val="ListParagraph"/>
        <w:numPr>
          <w:ilvl w:val="0"/>
          <w:numId w:val="2"/>
        </w:numPr>
        <w:spacing w:after="80"/>
      </w:pPr>
      <w:r>
        <w:t xml:space="preserve">bayyinah_lookup_section: Look up a framework section by reference (§9.1, 9.1, Section 9.1).</w:t>
      </w:r>
    </w:p>
    <w:p>
      <w:pPr>
        <w:pStyle w:val="ListParagraph"/>
        <w:numPr>
          <w:ilvl w:val="0"/>
          <w:numId w:val="2"/>
        </w:numPr>
        <w:spacing w:after="80"/>
      </w:pPr>
      <w:r>
        <w:t xml:space="preserve">bayyinah_list_sections: Return the full section index.</w:t>
      </w:r>
    </w:p>
    <w:p>
      <w:pPr>
        <w:pStyle w:val="ListParagraph"/>
        <w:numPr>
          <w:ilvl w:val="0"/>
          <w:numId w:val="2"/>
        </w:numPr>
        <w:spacing w:after="80"/>
      </w:pPr>
      <w:r>
        <w:t xml:space="preserve">bayyinah_generate_round_report: Render findings into a Round-N report in canonical Bayyinah format.</w:t>
      </w:r>
    </w:p>
    <w:p>
      <w:pPr>
        <w:pStyle w:val="Heading1"/>
      </w:pPr>
      <w:r>
        <w:rPr>
          <w:b/>
          <w:bCs/>
        </w:rPr>
        <w:t xml:space="preserve">Architecture</w:t>
      </w:r>
    </w:p>
    <w:p>
      <w:pPr>
        <w:spacing w:after="120"/>
      </w:pPr>
      <w:r>
        <w:t xml:space="preserve">The server is stateless and provider-neutral. The only tool that calls out to any LLM is bayyinah_cross_vendor_audit, which delegates to lane #3. Every other tool either runs local Python or shells out to a local CLI.</w:t>
      </w:r>
    </w:p>
    <w:p>
      <w:pPr>
        <w:spacing w:after="120"/>
      </w:pPr>
      <w:r>
        <w:t xml:space="preserve">This design has two consequences worth noting. First, the server runs without API keys for everything except the cross-vendor tool. Second, bayyinah_audit_artifact returns a prompt envelope rather than an audit result; the calling agent runs the audit using whatever model it has, so the same MCP server gives Claude users a Claude-grounded audit and Codex users a GPT-grounded audit, with no provider switching at the server layer.</w:t>
      </w:r>
    </w:p>
    <w:p>
      <w:pPr>
        <w:pStyle w:val="Heading1"/>
      </w:pPr>
      <w:r>
        <w:rPr>
          <w:b/>
          <w:bCs/>
        </w:rPr>
        <w:t xml:space="preserve">Quick start</w:t>
      </w:r>
    </w:p>
    <w:p>
      <w:pPr>
        <w:pStyle w:val="Heading2"/>
      </w:pPr>
      <w:r>
        <w:rPr>
          <w:b/>
          <w:bCs/>
        </w:rPr>
        <w:t xml:space="preserve">Install</w:t>
      </w:r>
    </w:p>
    <w:p>
      <w:pPr>
        <w:shd w:fill="F2F2F2" w:val="clear"/>
        <w:spacing w:after="80"/>
      </w:pPr>
      <w:r>
        <w:rPr>
          <w:rFonts w:ascii="Courier New" w:cs="Courier New" w:eastAsia="Courier New" w:hAnsi="Courier New"/>
          <w:sz w:val="20"/>
          <w:szCs w:val="20"/>
        </w:rPr>
        <w:t xml:space="preserve">pip install -e ".[all]"</w:t>
      </w:r>
    </w:p>
    <w:p>
      <w:pPr>
        <w:spacing w:after="120"/>
      </w:pPr>
      <w:r>
        <w:t xml:space="preserve">Or pick what you need:</w:t>
      </w:r>
    </w:p>
    <w:p>
      <w:pPr>
        <w:shd w:fill="F2F2F2" w:val="clear"/>
        <w:spacing w:after="80"/>
      </w:pPr>
      <w:r>
        <w:rPr>
          <w:rFonts w:ascii="Courier New" w:cs="Courier New" w:eastAsia="Courier New" w:hAnsi="Courier New"/>
          <w:sz w:val="20"/>
          <w:szCs w:val="20"/>
        </w:rPr>
        <w:t xml:space="preserve">pip install -e .                    # core only, no cross-vendor or PDF</w:t>
      </w:r>
    </w:p>
    <w:p>
      <w:pPr>
        <w:shd w:fill="F2F2F2" w:val="clear"/>
        <w:spacing w:after="80"/>
      </w:pPr>
      <w:r>
        <w:rPr>
          <w:rFonts w:ascii="Courier New" w:cs="Courier New" w:eastAsia="Courier New" w:hAnsi="Courier New"/>
          <w:sz w:val="20"/>
          <w:szCs w:val="20"/>
        </w:rPr>
        <w:t xml:space="preserve">pip install -e ".[cross-vendor]"  # adds lane #3 for panel mode</w:t>
      </w:r>
    </w:p>
    <w:p>
      <w:pPr>
        <w:shd w:fill="F2F2F2" w:val="clear"/>
        <w:spacing w:after="80"/>
      </w:pPr>
      <w:r>
        <w:rPr>
          <w:rFonts w:ascii="Courier New" w:cs="Courier New" w:eastAsia="Courier New" w:hAnsi="Courier New"/>
          <w:sz w:val="20"/>
          <w:szCs w:val="20"/>
        </w:rPr>
        <w:t xml:space="preserve">pip install -e ".[pdf]"           # adds pdfplumber for PDF attribution checks</w:t>
      </w:r>
    </w:p>
    <w:p>
      <w:pPr>
        <w:pStyle w:val="Heading2"/>
      </w:pPr>
      <w:r>
        <w:rPr>
          <w:b/>
          <w:bCs/>
        </w:rPr>
        <w:t xml:space="preserve">Run via stdio (most common)</w:t>
      </w:r>
    </w:p>
    <w:p>
      <w:pPr>
        <w:shd w:fill="F2F2F2" w:val="clear"/>
        <w:spacing w:after="80"/>
      </w:pPr>
      <w:r>
        <w:rPr>
          <w:rFonts w:ascii="Courier New" w:cs="Courier New" w:eastAsia="Courier New" w:hAnsi="Courier New"/>
          <w:sz w:val="20"/>
          <w:szCs w:val="20"/>
        </w:rPr>
        <w:t xml:space="preserve">python -m bayyinah_audit_mcp</w:t>
      </w:r>
    </w:p>
    <w:p>
      <w:pPr>
        <w:spacing w:after="120"/>
      </w:pPr>
      <w:r>
        <w:t xml:space="preserve">This is the transport Claude Desktop, Codex, Cursor, and Goose all use. The server listens on stdin and responds on stdout.</w:t>
      </w:r>
    </w:p>
    <w:p>
      <w:pPr>
        <w:pStyle w:val="Heading2"/>
      </w:pPr>
      <w:r>
        <w:rPr>
          <w:b/>
          <w:bCs/>
        </w:rPr>
        <w:t xml:space="preserve">Run via SSE/HTTP (for remote agents)</w:t>
      </w:r>
    </w:p>
    <w:p>
      <w:pPr>
        <w:shd w:fill="F2F2F2" w:val="clear"/>
        <w:spacing w:after="80"/>
      </w:pPr>
      <w:r>
        <w:rPr>
          <w:rFonts w:ascii="Courier New" w:cs="Courier New" w:eastAsia="Courier New" w:hAnsi="Courier New"/>
          <w:sz w:val="20"/>
          <w:szCs w:val="20"/>
        </w:rPr>
        <w:t xml:space="preserve">python -m bayyinah_audit_mcp --transport sse --port 8000</w:t>
      </w:r>
    </w:p>
    <w:p>
      <w:pPr>
        <w:spacing w:after="120"/>
      </w:pPr>
      <w:r>
        <w:t xml:space="preserve">Useful when the MCP server runs on a different machine from the agent. Not all client SDKs implement SSE consistently; verify before relying on it for production.</w:t>
      </w:r>
    </w:p>
    <w:p>
      <w:pPr>
        <w:pStyle w:val="Heading1"/>
      </w:pPr>
      <w:r>
        <w:rPr>
          <w:b/>
          <w:bCs/>
        </w:rPr>
        <w:t xml:space="preserve">Wiring into Claude Desktop</w:t>
      </w:r>
    </w:p>
    <w:p>
      <w:pPr>
        <w:spacing w:after="120"/>
      </w:pPr>
      <w:r>
        <w:t xml:space="preserve">Edit your Claude Desktop config file (path varies by OS; check Claude Desktop docs). Add an entry under mcpServers:</w:t>
      </w:r>
    </w:p>
    <w:p>
      <w:pPr>
        <w:shd w:fill="F2F2F2" w:val="clear"/>
        <w:spacing w:after="80"/>
      </w:pPr>
      <w:r>
        <w:rPr>
          <w:rFonts w:ascii="Courier New" w:cs="Courier New" w:eastAsia="Courier New" w:hAnsi="Courier New"/>
          <w:sz w:val="20"/>
          <w:szCs w:val="20"/>
        </w:rPr>
        <w:t xml:space="preserve">{</w:t>
      </w:r>
    </w:p>
    <w:p>
      <w:pPr>
        <w:shd w:fill="F2F2F2" w:val="clear"/>
        <w:spacing w:after="80"/>
      </w:pPr>
      <w:r>
        <w:rPr>
          <w:rFonts w:ascii="Courier New" w:cs="Courier New" w:eastAsia="Courier New" w:hAnsi="Courier New"/>
          <w:sz w:val="20"/>
          <w:szCs w:val="20"/>
        </w:rPr>
        <w:t xml:space="preserve">  "mcpServers": {</w:t>
      </w:r>
    </w:p>
    <w:p>
      <w:pPr>
        <w:shd w:fill="F2F2F2" w:val="clear"/>
        <w:spacing w:after="80"/>
      </w:pPr>
      <w:r>
        <w:rPr>
          <w:rFonts w:ascii="Courier New" w:cs="Courier New" w:eastAsia="Courier New" w:hAnsi="Courier New"/>
          <w:sz w:val="20"/>
          <w:szCs w:val="20"/>
        </w:rPr>
        <w:t xml:space="preserve">    "bayyinah-audit": {</w:t>
      </w:r>
    </w:p>
    <w:p>
      <w:pPr>
        <w:shd w:fill="F2F2F2" w:val="clear"/>
        <w:spacing w:after="80"/>
      </w:pPr>
      <w:r>
        <w:rPr>
          <w:rFonts w:ascii="Courier New" w:cs="Courier New" w:eastAsia="Courier New" w:hAnsi="Courier New"/>
          <w:sz w:val="20"/>
          <w:szCs w:val="20"/>
        </w:rPr>
        <w:t xml:space="preserve">      "command": "python",</w:t>
      </w:r>
    </w:p>
    <w:p>
      <w:pPr>
        <w:shd w:fill="F2F2F2" w:val="clear"/>
        <w:spacing w:after="80"/>
      </w:pPr>
      <w:r>
        <w:rPr>
          <w:rFonts w:ascii="Courier New" w:cs="Courier New" w:eastAsia="Courier New" w:hAnsi="Courier New"/>
          <w:sz w:val="20"/>
          <w:szCs w:val="20"/>
        </w:rPr>
        <w:t xml:space="preserve">      "args": ["-m", "bayyinah_audit_mcp"],</w:t>
      </w:r>
    </w:p>
    <w:p>
      <w:pPr>
        <w:shd w:fill="F2F2F2" w:val="clear"/>
        <w:spacing w:after="80"/>
      </w:pPr>
      <w:r>
        <w:rPr>
          <w:rFonts w:ascii="Courier New" w:cs="Courier New" w:eastAsia="Courier New" w:hAnsi="Courier New"/>
          <w:sz w:val="20"/>
          <w:szCs w:val="20"/>
        </w:rPr>
        <w:t xml:space="preserve">      "env": {</w:t>
      </w:r>
    </w:p>
    <w:p>
      <w:pPr>
        <w:shd w:fill="F2F2F2" w:val="clear"/>
        <w:spacing w:after="80"/>
      </w:pPr>
      <w:r>
        <w:rPr>
          <w:rFonts w:ascii="Courier New" w:cs="Courier New" w:eastAsia="Courier New" w:hAnsi="Courier New"/>
          <w:sz w:val="20"/>
          <w:szCs w:val="20"/>
        </w:rPr>
        <w:t xml:space="preserve">        "BAYYINAH_AUDIT_ROOT": "/path/to/repo",</w:t>
      </w:r>
    </w:p>
    <w:p>
      <w:pPr>
        <w:shd w:fill="F2F2F2" w:val="clear"/>
        <w:spacing w:after="80"/>
      </w:pPr>
      <w:r>
        <w:rPr>
          <w:rFonts w:ascii="Courier New" w:cs="Courier New" w:eastAsia="Courier New" w:hAnsi="Courier New"/>
          <w:sz w:val="20"/>
          <w:szCs w:val="20"/>
        </w:rPr>
        <w:t xml:space="preserve">        "BAYYINAH_FRAMEWORK_PROMPT": "/path/to/SKILL.md"</w:t>
      </w:r>
    </w:p>
    <w:p>
      <w:pPr>
        <w:shd w:fill="F2F2F2" w:val="clear"/>
        <w:spacing w:after="80"/>
      </w:pPr>
      <w:r>
        <w:rPr>
          <w:rFonts w:ascii="Courier New" w:cs="Courier New" w:eastAsia="Courier New" w:hAnsi="Courier New"/>
          <w:sz w:val="20"/>
          <w:szCs w:val="20"/>
        </w:rPr>
        <w:t xml:space="preserve">      }</w:t>
      </w:r>
    </w:p>
    <w:p>
      <w:pPr>
        <w:shd w:fill="F2F2F2" w:val="clear"/>
        <w:spacing w:after="80"/>
      </w:pPr>
      <w:r>
        <w:rPr>
          <w:rFonts w:ascii="Courier New" w:cs="Courier New" w:eastAsia="Courier New" w:hAnsi="Courier New"/>
          <w:sz w:val="20"/>
          <w:szCs w:val="20"/>
        </w:rPr>
        <w:t xml:space="preserve">    }</w:t>
      </w:r>
    </w:p>
    <w:p>
      <w:pPr>
        <w:shd w:fill="F2F2F2" w:val="clear"/>
        <w:spacing w:after="80"/>
      </w:pPr>
      <w:r>
        <w:rPr>
          <w:rFonts w:ascii="Courier New" w:cs="Courier New" w:eastAsia="Courier New" w:hAnsi="Courier New"/>
          <w:sz w:val="20"/>
          <w:szCs w:val="20"/>
        </w:rPr>
        <w:t xml:space="preserve">  }</w:t>
      </w:r>
    </w:p>
    <w:p>
      <w:pPr>
        <w:shd w:fill="F2F2F2" w:val="clear"/>
        <w:spacing w:after="80"/>
      </w:pPr>
      <w:r>
        <w:rPr>
          <w:rFonts w:ascii="Courier New" w:cs="Courier New" w:eastAsia="Courier New" w:hAnsi="Courier New"/>
          <w:sz w:val="20"/>
          <w:szCs w:val="20"/>
        </w:rPr>
        <w:t xml:space="preserve">}</w:t>
      </w:r>
    </w:p>
    <w:p>
      <w:pPr>
        <w:spacing w:after="120"/>
      </w:pPr>
      <w:r>
        <w:t xml:space="preserve">Restart Claude Desktop. The seven tools register automatically. In any conversation, you can now say 'audit this README' or 'look up section 9.1' and Claude invokes the right tool. The tool's structured output flows back into the conversation.</w:t>
      </w:r>
    </w:p>
    <w:p>
      <w:pPr>
        <w:pStyle w:val="Heading1"/>
      </w:pPr>
      <w:r>
        <w:rPr>
          <w:b/>
          <w:bCs/>
        </w:rPr>
        <w:t xml:space="preserve">Configuration via environment variables</w:t>
      </w:r>
    </w:p>
    <w:p>
      <w:pPr>
        <w:pStyle w:val="ListParagraph"/>
        <w:numPr>
          <w:ilvl w:val="0"/>
          <w:numId w:val="2"/>
        </w:numPr>
        <w:spacing w:after="80"/>
      </w:pPr>
      <w:r>
        <w:t xml:space="preserve">BAYYINAH_AUDIT_ROOT: Root directory for relative file paths (default: cwd).</w:t>
      </w:r>
    </w:p>
    <w:p>
      <w:pPr>
        <w:pStyle w:val="ListParagraph"/>
        <w:numPr>
          <w:ilvl w:val="0"/>
          <w:numId w:val="2"/>
        </w:numPr>
        <w:spacing w:after="80"/>
      </w:pPr>
      <w:r>
        <w:t xml:space="preserve">BAYYINAH_FRAMEWORK_PROMPT: Path to framework prompt, ideally the SKILL.md from lane #1.</w:t>
      </w:r>
    </w:p>
    <w:p>
      <w:pPr>
        <w:pStyle w:val="ListParagraph"/>
        <w:numPr>
          <w:ilvl w:val="0"/>
          <w:numId w:val="2"/>
        </w:numPr>
        <w:spacing w:after="80"/>
      </w:pPr>
      <w:r>
        <w:t xml:space="preserve">BAYYINAH_FRAMEWORK_PDF: Optional canonical framework PDF path.</w:t>
      </w:r>
    </w:p>
    <w:p>
      <w:pPr>
        <w:pStyle w:val="ListParagraph"/>
        <w:numPr>
          <w:ilvl w:val="0"/>
          <w:numId w:val="2"/>
        </w:numPr>
        <w:spacing w:after="80"/>
      </w:pPr>
      <w:r>
        <w:t xml:space="preserve">BAYYINAH_SECTION_INDEX: Override the bundled section_index.json.</w:t>
      </w:r>
    </w:p>
    <w:p>
      <w:pPr>
        <w:pStyle w:val="ListParagraph"/>
        <w:numPr>
          <w:ilvl w:val="0"/>
          <w:numId w:val="2"/>
        </w:numPr>
        <w:spacing w:after="80"/>
      </w:pPr>
      <w:r>
        <w:t xml:space="preserve">BAYYINAH_FURQAN_LINT_CMD: furqan-lint command name (default: 'furqan-lint').</w:t>
      </w:r>
    </w:p>
    <w:p>
      <w:pPr>
        <w:pStyle w:val="ListParagraph"/>
        <w:numPr>
          <w:ilvl w:val="0"/>
          <w:numId w:val="2"/>
        </w:numPr>
        <w:spacing w:after="80"/>
      </w:pPr>
      <w:r>
        <w:t xml:space="preserve">BAYYINAH_SEVERITY_THRESHOLD: Default block threshold (default: MED).</w:t>
      </w:r>
    </w:p>
    <w:p>
      <w:pPr>
        <w:pStyle w:val="ListParagraph"/>
        <w:numPr>
          <w:ilvl w:val="0"/>
          <w:numId w:val="2"/>
        </w:numPr>
        <w:spacing w:after="80"/>
      </w:pPr>
      <w:r>
        <w:t xml:space="preserve">ANTHROPIC_API_KEY, OPENAI_API_KEY, GOOGLE_API_KEY, XAI_API_KEY: For cross-vendor audits.</w:t>
      </w:r>
    </w:p>
    <w:p>
      <w:pPr>
        <w:pStyle w:val="Heading1"/>
      </w:pPr>
      <w:r>
        <w:rPr>
          <w:b/>
          <w:bCs/>
        </w:rPr>
        <w:t xml:space="preserve">How agents will use this in practice</w:t>
      </w:r>
    </w:p>
    <w:p>
      <w:pPr>
        <w:spacing w:after="120"/>
      </w:pPr>
      <w:r>
        <w:t xml:space="preserve">Once the server is registered, the typical flow looks like:</w:t>
      </w:r>
    </w:p>
    <w:p>
      <w:pPr>
        <w:pStyle w:val="Heading3"/>
      </w:pPr>
      <w:r>
        <w:rPr>
          <w:b/>
          <w:bCs/>
        </w:rPr>
        <w:t xml:space="preserve">Pattern 1: lightweight section lookup</w:t>
      </w:r>
    </w:p>
    <w:p>
      <w:pPr>
        <w:spacing w:after="120"/>
      </w:pPr>
      <w:r>
        <w:t xml:space="preserve">User asks the agent something like 'what does §9.1 cover?'. The agent calls bayyinah_lookup_section, gets the title and summary, and answers in conversation. Cost: zero LLM calls beyond the agent's own response.</w:t>
      </w:r>
    </w:p>
    <w:p>
      <w:pPr>
        <w:pStyle w:val="Heading3"/>
      </w:pPr>
      <w:r>
        <w:rPr>
          <w:b/>
          <w:bCs/>
        </w:rPr>
        <w:t xml:space="preserve">Pattern 2: routine audit</w:t>
      </w:r>
    </w:p>
    <w:p>
      <w:pPr>
        <w:spacing w:after="120"/>
      </w:pPr>
      <w:r>
        <w:t xml:space="preserve">User pastes an artifact and asks for a Bayyinah audit. The agent calls bayyinah_audit_artifact to get the framework prompt and structured envelope, then performs the audit in its own context, then optionally calls bayyinah_generate_round_report to format the findings as a Round-N report.</w:t>
      </w:r>
    </w:p>
    <w:p>
      <w:pPr>
        <w:pStyle w:val="Heading3"/>
      </w:pPr>
      <w:r>
        <w:rPr>
          <w:b/>
          <w:bCs/>
        </w:rPr>
        <w:t xml:space="preserve">Pattern 3: code audit</w:t>
      </w:r>
    </w:p>
    <w:p>
      <w:pPr>
        <w:spacing w:after="120"/>
      </w:pPr>
      <w:r>
        <w:t xml:space="preserve">User points the agent at a repo. The agent calls bayyinah_run_furqan_lint to get structured lint findings, calls bayyinah_check_attributions on the docs, then calls bayyinah_generate_round_report to combine them.</w:t>
      </w:r>
    </w:p>
    <w:p>
      <w:pPr>
        <w:pStyle w:val="Heading3"/>
      </w:pPr>
      <w:r>
        <w:rPr>
          <w:b/>
          <w:bCs/>
        </w:rPr>
        <w:t xml:space="preserve">Pattern 4: high-stakes cross-vendor audit</w:t>
      </w:r>
    </w:p>
    <w:p>
      <w:pPr>
        <w:spacing w:after="120"/>
      </w:pPr>
      <w:r>
        <w:t xml:space="preserve">User asks for a release-candidate audit. The agent calls bayyinah_cross_vendor_audit, which delegates to lane #3, fans the artifact out to Claude + GPT + Gemini, and returns consensus + solo findings. The agent then renders the Round-N report including the per-validator detail.</w:t>
      </w:r>
    </w:p>
    <w:p>
      <w:pPr>
        <w:pStyle w:val="Heading1"/>
      </w:pPr>
      <w:r>
        <w:rPr>
          <w:b/>
          <w:bCs/>
        </w:rPr>
        <w:t xml:space="preserve">Three placeholders to confirm before production</w:t>
      </w:r>
    </w:p>
    <w:p>
      <w:pPr>
        <w:pStyle w:val="Heading3"/>
      </w:pPr>
      <w:r>
        <w:rPr>
          <w:b/>
          <w:bCs/>
        </w:rPr>
        <w:t xml:space="preserve">1. Section index population</w:t>
      </w:r>
    </w:p>
    <w:p>
      <w:pPr>
        <w:spacing w:after="120"/>
      </w:pPr>
      <w:r>
        <w:t xml:space="preserve">The bundled section_index.json ships with five frequently invoked sections only (§5.2, §9.1, §14.5, §18.10, §23.3). Populate the remaining sections from the v3.0 PDF table of contents. The bayyinah_lookup_section tool returns 'not in index' for any section not yet populated, which surfaces gaps without breaking the tool.</w:t>
      </w:r>
    </w:p>
    <w:p>
      <w:pPr>
        <w:pStyle w:val="Heading3"/>
      </w:pPr>
      <w:r>
        <w:rPr>
          <w:b/>
          <w:bCs/>
        </w:rPr>
        <w:t xml:space="preserve">2. Framework prompt path</w:t>
      </w:r>
    </w:p>
    <w:p>
      <w:pPr>
        <w:spacing w:after="120"/>
      </w:pPr>
      <w:r>
        <w:t xml:space="preserve">The fallback prompt is a minimal summary. The intended setup is to point BAYYINAH_FRAMEWORK_PROMPT at the SKILL.md from lane #1, which gives every agent calling this server access to the full framework as system instructions. All four lanes then operate with identical methodology.</w:t>
      </w:r>
    </w:p>
    <w:p>
      <w:pPr>
        <w:pStyle w:val="Heading3"/>
      </w:pPr>
      <w:r>
        <w:rPr>
          <w:b/>
          <w:bCs/>
        </w:rPr>
        <w:t xml:space="preserve">3. Transport choice</w:t>
      </w:r>
    </w:p>
    <w:p>
      <w:pPr>
        <w:spacing w:after="120"/>
      </w:pPr>
      <w:r>
        <w:t xml:space="preserve">Stdio is the default and works with every major MCP client today. SSE/HTTP is available but client implementations vary; if you plan to expose the server remotely, verify each consumer's SSE handling separately. For solo use within a single machine, stdio is sufficient and simpler.</w:t>
      </w:r>
    </w:p>
    <w:p>
      <w:pPr>
        <w:pStyle w:val="Heading1"/>
      </w:pPr>
      <w:r>
        <w:rPr>
          <w:b/>
          <w:bCs/>
        </w:rPr>
        <w:t>Open questions</w:t>
      </w:r>
    </w:p>
    <w:p>
      <w:pPr>
        <w:pStyle w:val="ListParagraph"/>
        <w:numPr>
          <w:ilvl w:val="0"/>
          <w:numId w:val="3"/>
        </w:numPr>
        <w:spacing w:after="80"/>
      </w:pPr>
      <w:r>
        <w:t xml:space="preserve">Default validator panel for cross_vendor_audit when validators is unspecified. Currently anthropic+openai (2 validators, lower cost). Confirm or expand.</w:t>
      </w:r>
    </w:p>
    <w:p>
      <w:pPr>
        <w:pStyle w:val="ListParagraph"/>
        <w:numPr>
          <w:ilvl w:val="0"/>
          <w:numId w:val="3"/>
        </w:numPr>
        <w:spacing w:after="80"/>
      </w:pPr>
      <w:r>
        <w:t xml:space="preserve">PDF support: pdfplumber is the optional dependency. Confirm acceptable, or substitute pymupdf, pypdf2, or another reader.</w:t>
      </w:r>
    </w:p>
    <w:p>
      <w:pPr>
        <w:pStyle w:val="ListParagraph"/>
        <w:numPr>
          <w:ilvl w:val="0"/>
          <w:numId w:val="3"/>
        </w:numPr>
        <w:spacing w:after="80"/>
      </w:pPr>
      <w:r>
        <w:t>Public publication: PyPI publication as bayyinah-audit-mcp makes pip install bayyinah-audit-mcp the install command for any agent maintainer.</w:t>
      </w:r>
    </w:p>
    <w:p>
      <w:pPr>
        <w:pStyle w:val="ListParagraph"/>
        <w:numPr>
          <w:ilvl w:val="0"/>
          <w:numId w:val="3"/>
        </w:numPr>
        <w:spacing w:after="80"/>
      </w:pPr>
      <w:r>
        <w:t xml:space="preserve">Authentication for SSE/HTTP transport: not currently implemented. If exposing remotely, add a token check or place behind a reverse proxy.</w:t>
      </w:r>
    </w:p>
    <w:p>
      <w:pPr>
        <w:pStyle w:val="ListParagraph"/>
        <w:numPr>
          <w:ilvl w:val="0"/>
          <w:numId w:val="3"/>
        </w:numPr>
        <w:spacing w:after="80"/>
      </w:pPr>
      <w:r>
        <w:t xml:space="preserve">Per-tool permission model: the MCP spec allows tool-level allowlists at the client. Decide whether some tools (e.g., cross_vendor_audit, with cost implications) should require explicit per-call approval rather than the default agent autonomy.</w:t>
      </w:r>
    </w:p>
    <w:p>
      <w:pPr>
        <w:pStyle w:val="Heading1"/>
      </w:pPr>
      <w:r>
        <w:rPr>
          <w:b/>
          <w:bCs/>
        </w:rPr>
        <w:t xml:space="preserve">How this completes the §23.3 path</w:t>
      </w:r>
    </w:p>
    <w:p>
      <w:pPr>
        <w:spacing w:after="120"/>
      </w:pPr>
      <w:r>
        <w:t xml:space="preserve">With all four lanes live, the auditor is invokable at every layer where audit work happens:</w:t>
      </w:r>
    </w:p>
    <w:p>
      <w:pPr>
        <w:pStyle w:val="ListParagraph"/>
        <w:numPr>
          <w:ilvl w:val="0"/>
          <w:numId w:val="2"/>
        </w:numPr>
        <w:spacing w:after="80"/>
      </w:pPr>
      <w:r>
        <w:t xml:space="preserve">Conversation: skill bundle (lane #1) loads on demand in any skills-aware agent.</w:t>
      </w:r>
    </w:p>
    <w:p>
      <w:pPr>
        <w:pStyle w:val="ListParagraph"/>
        <w:numPr>
          <w:ilvl w:val="0"/>
          <w:numId w:val="2"/>
        </w:numPr>
        <w:spacing w:after="80"/>
      </w:pPr>
      <w:r>
        <w:t xml:space="preserve">CI: composite action (lane #2) runs on every push, PR, release tag, and weekly schedule.</w:t>
      </w:r>
    </w:p>
    <w:p>
      <w:pPr>
        <w:pStyle w:val="ListParagraph"/>
        <w:numPr>
          <w:ilvl w:val="0"/>
          <w:numId w:val="2"/>
        </w:numPr>
        <w:spacing w:after="80"/>
      </w:pPr>
      <w:r>
        <w:t xml:space="preserve">High-stakes review: cross-vendor orchestrator (lane #3) provides multi-vendor consensus signal.</w:t>
      </w:r>
    </w:p>
    <w:p>
      <w:pPr>
        <w:pStyle w:val="ListParagraph"/>
        <w:numPr>
          <w:ilvl w:val="0"/>
          <w:numId w:val="2"/>
        </w:numPr>
        <w:spacing w:after="80"/>
      </w:pPr>
      <w:r>
        <w:t xml:space="preserve">Cross-IDE distribution: MCP server (lane #4) makes every primitive callable by any compliant agent without bundling.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 w:type="paragraph" w:styleId="Heading3">
    <w:name w:val="Heading 3"/>
    <w:basedOn w:val="Normal"/>
    <w:next w:val="Normal"/>
    <w:qFormat/>
    <w:pPr>
      <w:spacing w:after="80" w:before="180"/>
      <w:outlineLvl w:val="2"/>
    </w:pPr>
    <w:rPr>
      <w:rFonts w:ascii="Arial" w:cs="Arial" w:eastAsia="Arial" w:hAnsi="Arial"/>
      <w:b/>
      <w:bCs/>
      <w:i/>
      <w:iCs/>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2026-05-08T02:47:54.080Z</dcterms:created>
  <dcterms:modified xsi:type="dcterms:W3CDTF">2026-05-08T02:47:54.080Z</dcterms:modified>
  <dc:description>Bismillah ir-Rahman ir-Rahim</dc:description>
</cp:coreProperties>
</file>

<file path=docProps/custom.xml><?xml version="1.0" encoding="utf-8"?>
<Properties xmlns="http://schemas.openxmlformats.org/officeDocument/2006/custom-properties" xmlns:vt="http://schemas.openxmlformats.org/officeDocument/2006/docPropsVTypes"/>
</file>