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Policy​approved​by​board.</w:t>
      </w:r>
    </w:p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>
  <dc:description>Bismillah ir-Rahman ir-Rahim</dc:description>
  <dc:subject>Bismillah ir-Rahman ir-Rahim</dc:subject>
</cp:coreProperties>
</file>